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C1C" w:rsidRPr="003851DE" w:rsidRDefault="00E26C1C" w:rsidP="00E26C1C">
      <w:pPr>
        <w:spacing w:after="120"/>
        <w:jc w:val="center"/>
        <w:rPr>
          <w:b/>
          <w:caps/>
          <w:sz w:val="27"/>
          <w:szCs w:val="27"/>
          <w:lang w:eastAsia="sk-SK"/>
        </w:rPr>
      </w:pPr>
      <w:r w:rsidRPr="003851DE">
        <w:rPr>
          <w:b/>
          <w:caps/>
        </w:rPr>
        <w:t>Dôvodová správa</w:t>
      </w:r>
    </w:p>
    <w:p w:rsidR="00E26C1C" w:rsidRPr="003851DE" w:rsidRDefault="00E26C1C" w:rsidP="00E26C1C">
      <w:pPr>
        <w:spacing w:after="120"/>
        <w:jc w:val="both"/>
        <w:rPr>
          <w:b/>
        </w:rPr>
      </w:pPr>
    </w:p>
    <w:p w:rsidR="00E26C1C" w:rsidRPr="003851DE" w:rsidRDefault="00E26C1C" w:rsidP="00E26C1C">
      <w:pPr>
        <w:spacing w:after="120"/>
        <w:jc w:val="both"/>
        <w:rPr>
          <w:b/>
        </w:rPr>
      </w:pPr>
      <w:r w:rsidRPr="003851DE">
        <w:rPr>
          <w:b/>
        </w:rPr>
        <w:t xml:space="preserve">Všeobecná časť </w:t>
      </w:r>
    </w:p>
    <w:p w:rsidR="00E26C1C" w:rsidRPr="003851DE" w:rsidRDefault="00E26C1C" w:rsidP="00E26C1C">
      <w:pPr>
        <w:spacing w:after="120"/>
        <w:jc w:val="both"/>
      </w:pPr>
      <w:r w:rsidRPr="003851DE">
        <w:rPr>
          <w:lang w:eastAsia="sk-SK"/>
        </w:rPr>
        <w:tab/>
      </w:r>
      <w:bookmarkStart w:id="0" w:name="_GoBack"/>
      <w:bookmarkEnd w:id="0"/>
      <w:r w:rsidRPr="003851DE">
        <w:t xml:space="preserve">Návrh zákona o niektorých povinnostiach a oprávneniach v oblasti kryptoaktív a o zmene a doplnení niektorých zákonov (ďalej len „návrh zákona“) je v prvom rade implementáciou niektorých ustanovení nariadenia Európskeho parlamentu a Rady (EÚ) 2023/1114 z 31. mája 2023 o trhoch s kryptoaktívami a o zmene nariadení (EÚ) č. 1093/2010 a (EÚ) č. 1095/2010 a smerníc 2013/36/EÚ a (EÚ) 2019/1937 (Ú. v. EÚ L 150, 9.6.2023) v platnom znení (ďalej len „nariadenie MiCA“). </w:t>
      </w:r>
    </w:p>
    <w:p w:rsidR="00E26C1C" w:rsidRPr="003851DE" w:rsidRDefault="00E26C1C" w:rsidP="00E26C1C">
      <w:pPr>
        <w:spacing w:after="120"/>
        <w:jc w:val="both"/>
        <w:rPr>
          <w:sz w:val="22"/>
          <w:szCs w:val="22"/>
        </w:rPr>
      </w:pPr>
      <w:r w:rsidRPr="003851DE">
        <w:tab/>
        <w:t xml:space="preserve">Nariadenie MiCA je prvým európskym komplexným harmonizovaným rámcom pre trhy s kryptoaktívami, ktorým sa upravuje ponúkanie kryptoaktív verejnosti, stanovujú sa osobitné pravidlá pre kryptoaktíva a súvisiace služby a činnosti. Poskytovatelia služieb súvisiacich s kryptoaktívami budú po novom licencovanými subjektami. </w:t>
      </w:r>
    </w:p>
    <w:p w:rsidR="00E26C1C" w:rsidRPr="003851DE" w:rsidRDefault="00E26C1C" w:rsidP="00E26C1C">
      <w:pPr>
        <w:pStyle w:val="Odsekzoznamu"/>
        <w:spacing w:after="120"/>
        <w:ind w:left="0"/>
        <w:contextualSpacing w:val="0"/>
        <w:jc w:val="both"/>
      </w:pPr>
      <w:r w:rsidRPr="003851DE">
        <w:tab/>
        <w:t>Verejná ponuka kryptoaktív a ich prijatie na obchodovanie na obchodnej platforme nie sú v súčasnosti v slovenskom právnom poriadku špeciálne regulované. Takisto aj poskytovanie služieb súvisiacich s kryptoaktívami je regulované len veľmi okrajovo. Momentálne je poskytovanie služieb zmenárne virtuálnej meny a poskytovanie služieb peňaženky virtuálnej meny viazanou živnosťou podľa prílohy č. 2 zákona č. 455/1991 Zb. o živnostenskom podnikaní (živnostenský zákon) v znení neskorších predpisov. Osoby poskytujúce tieto služby sú potom povinnými osobami podľa § 5 ods. 1 písm. o) a p) zákona č. 297/2008 Z. z. o ochrane pred legalizáciou príjmov z trestnej činnosti a o ochrane pred financovaním terorizmu a o zmene a doplnení niektorých zákonov v znení neskorších predpisov.</w:t>
      </w:r>
    </w:p>
    <w:p w:rsidR="00E26C1C" w:rsidRPr="003851DE" w:rsidRDefault="00E26C1C" w:rsidP="00E26C1C">
      <w:pPr>
        <w:spacing w:after="120"/>
        <w:jc w:val="both"/>
      </w:pPr>
      <w:r w:rsidRPr="003851DE">
        <w:tab/>
        <w:t>Hoci nariadenie MiCA bude priamo účinné, návrh zákona obsahuje niektoré ustanovenia, ktoré sú nevyhnutné k harmonizácii slovenského právneho poriadku s týmto nariadením. Je napríklad potrebné ustanoviť orgán dohľadu, ktorý bude dohliadať na dodržiavanie ustanovených povinností podľa nariadenia MiCA. Týmto príslušným orgánom s</w:t>
      </w:r>
      <w:r>
        <w:t> </w:t>
      </w:r>
      <w:r w:rsidRPr="003851DE">
        <w:t>potrebnými</w:t>
      </w:r>
      <w:r>
        <w:t xml:space="preserve"> </w:t>
      </w:r>
      <w:r w:rsidRPr="003851DE">
        <w:t xml:space="preserve">právomocami bude Národná banka Slovenska, ktorá bude v súlade s nariadením MiCA oprávnená udeľovať povolenie emitentom tokenov naviazaných na aktíva a poskytovateľom služieb kryptoaktív. Národná banka Slovenska bude tiež oprávnená udeľovať sankcie za porušenie povinností vyplývajúcich z nariadenia MiCA. Cieľom niektorých ďalších ustanovení návrhu zákona týkajúcich sa napríklad rezervy aktív vydavateľov tokenov naviazaných na aktíva alebo tokenov elektronických peňazí je hladká aplikácia nariadenia MiCA v Slovenskej republike. </w:t>
      </w:r>
    </w:p>
    <w:p w:rsidR="00E26C1C" w:rsidRPr="003851DE" w:rsidRDefault="00E26C1C" w:rsidP="00E26C1C">
      <w:pPr>
        <w:spacing w:after="120"/>
        <w:jc w:val="both"/>
      </w:pPr>
      <w:r w:rsidRPr="003851DE">
        <w:tab/>
        <w:t xml:space="preserve">Súčasťou návrhu zákona budú aj novely ďalších zákonov súvisiace s implementáciou nariadenia MiCA, ďalej úpravy súvisiace so spresnením transpozície smerníc v oblasti bankovníctva a platobných služieb, ako aj legislatívne úpravy spočívajúce v spresnení niektorých platných ustanovení s cieľom reagovať na poznatky a skúsenosti z aplikačnej praxe. </w:t>
      </w:r>
    </w:p>
    <w:p w:rsidR="00E26C1C" w:rsidRPr="003851DE" w:rsidRDefault="00E26C1C" w:rsidP="00E26C1C">
      <w:pPr>
        <w:spacing w:after="120"/>
        <w:jc w:val="both"/>
      </w:pPr>
      <w:r w:rsidRPr="003851DE">
        <w:tab/>
        <w:t>Prijatie navrhovaného zákona bude mať negatívny vplyv na rozpočet verejnej správy, bude mať pozitívne aj negatívne vplyvy na podnikateľské prostredie a pozitívne vplyvy na informatizáciu spoločnosti. Návrh zákona nemá sociálne vplyvy, vplyvy na životné prostredie, na služby verejnej správy pre občana a nemá vplyvy na manželstvo, rodičovstvo a rodinu.</w:t>
      </w:r>
    </w:p>
    <w:p w:rsidR="00E26C1C" w:rsidRDefault="00E26C1C" w:rsidP="00E26C1C">
      <w:pPr>
        <w:spacing w:after="120"/>
        <w:jc w:val="both"/>
      </w:pPr>
      <w:r w:rsidRPr="003851DE">
        <w:tab/>
        <w:t>Predložený návrh zákona je v súlade s Ústavou Slovenskej republiky, s ústavnými zákonmi, nálezmi ústavného súdu, inými zákonmi a ostatnými všeobecne záväznými právnymi predpismi Slovenskej republiky, s právom Európskej únie a s medzinárodnými zmluvami a inými medzinárodnými dokumentmi, ktorými je Slovenská republika viazaná.</w:t>
      </w:r>
    </w:p>
    <w:p w:rsidR="00E26C1C" w:rsidRDefault="00E26C1C">
      <w:pPr>
        <w:spacing w:after="160" w:line="259" w:lineRule="auto"/>
      </w:pPr>
      <w:r>
        <w:br w:type="page"/>
      </w:r>
    </w:p>
    <w:p w:rsidR="00E26C1C" w:rsidRPr="00994550" w:rsidRDefault="00E26C1C" w:rsidP="00E26C1C">
      <w:pPr>
        <w:jc w:val="center"/>
        <w:rPr>
          <w:b/>
          <w:sz w:val="28"/>
          <w:szCs w:val="28"/>
          <w:lang w:eastAsia="sk-SK"/>
        </w:rPr>
      </w:pPr>
      <w:r w:rsidRPr="00994550">
        <w:rPr>
          <w:b/>
          <w:sz w:val="28"/>
          <w:szCs w:val="28"/>
          <w:lang w:eastAsia="sk-SK"/>
        </w:rPr>
        <w:lastRenderedPageBreak/>
        <w:t>Doložka vybraných vplyvov</w:t>
      </w:r>
    </w:p>
    <w:p w:rsidR="00E26C1C" w:rsidRPr="00994550" w:rsidRDefault="00E26C1C" w:rsidP="00E26C1C">
      <w:pPr>
        <w:jc w:val="center"/>
        <w:rPr>
          <w:b/>
          <w:sz w:val="28"/>
          <w:szCs w:val="28"/>
          <w:lang w:eastAsia="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E26C1C" w:rsidRPr="00994550" w:rsidTr="00D27093">
        <w:tc>
          <w:tcPr>
            <w:tcW w:w="9180" w:type="dxa"/>
            <w:gridSpan w:val="11"/>
            <w:tcBorders>
              <w:bottom w:val="single" w:sz="4" w:space="0" w:color="FFFFFF"/>
            </w:tcBorders>
            <w:shd w:val="clear" w:color="auto" w:fill="E2E2E2"/>
          </w:tcPr>
          <w:p w:rsidR="00E26C1C" w:rsidRPr="00994550" w:rsidRDefault="00E26C1C" w:rsidP="00D27093">
            <w:pPr>
              <w:numPr>
                <w:ilvl w:val="0"/>
                <w:numId w:val="1"/>
              </w:numPr>
              <w:ind w:left="426"/>
              <w:contextualSpacing/>
              <w:rPr>
                <w:rFonts w:eastAsia="Calibri"/>
                <w:b/>
              </w:rPr>
            </w:pPr>
            <w:r w:rsidRPr="00994550">
              <w:rPr>
                <w:rFonts w:eastAsia="Calibri"/>
                <w:b/>
              </w:rPr>
              <w:t>Základné údaje</w:t>
            </w:r>
          </w:p>
        </w:tc>
      </w:tr>
      <w:tr w:rsidR="00E26C1C" w:rsidRPr="00994550" w:rsidTr="00D27093">
        <w:tc>
          <w:tcPr>
            <w:tcW w:w="9180" w:type="dxa"/>
            <w:gridSpan w:val="11"/>
            <w:tcBorders>
              <w:bottom w:val="single" w:sz="4" w:space="0" w:color="FFFFFF"/>
            </w:tcBorders>
            <w:shd w:val="clear" w:color="auto" w:fill="E2E2E2"/>
          </w:tcPr>
          <w:p w:rsidR="00E26C1C" w:rsidRPr="00994550" w:rsidRDefault="00E26C1C" w:rsidP="00D27093">
            <w:pPr>
              <w:spacing w:after="200" w:line="276" w:lineRule="auto"/>
              <w:ind w:left="142"/>
              <w:contextualSpacing/>
              <w:rPr>
                <w:rFonts w:eastAsia="Calibri"/>
                <w:b/>
              </w:rPr>
            </w:pPr>
            <w:r w:rsidRPr="00994550">
              <w:rPr>
                <w:rFonts w:eastAsia="Calibri"/>
                <w:b/>
              </w:rPr>
              <w:t>Názov materiálu</w:t>
            </w:r>
          </w:p>
        </w:tc>
      </w:tr>
      <w:tr w:rsidR="00E26C1C" w:rsidRPr="00994550" w:rsidTr="00D27093">
        <w:tc>
          <w:tcPr>
            <w:tcW w:w="9180" w:type="dxa"/>
            <w:gridSpan w:val="11"/>
            <w:tcBorders>
              <w:top w:val="single" w:sz="4" w:space="0" w:color="FFFFFF"/>
              <w:bottom w:val="single" w:sz="4" w:space="0" w:color="auto"/>
            </w:tcBorders>
          </w:tcPr>
          <w:p w:rsidR="00E26C1C" w:rsidRPr="00994550" w:rsidRDefault="00E26C1C" w:rsidP="00D27093">
            <w:pPr>
              <w:rPr>
                <w:bCs/>
              </w:rPr>
            </w:pPr>
            <w:r w:rsidRPr="00994550">
              <w:t>Návrh zákona o niektorých povinnostiach a oprávneniach v oblasti kryptoaktív a o zmene a doplnení niektorých zákonov</w:t>
            </w:r>
          </w:p>
          <w:p w:rsidR="00E26C1C" w:rsidRPr="00994550" w:rsidRDefault="00E26C1C" w:rsidP="00D27093">
            <w:pPr>
              <w:rPr>
                <w:sz w:val="20"/>
                <w:szCs w:val="20"/>
                <w:lang w:eastAsia="sk-SK"/>
              </w:rPr>
            </w:pPr>
          </w:p>
        </w:tc>
      </w:tr>
      <w:tr w:rsidR="00E26C1C" w:rsidRPr="00994550" w:rsidTr="00D27093">
        <w:tc>
          <w:tcPr>
            <w:tcW w:w="9180" w:type="dxa"/>
            <w:gridSpan w:val="11"/>
            <w:tcBorders>
              <w:top w:val="single" w:sz="4" w:space="0" w:color="auto"/>
              <w:left w:val="single" w:sz="4" w:space="0" w:color="auto"/>
              <w:bottom w:val="single" w:sz="4" w:space="0" w:color="FFFFFF"/>
            </w:tcBorders>
            <w:shd w:val="clear" w:color="auto" w:fill="E2E2E2"/>
          </w:tcPr>
          <w:p w:rsidR="00E26C1C" w:rsidRPr="00994550" w:rsidRDefault="00E26C1C" w:rsidP="00D27093">
            <w:pPr>
              <w:spacing w:after="200" w:line="276" w:lineRule="auto"/>
              <w:ind w:left="142"/>
              <w:contextualSpacing/>
              <w:rPr>
                <w:rFonts w:eastAsia="Calibri"/>
                <w:b/>
              </w:rPr>
            </w:pPr>
            <w:r w:rsidRPr="00994550">
              <w:rPr>
                <w:rFonts w:eastAsia="Calibri"/>
                <w:b/>
              </w:rPr>
              <w:t>Predkladateľ (a spolupredkladateľ)</w:t>
            </w:r>
          </w:p>
        </w:tc>
      </w:tr>
      <w:tr w:rsidR="00E26C1C" w:rsidRPr="00994550" w:rsidTr="00D27093">
        <w:tc>
          <w:tcPr>
            <w:tcW w:w="9180" w:type="dxa"/>
            <w:gridSpan w:val="11"/>
            <w:tcBorders>
              <w:top w:val="single" w:sz="4" w:space="0" w:color="FFFFFF"/>
              <w:left w:val="single" w:sz="4" w:space="0" w:color="auto"/>
              <w:bottom w:val="single" w:sz="4" w:space="0" w:color="auto"/>
            </w:tcBorders>
            <w:shd w:val="clear" w:color="auto" w:fill="FFFFFF"/>
          </w:tcPr>
          <w:p w:rsidR="00E26C1C" w:rsidRPr="00994550" w:rsidRDefault="005D109E" w:rsidP="00D27093">
            <w:pPr>
              <w:rPr>
                <w:sz w:val="20"/>
                <w:szCs w:val="20"/>
                <w:lang w:eastAsia="sk-SK"/>
              </w:rPr>
            </w:pPr>
            <w:r>
              <w:t>Vláda</w:t>
            </w:r>
            <w:r w:rsidR="00E26C1C" w:rsidRPr="00994550">
              <w:t xml:space="preserve"> Slovenskej republiky</w:t>
            </w:r>
          </w:p>
          <w:p w:rsidR="00E26C1C" w:rsidRPr="00994550" w:rsidRDefault="00E26C1C" w:rsidP="00D27093">
            <w:pPr>
              <w:rPr>
                <w:sz w:val="20"/>
                <w:szCs w:val="20"/>
                <w:lang w:eastAsia="sk-SK"/>
              </w:rPr>
            </w:pPr>
          </w:p>
        </w:tc>
      </w:tr>
      <w:tr w:rsidR="00E26C1C" w:rsidRPr="00994550" w:rsidTr="00D27093">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E26C1C" w:rsidRPr="00994550" w:rsidRDefault="00E26C1C" w:rsidP="00D27093">
            <w:pPr>
              <w:spacing w:after="200" w:line="276" w:lineRule="auto"/>
              <w:ind w:left="142"/>
              <w:contextualSpacing/>
              <w:rPr>
                <w:rFonts w:eastAsia="Calibri"/>
                <w:b/>
              </w:rPr>
            </w:pPr>
            <w:r w:rsidRPr="00994550">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26C1C" w:rsidRPr="00994550" w:rsidRDefault="00E26C1C" w:rsidP="00D27093">
                <w:pPr>
                  <w:jc w:val="center"/>
                  <w:rPr>
                    <w:sz w:val="20"/>
                    <w:szCs w:val="20"/>
                    <w:lang w:eastAsia="sk-SK"/>
                  </w:rPr>
                </w:pPr>
                <w:r w:rsidRPr="00994550">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E26C1C" w:rsidRPr="00994550" w:rsidRDefault="00E26C1C" w:rsidP="00D27093">
            <w:pPr>
              <w:rPr>
                <w:sz w:val="20"/>
                <w:szCs w:val="20"/>
                <w:lang w:eastAsia="sk-SK"/>
              </w:rPr>
            </w:pPr>
            <w:r w:rsidRPr="00994550">
              <w:rPr>
                <w:sz w:val="20"/>
                <w:szCs w:val="20"/>
                <w:lang w:eastAsia="sk-SK"/>
              </w:rPr>
              <w:t>Materiál nelegislatívnej povahy</w:t>
            </w:r>
          </w:p>
        </w:tc>
      </w:tr>
      <w:tr w:rsidR="00E26C1C" w:rsidRPr="00994550" w:rsidTr="00D27093">
        <w:tc>
          <w:tcPr>
            <w:tcW w:w="4212" w:type="dxa"/>
            <w:gridSpan w:val="2"/>
            <w:vMerge/>
            <w:tcBorders>
              <w:top w:val="nil"/>
              <w:left w:val="single" w:sz="4" w:space="0" w:color="auto"/>
              <w:bottom w:val="single" w:sz="4" w:space="0" w:color="FFFFFF"/>
            </w:tcBorders>
            <w:shd w:val="clear" w:color="auto" w:fill="E2E2E2"/>
          </w:tcPr>
          <w:p w:rsidR="00E26C1C" w:rsidRPr="00994550" w:rsidRDefault="00E26C1C" w:rsidP="00D27093">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26C1C" w:rsidRPr="00994550" w:rsidRDefault="00E26C1C" w:rsidP="00D27093">
                <w:pPr>
                  <w:jc w:val="center"/>
                  <w:rPr>
                    <w:sz w:val="20"/>
                    <w:szCs w:val="20"/>
                    <w:lang w:eastAsia="sk-SK"/>
                  </w:rPr>
                </w:pPr>
                <w:r w:rsidRPr="00994550">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E26C1C" w:rsidRPr="00994550" w:rsidRDefault="00E26C1C" w:rsidP="00D27093">
            <w:pPr>
              <w:ind w:left="175" w:hanging="175"/>
              <w:rPr>
                <w:sz w:val="20"/>
                <w:szCs w:val="20"/>
                <w:lang w:eastAsia="sk-SK"/>
              </w:rPr>
            </w:pPr>
            <w:r w:rsidRPr="00994550">
              <w:rPr>
                <w:sz w:val="20"/>
                <w:szCs w:val="20"/>
                <w:lang w:eastAsia="sk-SK"/>
              </w:rPr>
              <w:t>Materiál legislatívnej povahy</w:t>
            </w:r>
          </w:p>
        </w:tc>
      </w:tr>
      <w:tr w:rsidR="00E26C1C" w:rsidRPr="00994550" w:rsidTr="00D27093">
        <w:tc>
          <w:tcPr>
            <w:tcW w:w="4212" w:type="dxa"/>
            <w:gridSpan w:val="2"/>
            <w:vMerge/>
            <w:tcBorders>
              <w:top w:val="nil"/>
              <w:left w:val="single" w:sz="4" w:space="0" w:color="auto"/>
              <w:bottom w:val="single" w:sz="4" w:space="0" w:color="auto"/>
            </w:tcBorders>
            <w:shd w:val="clear" w:color="auto" w:fill="E2E2E2"/>
          </w:tcPr>
          <w:p w:rsidR="00E26C1C" w:rsidRPr="00994550" w:rsidRDefault="00E26C1C" w:rsidP="00D27093">
            <w:pPr>
              <w:rPr>
                <w:sz w:val="20"/>
                <w:szCs w:val="20"/>
                <w:lang w:eastAsia="sk-SK"/>
              </w:rPr>
            </w:pPr>
          </w:p>
        </w:tc>
        <w:sdt>
          <w:sdtPr>
            <w:rPr>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26C1C" w:rsidRPr="00994550" w:rsidRDefault="00E26C1C" w:rsidP="00D27093">
                <w:pPr>
                  <w:jc w:val="center"/>
                  <w:rPr>
                    <w:sz w:val="20"/>
                    <w:szCs w:val="20"/>
                    <w:lang w:eastAsia="sk-SK"/>
                  </w:rPr>
                </w:pPr>
                <w:r w:rsidRPr="00994550">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E26C1C" w:rsidRPr="00994550" w:rsidRDefault="00E26C1C" w:rsidP="00D27093">
            <w:pPr>
              <w:rPr>
                <w:sz w:val="20"/>
                <w:szCs w:val="20"/>
                <w:lang w:eastAsia="sk-SK"/>
              </w:rPr>
            </w:pPr>
            <w:r w:rsidRPr="00994550">
              <w:rPr>
                <w:sz w:val="20"/>
                <w:szCs w:val="20"/>
                <w:lang w:eastAsia="sk-SK"/>
              </w:rPr>
              <w:t>Transpozícia/ implementácia práva EÚ</w:t>
            </w:r>
          </w:p>
        </w:tc>
      </w:tr>
      <w:tr w:rsidR="00E26C1C" w:rsidRPr="00994550" w:rsidTr="00D27093">
        <w:tc>
          <w:tcPr>
            <w:tcW w:w="9180" w:type="dxa"/>
            <w:gridSpan w:val="11"/>
            <w:tcBorders>
              <w:top w:val="single" w:sz="4" w:space="0" w:color="auto"/>
              <w:left w:val="single" w:sz="4" w:space="0" w:color="auto"/>
              <w:bottom w:val="single" w:sz="4" w:space="0" w:color="FFFFFF"/>
            </w:tcBorders>
            <w:shd w:val="clear" w:color="auto" w:fill="FFFFFF"/>
          </w:tcPr>
          <w:p w:rsidR="00E26C1C" w:rsidRPr="00994550" w:rsidRDefault="00E26C1C" w:rsidP="00D27093">
            <w:pPr>
              <w:rPr>
                <w:i/>
                <w:sz w:val="20"/>
                <w:szCs w:val="20"/>
                <w:lang w:eastAsia="sk-SK"/>
              </w:rPr>
            </w:pPr>
            <w:r w:rsidRPr="00994550">
              <w:rPr>
                <w:i/>
                <w:sz w:val="20"/>
                <w:szCs w:val="20"/>
                <w:lang w:eastAsia="sk-SK"/>
              </w:rPr>
              <w:t>V prípade transpozície/implementácie uveďte zoznam transponovaných/implementovaných predpisov:</w:t>
            </w:r>
          </w:p>
          <w:p w:rsidR="00E26C1C" w:rsidRPr="00994550" w:rsidRDefault="00E26C1C" w:rsidP="00D27093">
            <w:pPr>
              <w:rPr>
                <w:sz w:val="20"/>
                <w:szCs w:val="20"/>
                <w:lang w:eastAsia="sk-SK"/>
              </w:rPr>
            </w:pPr>
          </w:p>
          <w:p w:rsidR="00E26C1C" w:rsidRPr="00E26C1C" w:rsidRDefault="00E26C1C" w:rsidP="00E26C1C">
            <w:pPr>
              <w:pStyle w:val="Odsekzoznamu"/>
              <w:numPr>
                <w:ilvl w:val="0"/>
                <w:numId w:val="2"/>
              </w:numPr>
              <w:spacing w:after="200"/>
              <w:jc w:val="both"/>
            </w:pPr>
            <w:r w:rsidRPr="00E26C1C">
              <w:t>Implementácia niektorých ustanovení nariadenia Európskeho parlamentu a Rady (EÚ) 2023/1114 z 31. mája 2023 o trhoch s kryptoaktívami a o zmene nariadení (EÚ) č. 1093/2010 a (EÚ) č. 1095/2010 a smerníc 2013/36/EÚ a (EÚ) 2019/1937 (ďalej len „nariadenie MiCA“),</w:t>
            </w:r>
          </w:p>
          <w:p w:rsidR="00E26C1C" w:rsidRPr="00E26C1C" w:rsidRDefault="00E26C1C" w:rsidP="00E26C1C">
            <w:pPr>
              <w:pStyle w:val="Odsekzoznamu"/>
              <w:numPr>
                <w:ilvl w:val="0"/>
                <w:numId w:val="2"/>
              </w:numPr>
              <w:spacing w:after="200"/>
              <w:jc w:val="both"/>
              <w:rPr>
                <w:b/>
              </w:rPr>
            </w:pPr>
            <w:r w:rsidRPr="00E26C1C">
              <w:t xml:space="preserve">transpozícia čl. 146 nariadenia MiCA, ktorým sa novelizuje smernica 2013/36/EÚ </w:t>
            </w:r>
            <w:r w:rsidRPr="00E26C1C">
              <w:rPr>
                <w:lang w:eastAsia="sk-SK"/>
              </w:rPr>
              <w:t xml:space="preserve">z 26. júna 2013 </w:t>
            </w:r>
            <w:r w:rsidRPr="00E26C1C">
              <w:rPr>
                <w:rStyle w:val="Siln"/>
                <w:b w:val="0"/>
              </w:rPr>
              <w:t>o prístupe k činnosti úverových inštitúcií a </w:t>
            </w:r>
            <w:proofErr w:type="spellStart"/>
            <w:r w:rsidRPr="00E26C1C">
              <w:rPr>
                <w:rStyle w:val="Siln"/>
                <w:b w:val="0"/>
              </w:rPr>
              <w:t>prudenciálnom</w:t>
            </w:r>
            <w:proofErr w:type="spellEnd"/>
            <w:r w:rsidRPr="00E26C1C">
              <w:rPr>
                <w:rStyle w:val="Siln"/>
                <w:b w:val="0"/>
              </w:rPr>
              <w:t xml:space="preserve"> dohľade nad úverovými inštitúciami, o zmene smernice 2002/87/ES a o zrušení smerníc 2006/48/ES a 2006/49/ES,</w:t>
            </w:r>
          </w:p>
          <w:p w:rsidR="00E26C1C" w:rsidRPr="00E26C1C" w:rsidRDefault="00E26C1C" w:rsidP="00E26C1C">
            <w:pPr>
              <w:pStyle w:val="Odsekzoznamu"/>
              <w:numPr>
                <w:ilvl w:val="0"/>
                <w:numId w:val="2"/>
              </w:numPr>
              <w:jc w:val="both"/>
            </w:pPr>
            <w:r w:rsidRPr="00E26C1C">
              <w:rPr>
                <w:color w:val="000000"/>
                <w:lang w:eastAsia="sk-SK"/>
              </w:rPr>
              <w:t xml:space="preserve">spresnenie transpozície čl. 62 smernice Európskeho parlamentu a Rady (EÚ) 2019/2034 z 27. novembra 2019 o </w:t>
            </w:r>
            <w:proofErr w:type="spellStart"/>
            <w:r w:rsidRPr="00E26C1C">
              <w:rPr>
                <w:color w:val="000000"/>
                <w:lang w:eastAsia="sk-SK"/>
              </w:rPr>
              <w:t>prudenciálnom</w:t>
            </w:r>
            <w:proofErr w:type="spellEnd"/>
            <w:r w:rsidRPr="00E26C1C">
              <w:rPr>
                <w:color w:val="000000"/>
                <w:lang w:eastAsia="sk-SK"/>
              </w:rPr>
              <w:t xml:space="preserve"> dohľade nad investičnými spoločnosťami a o zmene smerníc 2002/87/ES, 2009/65/ES, 2011/61/ES, 2013/36/EÚ, 2014/59/EÚ a 2014/65/EÚ,</w:t>
            </w:r>
          </w:p>
          <w:p w:rsidR="00E26C1C" w:rsidRPr="00E26C1C" w:rsidRDefault="00E26C1C" w:rsidP="00E26C1C">
            <w:pPr>
              <w:pStyle w:val="Odsekzoznamu"/>
              <w:numPr>
                <w:ilvl w:val="0"/>
                <w:numId w:val="2"/>
              </w:numPr>
              <w:jc w:val="both"/>
              <w:rPr>
                <w:lang w:eastAsia="sk-SK"/>
              </w:rPr>
            </w:pPr>
            <w:r w:rsidRPr="00E26C1C">
              <w:rPr>
                <w:color w:val="000000"/>
                <w:lang w:eastAsia="sk-SK"/>
              </w:rPr>
              <w:t>spresnenie transpozície smernice</w:t>
            </w:r>
            <w:r w:rsidRPr="00E26C1C">
              <w:t xml:space="preserve"> Európskeho parlamentu a Rady (EÚ) 2019/878 z 20. mája 2019, ktorou sa mení smernica 2013/36/EÚ, pokiaľ ide o oslobodené subjekty, finančné holdingové spoločnosti, zmiešané finančné holdingové spoločnosti, odmeňovanie, opatrenia a právomoci v oblasti dohľadu a opatrenia na zachovanie kapitálu</w:t>
            </w:r>
            <w:r w:rsidRPr="00E26C1C">
              <w:rPr>
                <w:iCs/>
                <w:noProof/>
              </w:rPr>
              <w:t>,</w:t>
            </w:r>
          </w:p>
          <w:p w:rsidR="00E26C1C" w:rsidRPr="00E26C1C" w:rsidRDefault="00E26C1C" w:rsidP="00E26C1C">
            <w:pPr>
              <w:pStyle w:val="Odsekzoznamu"/>
              <w:numPr>
                <w:ilvl w:val="0"/>
                <w:numId w:val="2"/>
              </w:numPr>
              <w:jc w:val="both"/>
            </w:pPr>
            <w:r w:rsidRPr="00E26C1C">
              <w:rPr>
                <w:bCs/>
              </w:rPr>
              <w:t xml:space="preserve">spresnenie transpozície niektorých ustanovení smernice </w:t>
            </w:r>
            <w:r w:rsidRPr="00E26C1C">
              <w:rPr>
                <w:shd w:val="clear" w:color="auto" w:fill="FFFFFF"/>
              </w:rPr>
              <w:t>Európskeho parlamentu a Rady</w:t>
            </w:r>
            <w:r w:rsidRPr="00E26C1C">
              <w:rPr>
                <w:bCs/>
              </w:rPr>
              <w:t xml:space="preserve"> (EÚ) 2015/2366 z 25. novembra 2015 o platobných službách na vnútornom trhu, ktorou sa menia smernice 2002/65/ES, 2009/110/ES a 2013/36/EÚ a nariadenie (EÚ) č. 1093/2010 a ktorou sa zrušuje smernica 2007/64/ES v platnom znení,</w:t>
            </w:r>
          </w:p>
          <w:p w:rsidR="00E26C1C" w:rsidRPr="00E26C1C" w:rsidRDefault="00E26C1C" w:rsidP="00E26C1C">
            <w:pPr>
              <w:pStyle w:val="Odsekzoznamu"/>
              <w:numPr>
                <w:ilvl w:val="0"/>
                <w:numId w:val="2"/>
              </w:numPr>
              <w:spacing w:after="200"/>
              <w:jc w:val="both"/>
              <w:rPr>
                <w:rStyle w:val="Siln"/>
                <w:b w:val="0"/>
                <w:bCs w:val="0"/>
              </w:rPr>
            </w:pPr>
            <w:r w:rsidRPr="00E26C1C">
              <w:rPr>
                <w:shd w:val="clear" w:color="auto" w:fill="FFFFFF"/>
              </w:rPr>
              <w:t xml:space="preserve">spresnenie transpozície niektorých ustanovení </w:t>
            </w:r>
            <w:r w:rsidRPr="00E26C1C">
              <w:rPr>
                <w:lang w:eastAsia="sk-SK"/>
              </w:rPr>
              <w:t>smernice Európskeho parlamentu a Rady 2013/36/EÚ z 26. júna 2013</w:t>
            </w:r>
            <w:r w:rsidRPr="00E26C1C">
              <w:rPr>
                <w:b/>
                <w:lang w:eastAsia="sk-SK"/>
              </w:rPr>
              <w:t xml:space="preserve"> </w:t>
            </w:r>
            <w:r w:rsidRPr="00E26C1C">
              <w:rPr>
                <w:rStyle w:val="Siln"/>
                <w:b w:val="0"/>
              </w:rPr>
              <w:t>o prístupe k činnosti úverových inštitúcií a </w:t>
            </w:r>
            <w:proofErr w:type="spellStart"/>
            <w:r w:rsidRPr="00E26C1C">
              <w:rPr>
                <w:rStyle w:val="Siln"/>
                <w:b w:val="0"/>
              </w:rPr>
              <w:t>prudenciálnom</w:t>
            </w:r>
            <w:proofErr w:type="spellEnd"/>
            <w:r w:rsidRPr="00E26C1C">
              <w:rPr>
                <w:rStyle w:val="Siln"/>
                <w:b w:val="0"/>
              </w:rPr>
              <w:t xml:space="preserve"> dohľade nad úverovými inštitúciami, o zmene smernice 2002/87/ES a o zrušení smerníc 2006/48/ES a 2006/49/ES,</w:t>
            </w:r>
          </w:p>
          <w:p w:rsidR="00E26C1C" w:rsidRPr="00E26C1C" w:rsidRDefault="00E26C1C" w:rsidP="00E26C1C">
            <w:pPr>
              <w:pStyle w:val="Odsekzoznamu"/>
              <w:numPr>
                <w:ilvl w:val="0"/>
                <w:numId w:val="2"/>
              </w:numPr>
              <w:jc w:val="both"/>
              <w:rPr>
                <w:sz w:val="20"/>
                <w:szCs w:val="20"/>
                <w:lang w:eastAsia="sk-SK"/>
              </w:rPr>
            </w:pPr>
            <w:r w:rsidRPr="00E26C1C">
              <w:rPr>
                <w:bCs/>
              </w:rPr>
              <w:t xml:space="preserve">spresnenie transpozície niektorých ustanovení smernice </w:t>
            </w:r>
            <w:r w:rsidRPr="00E26C1C">
              <w:rPr>
                <w:iCs/>
              </w:rPr>
              <w:t>Európskeho parlamentu a</w:t>
            </w:r>
            <w:r w:rsidR="00D27093">
              <w:rPr>
                <w:iCs/>
              </w:rPr>
              <w:t> </w:t>
            </w:r>
            <w:r w:rsidRPr="00E26C1C">
              <w:rPr>
                <w:iCs/>
              </w:rPr>
              <w:t>Rady</w:t>
            </w:r>
            <w:r w:rsidR="00D27093">
              <w:rPr>
                <w:iCs/>
              </w:rPr>
              <w:t xml:space="preserve"> </w:t>
            </w:r>
            <w:r w:rsidRPr="00E26C1C">
              <w:rPr>
                <w:iCs/>
              </w:rPr>
              <w:t>2009/110/ES zo 16. septembra 2009 o začatí a vykonávaní činností a dohľade nad obozretným podnikaním inštitúcií elektronického peňažníctva, ktorou sa menia a dopĺňajú smernice 2005/60/ES a 2006/48/ES a zrušuje smernica 2000/46/ES v platnom znení,</w:t>
            </w:r>
          </w:p>
          <w:p w:rsidR="00E26C1C" w:rsidRPr="00E26C1C" w:rsidRDefault="00E26C1C" w:rsidP="00E26C1C">
            <w:pPr>
              <w:pStyle w:val="Odsekzoznamu"/>
              <w:numPr>
                <w:ilvl w:val="0"/>
                <w:numId w:val="2"/>
              </w:numPr>
              <w:jc w:val="both"/>
              <w:rPr>
                <w:lang w:eastAsia="sk-SK"/>
              </w:rPr>
            </w:pPr>
            <w:r w:rsidRPr="00E26C1C">
              <w:rPr>
                <w:iCs/>
              </w:rPr>
              <w:t xml:space="preserve">spresnenie transpozície niektorých ustanovení smernice </w:t>
            </w:r>
            <w:r w:rsidRPr="00E26C1C">
              <w:rPr>
                <w:rStyle w:val="Siln"/>
                <w:b w:val="0"/>
              </w:rPr>
              <w:t>2001/24/ES Európskeho parlamentu a Rady zo 4. apríla 2001 o reorganizácii a likvidácii úverových inštitúcií</w:t>
            </w:r>
            <w:r w:rsidRPr="00E26C1C">
              <w:rPr>
                <w:b/>
                <w:iCs/>
              </w:rPr>
              <w:t>.</w:t>
            </w:r>
            <w:r w:rsidRPr="00E26C1C">
              <w:rPr>
                <w:iCs/>
              </w:rPr>
              <w:t xml:space="preserve"> </w:t>
            </w:r>
          </w:p>
          <w:p w:rsidR="00E26C1C" w:rsidRDefault="00E26C1C" w:rsidP="00D27093">
            <w:pPr>
              <w:rPr>
                <w:sz w:val="20"/>
                <w:szCs w:val="20"/>
                <w:lang w:eastAsia="sk-SK"/>
              </w:rPr>
            </w:pPr>
          </w:p>
          <w:p w:rsidR="00E26C1C" w:rsidRDefault="00E26C1C" w:rsidP="00D27093">
            <w:pPr>
              <w:rPr>
                <w:sz w:val="20"/>
                <w:szCs w:val="20"/>
                <w:lang w:eastAsia="sk-SK"/>
              </w:rPr>
            </w:pPr>
          </w:p>
          <w:p w:rsidR="00E26C1C" w:rsidRPr="00994550" w:rsidRDefault="00E26C1C" w:rsidP="00D27093">
            <w:pPr>
              <w:rPr>
                <w:sz w:val="20"/>
                <w:szCs w:val="20"/>
                <w:lang w:eastAsia="sk-SK"/>
              </w:rPr>
            </w:pPr>
          </w:p>
        </w:tc>
      </w:tr>
      <w:tr w:rsidR="00E26C1C" w:rsidRPr="00994550" w:rsidTr="00D27093">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E26C1C" w:rsidRPr="00994550" w:rsidRDefault="00E26C1C" w:rsidP="00D27093">
            <w:pPr>
              <w:spacing w:after="200" w:line="276" w:lineRule="auto"/>
              <w:ind w:left="142"/>
              <w:contextualSpacing/>
              <w:rPr>
                <w:rFonts w:eastAsia="Calibri"/>
                <w:b/>
              </w:rPr>
            </w:pPr>
            <w:r w:rsidRPr="00994550">
              <w:rPr>
                <w:rFonts w:eastAsia="Calibri"/>
                <w:b/>
              </w:rPr>
              <w:lastRenderedPageBreak/>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E26C1C" w:rsidRPr="00994550" w:rsidRDefault="00E26C1C" w:rsidP="00D27093">
            <w:pPr>
              <w:rPr>
                <w:lang w:eastAsia="sk-SK"/>
              </w:rPr>
            </w:pPr>
            <w:r w:rsidRPr="00994550">
              <w:rPr>
                <w:lang w:eastAsia="sk-SK"/>
              </w:rPr>
              <w:t>7. 2. 2024 – 16. 2. 2024</w:t>
            </w:r>
          </w:p>
        </w:tc>
      </w:tr>
      <w:tr w:rsidR="00E26C1C" w:rsidRPr="00994550" w:rsidTr="00D2709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26C1C" w:rsidRPr="00994550" w:rsidRDefault="00E26C1C" w:rsidP="00D27093">
            <w:pPr>
              <w:spacing w:after="200" w:line="276" w:lineRule="auto"/>
              <w:ind w:left="142"/>
              <w:contextualSpacing/>
              <w:rPr>
                <w:rFonts w:eastAsia="Calibri"/>
                <w:b/>
              </w:rPr>
            </w:pPr>
            <w:r w:rsidRPr="00994550">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E26C1C" w:rsidRPr="00994550" w:rsidRDefault="00E26C1C" w:rsidP="00D27093">
            <w:pPr>
              <w:rPr>
                <w:i/>
                <w:lang w:eastAsia="sk-SK"/>
              </w:rPr>
            </w:pPr>
            <w:r w:rsidRPr="00994550">
              <w:t>február 2024</w:t>
            </w:r>
          </w:p>
        </w:tc>
      </w:tr>
      <w:tr w:rsidR="00E26C1C" w:rsidRPr="00994550" w:rsidTr="00D27093">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26C1C" w:rsidRPr="00994550" w:rsidRDefault="00E26C1C" w:rsidP="00D27093">
            <w:pPr>
              <w:spacing w:line="276" w:lineRule="auto"/>
              <w:ind w:left="142"/>
              <w:contextualSpacing/>
              <w:rPr>
                <w:rFonts w:ascii="Calibri" w:eastAsia="Calibri" w:hAnsi="Calibri"/>
                <w:b/>
              </w:rPr>
            </w:pPr>
            <w:r w:rsidRPr="00994550">
              <w:rPr>
                <w:rFonts w:eastAsia="Calibri"/>
                <w:b/>
              </w:rPr>
              <w:t>Predpokladaný termín začiatku a ukončenia ZP**</w:t>
            </w:r>
            <w:r w:rsidRPr="00994550">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E26C1C" w:rsidRPr="00994550" w:rsidRDefault="00E26C1C" w:rsidP="00D27093">
            <w:pPr>
              <w:rPr>
                <w:i/>
                <w:lang w:eastAsia="sk-SK"/>
              </w:rPr>
            </w:pPr>
          </w:p>
        </w:tc>
      </w:tr>
      <w:tr w:rsidR="00E26C1C" w:rsidRPr="00994550" w:rsidTr="00D2709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26C1C" w:rsidRPr="00994550" w:rsidRDefault="00E26C1C" w:rsidP="00D27093">
            <w:pPr>
              <w:spacing w:after="200" w:line="276" w:lineRule="auto"/>
              <w:ind w:left="142"/>
              <w:contextualSpacing/>
              <w:jc w:val="both"/>
              <w:rPr>
                <w:rFonts w:eastAsia="Calibri"/>
                <w:b/>
              </w:rPr>
            </w:pPr>
            <w:r w:rsidRPr="00994550">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E26C1C" w:rsidRPr="00994550" w:rsidRDefault="00E26C1C" w:rsidP="00D27093">
            <w:pPr>
              <w:rPr>
                <w:i/>
                <w:lang w:eastAsia="sk-SK"/>
              </w:rPr>
            </w:pPr>
          </w:p>
        </w:tc>
      </w:tr>
      <w:tr w:rsidR="00E26C1C" w:rsidRPr="00994550" w:rsidTr="00D27093">
        <w:tc>
          <w:tcPr>
            <w:tcW w:w="9180" w:type="dxa"/>
            <w:gridSpan w:val="11"/>
            <w:tcBorders>
              <w:top w:val="single" w:sz="4" w:space="0" w:color="auto"/>
              <w:left w:val="nil"/>
              <w:bottom w:val="single" w:sz="4" w:space="0" w:color="auto"/>
              <w:right w:val="nil"/>
            </w:tcBorders>
            <w:shd w:val="clear" w:color="auto" w:fill="FFFFFF"/>
          </w:tcPr>
          <w:p w:rsidR="00E26C1C" w:rsidRPr="00994550" w:rsidRDefault="00E26C1C" w:rsidP="00D27093">
            <w:pPr>
              <w:rPr>
                <w:sz w:val="20"/>
                <w:szCs w:val="20"/>
                <w:lang w:eastAsia="sk-SK"/>
              </w:rPr>
            </w:pPr>
          </w:p>
        </w:tc>
      </w:tr>
      <w:tr w:rsidR="00E26C1C" w:rsidRPr="00994550" w:rsidTr="00D2709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26C1C" w:rsidRPr="00994550" w:rsidRDefault="00E26C1C" w:rsidP="00D27093">
            <w:pPr>
              <w:numPr>
                <w:ilvl w:val="0"/>
                <w:numId w:val="1"/>
              </w:numPr>
              <w:ind w:left="426"/>
              <w:contextualSpacing/>
              <w:rPr>
                <w:rFonts w:eastAsia="Calibri"/>
                <w:b/>
              </w:rPr>
            </w:pPr>
            <w:r w:rsidRPr="00994550">
              <w:rPr>
                <w:rFonts w:eastAsia="Calibri"/>
                <w:b/>
              </w:rPr>
              <w:t>Definovanie problému</w:t>
            </w:r>
          </w:p>
        </w:tc>
      </w:tr>
      <w:tr w:rsidR="00E26C1C" w:rsidRPr="00994550" w:rsidTr="00D27093">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26C1C" w:rsidRPr="00994550" w:rsidRDefault="00E26C1C" w:rsidP="00D27093">
            <w:pPr>
              <w:jc w:val="both"/>
              <w:rPr>
                <w:i/>
                <w:sz w:val="20"/>
                <w:szCs w:val="20"/>
                <w:lang w:eastAsia="sk-SK"/>
              </w:rPr>
            </w:pPr>
            <w:r w:rsidRPr="00994550">
              <w:rPr>
                <w:i/>
                <w:sz w:val="20"/>
                <w:szCs w:val="20"/>
                <w:lang w:eastAsia="sk-SK"/>
              </w:rPr>
              <w:t>Uveďte základné problémy, ktoré sú dôvodom vypracovania predkladaného  materiálu (dôvody majú presne poukázať na problém, ktorý existuje a je nutné ho predloženým materiálom riešiť).</w:t>
            </w:r>
          </w:p>
          <w:p w:rsidR="00E26C1C" w:rsidRPr="00994550" w:rsidRDefault="00E26C1C" w:rsidP="00D27093">
            <w:pPr>
              <w:rPr>
                <w:b/>
                <w:sz w:val="20"/>
                <w:szCs w:val="20"/>
                <w:lang w:eastAsia="sk-SK"/>
              </w:rPr>
            </w:pPr>
          </w:p>
          <w:p w:rsidR="00E26C1C" w:rsidRPr="00994550" w:rsidRDefault="00E26C1C" w:rsidP="00D27093">
            <w:pPr>
              <w:spacing w:after="120"/>
              <w:jc w:val="both"/>
              <w:rPr>
                <w:lang w:eastAsia="sk-SK"/>
              </w:rPr>
            </w:pPr>
            <w:r w:rsidRPr="00994550">
              <w:rPr>
                <w:lang w:eastAsia="sk-SK"/>
              </w:rPr>
              <w:t xml:space="preserve">Navrhovaná právna úprava reaguje na prijatie nariadenia MiCA. Hoci je toto nariadenie priamo účinné, niektoré jeho ustanovenia musia byť implementované do slovenského právneho poriadku prostredníctvom tohto návrhu zákona, aby sa dosiahla hladká aplikácia nariadenia MiCA v Slovenskej republike. Týka sa to napríklad určenia orgánu dohľadu, ktorý bude vykonávať dohľad nad dodržiavaním ustanovení nariadenia MiCA. Týmto orgánom je Národná banka Slovenska, ktorá bude oprávnená udeľovať povolenia </w:t>
            </w:r>
            <w:r w:rsidRPr="00994550">
              <w:t xml:space="preserve">verejne ponúkať tokeny naviazané na aktíva a žiadať o ich prijatie na obchodovanie, udeľovať povolenie poskytovateľom služieb kryptoaktív. </w:t>
            </w:r>
          </w:p>
          <w:p w:rsidR="00E26C1C" w:rsidRPr="00994550" w:rsidRDefault="00E26C1C" w:rsidP="00D27093">
            <w:pPr>
              <w:spacing w:after="120"/>
              <w:jc w:val="both"/>
            </w:pPr>
            <w:r w:rsidRPr="00994550">
              <w:rPr>
                <w:lang w:eastAsia="sk-SK"/>
              </w:rPr>
              <w:t xml:space="preserve">Návrh zákona </w:t>
            </w:r>
            <w:r w:rsidRPr="00994550">
              <w:t xml:space="preserve">obsahuje aj novely ďalších zákonov súvisiace s implementáciou nariadenia MiCA, ďalej úpravy súvisiace so spresnením transpozície smerníc v oblasti bankovníctva a platobných služieb, ako aj legislatívne úpravy spočívajúce v spresnení niektorých platných ustanovení s cieľom reagovať na poznatky a skúsenosti z aplikačnej praxe. </w:t>
            </w:r>
          </w:p>
          <w:p w:rsidR="00E26C1C" w:rsidRPr="00994550" w:rsidRDefault="00E26C1C" w:rsidP="00D27093">
            <w:pPr>
              <w:spacing w:after="120"/>
              <w:jc w:val="both"/>
              <w:rPr>
                <w:b/>
                <w:sz w:val="20"/>
                <w:szCs w:val="20"/>
                <w:lang w:eastAsia="sk-SK"/>
              </w:rPr>
            </w:pPr>
          </w:p>
        </w:tc>
      </w:tr>
      <w:tr w:rsidR="00E26C1C" w:rsidRPr="00994550" w:rsidTr="00D27093">
        <w:tc>
          <w:tcPr>
            <w:tcW w:w="9180" w:type="dxa"/>
            <w:gridSpan w:val="11"/>
            <w:tcBorders>
              <w:top w:val="single" w:sz="4" w:space="0" w:color="auto"/>
              <w:left w:val="single" w:sz="4" w:space="0" w:color="auto"/>
              <w:bottom w:val="nil"/>
              <w:right w:val="single" w:sz="4" w:space="0" w:color="auto"/>
            </w:tcBorders>
            <w:shd w:val="clear" w:color="auto" w:fill="E2E2E2"/>
          </w:tcPr>
          <w:p w:rsidR="00E26C1C" w:rsidRPr="00994550" w:rsidRDefault="00E26C1C" w:rsidP="00D27093">
            <w:pPr>
              <w:numPr>
                <w:ilvl w:val="0"/>
                <w:numId w:val="1"/>
              </w:numPr>
              <w:ind w:left="426"/>
              <w:contextualSpacing/>
              <w:rPr>
                <w:rFonts w:eastAsia="Calibri"/>
                <w:b/>
              </w:rPr>
            </w:pPr>
            <w:r w:rsidRPr="00994550">
              <w:rPr>
                <w:rFonts w:eastAsia="Calibri"/>
                <w:b/>
              </w:rPr>
              <w:t>Ciele a výsledný stav</w:t>
            </w:r>
          </w:p>
        </w:tc>
      </w:tr>
      <w:tr w:rsidR="00E26C1C" w:rsidRPr="00994550" w:rsidTr="00D27093">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E26C1C" w:rsidRPr="00994550" w:rsidRDefault="00E26C1C" w:rsidP="00D27093">
            <w:pPr>
              <w:rPr>
                <w:i/>
                <w:sz w:val="20"/>
                <w:szCs w:val="20"/>
                <w:lang w:eastAsia="sk-SK"/>
              </w:rPr>
            </w:pPr>
            <w:r w:rsidRPr="00994550">
              <w:rPr>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E26C1C" w:rsidRPr="00994550" w:rsidRDefault="00E26C1C" w:rsidP="00D27093">
            <w:pPr>
              <w:jc w:val="both"/>
              <w:rPr>
                <w:lang w:eastAsia="sk-SK"/>
              </w:rPr>
            </w:pPr>
          </w:p>
          <w:p w:rsidR="00E26C1C" w:rsidRPr="00994550" w:rsidRDefault="00E26C1C" w:rsidP="00D27093">
            <w:pPr>
              <w:spacing w:after="120"/>
              <w:jc w:val="both"/>
              <w:rPr>
                <w:lang w:eastAsia="sk-SK"/>
              </w:rPr>
            </w:pPr>
            <w:r w:rsidRPr="00994550">
              <w:rPr>
                <w:lang w:eastAsia="sk-SK"/>
              </w:rPr>
              <w:t xml:space="preserve">Hlavným cieľom návrhu je adaptovať slovenský právny poriadok na priamo účinné nariadenie MiCA. Táto povinnosť Slovenskej republiky vyplýva z jej členstva v Európskej únii. </w:t>
            </w:r>
          </w:p>
          <w:p w:rsidR="00E26C1C" w:rsidRPr="00994550" w:rsidRDefault="00E26C1C" w:rsidP="00D27093">
            <w:pPr>
              <w:spacing w:after="120"/>
              <w:jc w:val="both"/>
              <w:rPr>
                <w:sz w:val="20"/>
                <w:szCs w:val="20"/>
                <w:lang w:eastAsia="sk-SK"/>
              </w:rPr>
            </w:pPr>
          </w:p>
        </w:tc>
      </w:tr>
      <w:tr w:rsidR="00E26C1C" w:rsidRPr="00994550" w:rsidTr="00D27093">
        <w:tc>
          <w:tcPr>
            <w:tcW w:w="9180" w:type="dxa"/>
            <w:gridSpan w:val="11"/>
            <w:tcBorders>
              <w:top w:val="single" w:sz="4" w:space="0" w:color="auto"/>
              <w:left w:val="single" w:sz="4" w:space="0" w:color="auto"/>
              <w:bottom w:val="nil"/>
              <w:right w:val="single" w:sz="4" w:space="0" w:color="auto"/>
            </w:tcBorders>
            <w:shd w:val="clear" w:color="auto" w:fill="E2E2E2"/>
          </w:tcPr>
          <w:p w:rsidR="00E26C1C" w:rsidRPr="00994550" w:rsidRDefault="00E26C1C" w:rsidP="00D27093">
            <w:pPr>
              <w:numPr>
                <w:ilvl w:val="0"/>
                <w:numId w:val="1"/>
              </w:numPr>
              <w:ind w:left="426"/>
              <w:contextualSpacing/>
              <w:rPr>
                <w:rFonts w:eastAsia="Calibri"/>
                <w:b/>
              </w:rPr>
            </w:pPr>
            <w:r w:rsidRPr="00994550">
              <w:rPr>
                <w:rFonts w:eastAsia="Calibri"/>
                <w:b/>
              </w:rPr>
              <w:t>Dotknuté subjekty</w:t>
            </w:r>
          </w:p>
        </w:tc>
      </w:tr>
      <w:tr w:rsidR="00E26C1C" w:rsidRPr="00994550" w:rsidTr="00D27093">
        <w:tc>
          <w:tcPr>
            <w:tcW w:w="9180" w:type="dxa"/>
            <w:gridSpan w:val="11"/>
            <w:tcBorders>
              <w:top w:val="nil"/>
              <w:left w:val="single" w:sz="4" w:space="0" w:color="auto"/>
              <w:bottom w:val="single" w:sz="4" w:space="0" w:color="auto"/>
              <w:right w:val="single" w:sz="4" w:space="0" w:color="auto"/>
            </w:tcBorders>
            <w:shd w:val="clear" w:color="auto" w:fill="FFFFFF"/>
          </w:tcPr>
          <w:p w:rsidR="00E26C1C" w:rsidRPr="00994550" w:rsidRDefault="00E26C1C" w:rsidP="00D27093">
            <w:pPr>
              <w:rPr>
                <w:b/>
                <w:sz w:val="20"/>
                <w:szCs w:val="20"/>
                <w:lang w:eastAsia="sk-SK"/>
              </w:rPr>
            </w:pPr>
            <w:r w:rsidRPr="00994550">
              <w:rPr>
                <w:i/>
                <w:sz w:val="20"/>
                <w:szCs w:val="20"/>
                <w:lang w:eastAsia="sk-SK"/>
              </w:rPr>
              <w:t xml:space="preserve">Uveďte subjekty, ktorých sa zmeny predkladaného materiálu dotknú priamo aj nepriamo: </w:t>
            </w:r>
          </w:p>
          <w:p w:rsidR="00E26C1C" w:rsidRPr="00994550" w:rsidRDefault="00E26C1C" w:rsidP="00D27093">
            <w:pPr>
              <w:rPr>
                <w:sz w:val="20"/>
                <w:szCs w:val="20"/>
                <w:lang w:eastAsia="sk-SK"/>
              </w:rPr>
            </w:pPr>
          </w:p>
          <w:p w:rsidR="00E26C1C" w:rsidRPr="00994550" w:rsidRDefault="00E26C1C" w:rsidP="00D27093">
            <w:pPr>
              <w:jc w:val="both"/>
              <w:rPr>
                <w:lang w:eastAsia="sk-SK"/>
              </w:rPr>
            </w:pPr>
            <w:r w:rsidRPr="00994550">
              <w:rPr>
                <w:lang w:eastAsia="sk-SK"/>
              </w:rPr>
              <w:t>Národná banka Slovenska, banky a pobočky zahraničných bánk na Slovensku, inštitúcie elektronických peňazí na Slovensku a iné finančné subjekty, ktoré budú oprávnené poskytovať služby kryptoaktív podľa nariadenia MiCA, osoby oprávnené poskytovať služby zmenárne virtuálnej meny alebo služby peňaženky virtuálnej meny. Zmeny v čl. X</w:t>
            </w:r>
            <w:r>
              <w:rPr>
                <w:lang w:eastAsia="sk-SK"/>
              </w:rPr>
              <w:t>I</w:t>
            </w:r>
            <w:r w:rsidRPr="00994550">
              <w:rPr>
                <w:lang w:eastAsia="sk-SK"/>
              </w:rPr>
              <w:t xml:space="preserve"> sa dotknú aj platobných inštitúcií, limitovaných poskytovateľov, poskytovateľov platobných služieb v obmedzenom rozsahu a inštitúcií elektronických peňazí v obmedzenom rozsahu.</w:t>
            </w:r>
          </w:p>
          <w:p w:rsidR="00E26C1C" w:rsidRPr="00994550" w:rsidRDefault="00E26C1C" w:rsidP="00D27093">
            <w:pPr>
              <w:rPr>
                <w:i/>
                <w:sz w:val="20"/>
                <w:szCs w:val="20"/>
                <w:lang w:eastAsia="sk-SK"/>
              </w:rPr>
            </w:pPr>
          </w:p>
        </w:tc>
      </w:tr>
      <w:tr w:rsidR="00E26C1C" w:rsidRPr="00994550" w:rsidTr="00D27093">
        <w:tc>
          <w:tcPr>
            <w:tcW w:w="9180" w:type="dxa"/>
            <w:gridSpan w:val="11"/>
            <w:tcBorders>
              <w:top w:val="single" w:sz="4" w:space="0" w:color="auto"/>
              <w:left w:val="single" w:sz="4" w:space="0" w:color="auto"/>
              <w:bottom w:val="nil"/>
              <w:right w:val="single" w:sz="4" w:space="0" w:color="auto"/>
            </w:tcBorders>
            <w:shd w:val="clear" w:color="auto" w:fill="E2E2E2"/>
          </w:tcPr>
          <w:p w:rsidR="00E26C1C" w:rsidRPr="00994550" w:rsidRDefault="00E26C1C" w:rsidP="00D27093">
            <w:pPr>
              <w:numPr>
                <w:ilvl w:val="0"/>
                <w:numId w:val="1"/>
              </w:numPr>
              <w:ind w:left="426"/>
              <w:contextualSpacing/>
              <w:rPr>
                <w:rFonts w:eastAsia="Calibri"/>
                <w:b/>
              </w:rPr>
            </w:pPr>
            <w:r w:rsidRPr="00994550">
              <w:rPr>
                <w:rFonts w:eastAsia="Calibri"/>
                <w:b/>
              </w:rPr>
              <w:t>Alternatívne riešenia</w:t>
            </w:r>
          </w:p>
        </w:tc>
      </w:tr>
      <w:tr w:rsidR="00E26C1C" w:rsidRPr="00994550" w:rsidTr="00D27093">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E26C1C" w:rsidRPr="00994550" w:rsidRDefault="00E26C1C" w:rsidP="00D27093">
            <w:pPr>
              <w:jc w:val="both"/>
              <w:rPr>
                <w:i/>
                <w:sz w:val="20"/>
                <w:szCs w:val="20"/>
                <w:lang w:eastAsia="sk-SK"/>
              </w:rPr>
            </w:pPr>
            <w:r w:rsidRPr="00994550">
              <w:rPr>
                <w:i/>
                <w:sz w:val="20"/>
                <w:szCs w:val="20"/>
                <w:lang w:eastAsia="sk-SK"/>
              </w:rPr>
              <w:t>Aké alternatívne riešenia vedúce k stanovenému cieľu boli identifikované a posudzované pre riešenie definovaného problému?</w:t>
            </w:r>
          </w:p>
          <w:p w:rsidR="00E26C1C" w:rsidRPr="00994550" w:rsidRDefault="00E26C1C" w:rsidP="00D27093">
            <w:pPr>
              <w:rPr>
                <w:i/>
                <w:sz w:val="20"/>
                <w:szCs w:val="20"/>
                <w:lang w:eastAsia="sk-SK"/>
              </w:rPr>
            </w:pPr>
          </w:p>
          <w:p w:rsidR="00E26C1C" w:rsidRPr="00994550" w:rsidRDefault="00E26C1C" w:rsidP="00D27093">
            <w:pPr>
              <w:jc w:val="both"/>
              <w:rPr>
                <w:i/>
                <w:sz w:val="20"/>
                <w:szCs w:val="20"/>
                <w:lang w:eastAsia="sk-SK"/>
              </w:rPr>
            </w:pPr>
            <w:r w:rsidRPr="00994550">
              <w:rPr>
                <w:i/>
                <w:sz w:val="20"/>
                <w:szCs w:val="20"/>
                <w:lang w:eastAsia="sk-SK"/>
              </w:rPr>
              <w:t>Nulový variant - uveďte dôsledky, ku ktorým by došlo v prípade nevykonania úprav v predkladanom materiáli a alternatívne riešenia/spôsoby dosiahnutia cieľov uvedených v bode 3.</w:t>
            </w:r>
          </w:p>
          <w:p w:rsidR="00E26C1C" w:rsidRPr="00994550" w:rsidRDefault="00E26C1C" w:rsidP="00D27093">
            <w:pPr>
              <w:jc w:val="both"/>
              <w:rPr>
                <w:i/>
                <w:sz w:val="20"/>
                <w:szCs w:val="20"/>
                <w:lang w:eastAsia="sk-SK"/>
              </w:rPr>
            </w:pPr>
          </w:p>
          <w:p w:rsidR="00E26C1C" w:rsidRPr="00994550" w:rsidRDefault="00E26C1C" w:rsidP="00D27093">
            <w:pPr>
              <w:spacing w:after="120"/>
              <w:jc w:val="both"/>
              <w:rPr>
                <w:lang w:eastAsia="sk-SK"/>
              </w:rPr>
            </w:pPr>
            <w:r w:rsidRPr="00994550">
              <w:rPr>
                <w:lang w:eastAsia="sk-SK"/>
              </w:rPr>
              <w:t xml:space="preserve">Nulovým variantom je neimplementovanie nariadenia MiCA a netransponovanie čl. 146 nariadenia MiCA, ktorým sa novelizuje smernica 2013/36/EÚ, čím by Slovenská republika </w:t>
            </w:r>
            <w:r w:rsidRPr="00994550">
              <w:rPr>
                <w:lang w:eastAsia="sk-SK"/>
              </w:rPr>
              <w:lastRenderedPageBreak/>
              <w:t>nesplnila svoje povinnosti a vystavila sa tak nebezpečenstvu začatia konania podľa článku 258 Zmluvy o fungovaní EÚ (ZFEÚ) pre nesplnenie zmluvných povinností (</w:t>
            </w:r>
            <w:proofErr w:type="spellStart"/>
            <w:r w:rsidRPr="00994550">
              <w:rPr>
                <w:lang w:eastAsia="sk-SK"/>
              </w:rPr>
              <w:t>infringement</w:t>
            </w:r>
            <w:proofErr w:type="spellEnd"/>
            <w:r w:rsidRPr="00994550">
              <w:rPr>
                <w:lang w:eastAsia="sk-SK"/>
              </w:rPr>
              <w:t xml:space="preserve"> </w:t>
            </w:r>
            <w:proofErr w:type="spellStart"/>
            <w:r w:rsidRPr="00994550">
              <w:rPr>
                <w:lang w:eastAsia="sk-SK"/>
              </w:rPr>
              <w:t>proceedings</w:t>
            </w:r>
            <w:proofErr w:type="spellEnd"/>
            <w:r w:rsidRPr="00994550">
              <w:rPr>
                <w:lang w:eastAsia="sk-SK"/>
              </w:rPr>
              <w:t xml:space="preserve">). </w:t>
            </w:r>
          </w:p>
          <w:p w:rsidR="00E26C1C" w:rsidRPr="00994550" w:rsidRDefault="00E26C1C" w:rsidP="00D27093">
            <w:pPr>
              <w:spacing w:after="120"/>
              <w:jc w:val="both"/>
              <w:rPr>
                <w:lang w:eastAsia="sk-SK"/>
              </w:rPr>
            </w:pPr>
            <w:r w:rsidRPr="00994550">
              <w:rPr>
                <w:lang w:eastAsia="sk-SK"/>
              </w:rPr>
              <w:t>Vzhľadom na vyššie uvedené, alternatívne riešenia neboli zvažované.</w:t>
            </w:r>
          </w:p>
          <w:p w:rsidR="00E26C1C" w:rsidRPr="00994550" w:rsidRDefault="00E26C1C" w:rsidP="00D27093">
            <w:pPr>
              <w:spacing w:after="120"/>
              <w:jc w:val="both"/>
              <w:rPr>
                <w:lang w:eastAsia="sk-SK"/>
              </w:rPr>
            </w:pPr>
            <w:r w:rsidRPr="00994550">
              <w:rPr>
                <w:lang w:eastAsia="sk-SK"/>
              </w:rPr>
              <w:t>K splnomocňovaciemu ustanoveniu na vydanie Opatrenia Národnej banky Slovenska uvádzame, že bez detailných, presných a správnych informácií o finančnom trhu nebude Národná banka Slovenska môcť účinne prispievať k stabilite finančného systému Slovenskej republiky, ako ani napĺňať ostatné svoje úlohy. Z tohto dôvodu ako aj z dôvodu, že iné formy zberu údajov podľa definovaných vzorov (tzv. agregátne) neposkytujú dostatočnú informáciu o trendoch a rizikách, alternatívne riešenia tejto oblasti nie sú.</w:t>
            </w:r>
            <w:r>
              <w:rPr>
                <w:lang w:eastAsia="sk-SK"/>
              </w:rPr>
              <w:t xml:space="preserve"> Na základe zásadnej pripomienky Úradu na ochranu osobných údajov Slovenskej republiky bolo toto splnomocňovacie ustanovenie z návrhu zákona vypustené.</w:t>
            </w:r>
          </w:p>
        </w:tc>
      </w:tr>
      <w:tr w:rsidR="00E26C1C" w:rsidRPr="00994550" w:rsidTr="00D2709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26C1C" w:rsidRPr="00994550" w:rsidRDefault="00E26C1C" w:rsidP="00D27093">
            <w:pPr>
              <w:numPr>
                <w:ilvl w:val="0"/>
                <w:numId w:val="1"/>
              </w:numPr>
              <w:ind w:left="426"/>
              <w:contextualSpacing/>
              <w:rPr>
                <w:rFonts w:eastAsia="Calibri"/>
                <w:b/>
              </w:rPr>
            </w:pPr>
            <w:r w:rsidRPr="00994550">
              <w:rPr>
                <w:rFonts w:eastAsia="Calibri"/>
                <w:b/>
              </w:rPr>
              <w:lastRenderedPageBreak/>
              <w:t>Vykonávacie predpisy</w:t>
            </w:r>
          </w:p>
        </w:tc>
      </w:tr>
      <w:tr w:rsidR="00E26C1C" w:rsidRPr="00994550" w:rsidTr="00D27093">
        <w:tc>
          <w:tcPr>
            <w:tcW w:w="6203" w:type="dxa"/>
            <w:gridSpan w:val="7"/>
            <w:tcBorders>
              <w:top w:val="single" w:sz="4" w:space="0" w:color="FFFFFF"/>
              <w:left w:val="single" w:sz="4" w:space="0" w:color="auto"/>
              <w:bottom w:val="nil"/>
              <w:right w:val="nil"/>
            </w:tcBorders>
            <w:shd w:val="clear" w:color="auto" w:fill="FFFFFF"/>
          </w:tcPr>
          <w:p w:rsidR="00E26C1C" w:rsidRPr="00994550" w:rsidRDefault="00E26C1C" w:rsidP="00D27093">
            <w:pPr>
              <w:rPr>
                <w:i/>
                <w:sz w:val="20"/>
                <w:szCs w:val="20"/>
                <w:lang w:eastAsia="sk-SK"/>
              </w:rPr>
            </w:pPr>
            <w:r w:rsidRPr="00994550">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E26C1C" w:rsidRPr="00994550" w:rsidRDefault="00BA2478" w:rsidP="00D27093">
            <w:pPr>
              <w:jc w:val="center"/>
              <w:rPr>
                <w:b/>
                <w:sz w:val="20"/>
                <w:szCs w:val="20"/>
                <w:lang w:eastAsia="sk-SK"/>
              </w:rPr>
            </w:pPr>
            <w:sdt>
              <w:sdtPr>
                <w:rPr>
                  <w:b/>
                  <w:sz w:val="20"/>
                  <w:szCs w:val="20"/>
                  <w:lang w:eastAsia="sk-SK"/>
                </w:rPr>
                <w:id w:val="1929613764"/>
                <w14:checkbox>
                  <w14:checked w14:val="1"/>
                  <w14:checkedState w14:val="2612" w14:font="MS Gothic"/>
                  <w14:uncheckedState w14:val="2610" w14:font="MS Gothic"/>
                </w14:checkbox>
              </w:sdtPr>
              <w:sdtEndPr/>
              <w:sdtContent>
                <w:r w:rsidR="00E26C1C" w:rsidRPr="00994550">
                  <w:rPr>
                    <w:rFonts w:ascii="MS Gothic" w:eastAsia="MS Gothic" w:hAnsi="MS Gothic" w:hint="eastAsia"/>
                    <w:b/>
                    <w:sz w:val="20"/>
                    <w:szCs w:val="20"/>
                    <w:lang w:eastAsia="sk-SK"/>
                  </w:rPr>
                  <w:t>☒</w:t>
                </w:r>
              </w:sdtContent>
            </w:sdt>
            <w:r w:rsidR="00E26C1C" w:rsidRPr="00994550">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E26C1C" w:rsidRPr="00994550" w:rsidRDefault="00BA2478" w:rsidP="00D27093">
            <w:pPr>
              <w:jc w:val="center"/>
              <w:rPr>
                <w:b/>
                <w:sz w:val="20"/>
                <w:szCs w:val="20"/>
                <w:lang w:eastAsia="sk-SK"/>
              </w:rPr>
            </w:pPr>
            <w:sdt>
              <w:sdtPr>
                <w:rPr>
                  <w:b/>
                  <w:sz w:val="20"/>
                  <w:szCs w:val="20"/>
                  <w:lang w:eastAsia="sk-SK"/>
                </w:rPr>
                <w:id w:val="-1594626508"/>
                <w14:checkbox>
                  <w14:checked w14:val="0"/>
                  <w14:checkedState w14:val="2612" w14:font="MS Gothic"/>
                  <w14:uncheckedState w14:val="2610" w14:font="MS Gothic"/>
                </w14:checkbox>
              </w:sdtPr>
              <w:sdtEndPr/>
              <w:sdtContent>
                <w:r w:rsidR="00E26C1C" w:rsidRPr="00994550">
                  <w:rPr>
                    <w:rFonts w:ascii="MS Gothic" w:eastAsia="MS Gothic" w:hAnsi="MS Gothic" w:hint="eastAsia"/>
                    <w:b/>
                    <w:sz w:val="20"/>
                    <w:szCs w:val="20"/>
                    <w:lang w:eastAsia="sk-SK"/>
                  </w:rPr>
                  <w:t>☐</w:t>
                </w:r>
              </w:sdtContent>
            </w:sdt>
            <w:r w:rsidR="00E26C1C" w:rsidRPr="00994550">
              <w:rPr>
                <w:b/>
                <w:sz w:val="20"/>
                <w:szCs w:val="20"/>
                <w:lang w:eastAsia="sk-SK"/>
              </w:rPr>
              <w:t xml:space="preserve">  Nie</w:t>
            </w:r>
          </w:p>
        </w:tc>
      </w:tr>
      <w:tr w:rsidR="00E26C1C" w:rsidRPr="00994550" w:rsidTr="00D27093">
        <w:tc>
          <w:tcPr>
            <w:tcW w:w="9180" w:type="dxa"/>
            <w:gridSpan w:val="11"/>
            <w:tcBorders>
              <w:top w:val="nil"/>
              <w:left w:val="single" w:sz="4" w:space="0" w:color="auto"/>
              <w:bottom w:val="single" w:sz="4" w:space="0" w:color="auto"/>
              <w:right w:val="single" w:sz="4" w:space="0" w:color="auto"/>
            </w:tcBorders>
            <w:shd w:val="clear" w:color="auto" w:fill="FFFFFF"/>
          </w:tcPr>
          <w:p w:rsidR="00E26C1C" w:rsidRPr="00994550" w:rsidRDefault="00E26C1C" w:rsidP="00D27093">
            <w:pPr>
              <w:rPr>
                <w:i/>
                <w:sz w:val="20"/>
                <w:szCs w:val="20"/>
                <w:lang w:eastAsia="sk-SK"/>
              </w:rPr>
            </w:pPr>
            <w:r w:rsidRPr="00994550">
              <w:rPr>
                <w:i/>
                <w:sz w:val="20"/>
                <w:szCs w:val="20"/>
                <w:lang w:eastAsia="sk-SK"/>
              </w:rPr>
              <w:t>Ak áno, uveďte ktoré oblasti budú nimi upravené, resp. ktorých vykonávacích predpisov sa zmena dotkne:</w:t>
            </w:r>
          </w:p>
          <w:p w:rsidR="00E26C1C" w:rsidRPr="00994550" w:rsidRDefault="00E26C1C" w:rsidP="00D27093">
            <w:pPr>
              <w:rPr>
                <w:sz w:val="20"/>
                <w:szCs w:val="20"/>
                <w:lang w:eastAsia="sk-SK"/>
              </w:rPr>
            </w:pPr>
          </w:p>
          <w:p w:rsidR="00E26C1C" w:rsidRPr="00994550" w:rsidRDefault="00E26C1C" w:rsidP="00E26C1C">
            <w:pPr>
              <w:pStyle w:val="Odsekzoznamu"/>
              <w:numPr>
                <w:ilvl w:val="0"/>
                <w:numId w:val="3"/>
              </w:numPr>
              <w:spacing w:after="120"/>
              <w:ind w:left="449"/>
              <w:jc w:val="both"/>
              <w:rPr>
                <w:lang w:eastAsia="sk-SK"/>
              </w:rPr>
            </w:pPr>
            <w:r w:rsidRPr="00994550">
              <w:rPr>
                <w:lang w:eastAsia="sk-SK"/>
              </w:rPr>
              <w:t xml:space="preserve">Podľa čl. I (§ 4 ods. 2) návrhu zákona, ktorý implementuje čl. 81 ods. 7 nariadenia MiCA, Národná banka Slovenska môže vydať opatrenie, ktorým sa ustanovia kritériá na posúdenie </w:t>
            </w:r>
            <w:r w:rsidRPr="00994550">
              <w:t xml:space="preserve">vedomostí a schopností fyzických osôb poskytujúcich poradenstvo alebo informácie o kryptoaktívach alebo služby kryptoaktív v mene poskytovateľa služieb kryptoaktív, ako aj spôsob preukazovania splnenia ustanovených kritérií. </w:t>
            </w:r>
          </w:p>
          <w:p w:rsidR="00E26C1C" w:rsidRPr="00FF202E" w:rsidRDefault="00E26C1C" w:rsidP="00E26C1C">
            <w:pPr>
              <w:pStyle w:val="Odsekzoznamu"/>
              <w:numPr>
                <w:ilvl w:val="0"/>
                <w:numId w:val="3"/>
              </w:numPr>
              <w:spacing w:after="120"/>
              <w:ind w:left="449"/>
              <w:jc w:val="both"/>
              <w:rPr>
                <w:lang w:eastAsia="sk-SK"/>
              </w:rPr>
            </w:pPr>
            <w:r w:rsidRPr="00FF202E">
              <w:t>Národná banka Slovenska vydá opatrenie, ktoré upresní vykazovacie povinnosti v súvislosti s nariadením MiCA (pozri čl. I - § 5 návrhu zákona).</w:t>
            </w:r>
          </w:p>
          <w:p w:rsidR="00E26C1C" w:rsidRPr="00994550" w:rsidRDefault="00E26C1C" w:rsidP="00D27093">
            <w:pPr>
              <w:rPr>
                <w:sz w:val="20"/>
                <w:szCs w:val="20"/>
                <w:lang w:eastAsia="sk-SK"/>
              </w:rPr>
            </w:pPr>
          </w:p>
        </w:tc>
      </w:tr>
      <w:tr w:rsidR="00E26C1C" w:rsidRPr="00994550" w:rsidTr="00D2709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26C1C" w:rsidRPr="00994550" w:rsidRDefault="00E26C1C" w:rsidP="00D27093">
            <w:pPr>
              <w:numPr>
                <w:ilvl w:val="0"/>
                <w:numId w:val="1"/>
              </w:numPr>
              <w:ind w:left="426"/>
              <w:contextualSpacing/>
              <w:rPr>
                <w:rFonts w:eastAsia="Calibri"/>
                <w:b/>
              </w:rPr>
            </w:pPr>
            <w:r w:rsidRPr="00994550">
              <w:rPr>
                <w:rFonts w:eastAsia="Calibri"/>
                <w:b/>
              </w:rPr>
              <w:t xml:space="preserve">Transpozícia/implementácia práva EÚ </w:t>
            </w:r>
          </w:p>
        </w:tc>
      </w:tr>
      <w:tr w:rsidR="00E26C1C" w:rsidRPr="00994550" w:rsidTr="00D27093">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E26C1C" w:rsidRPr="00994550" w:rsidTr="00D27093">
              <w:trPr>
                <w:trHeight w:val="90"/>
              </w:trPr>
              <w:tc>
                <w:tcPr>
                  <w:tcW w:w="8643" w:type="dxa"/>
                </w:tcPr>
                <w:p w:rsidR="00E26C1C" w:rsidRPr="00994550" w:rsidRDefault="00E26C1C" w:rsidP="00D27093">
                  <w:pPr>
                    <w:pStyle w:val="Default"/>
                    <w:rPr>
                      <w:color w:val="auto"/>
                      <w:sz w:val="20"/>
                      <w:szCs w:val="20"/>
                    </w:rPr>
                  </w:pPr>
                  <w:r w:rsidRPr="00994550">
                    <w:rPr>
                      <w:i/>
                      <w:iCs/>
                      <w:color w:val="auto"/>
                      <w:sz w:val="20"/>
                      <w:szCs w:val="20"/>
                    </w:rPr>
                    <w:t xml:space="preserve">Uveďte, či v predkladanom návrhu právneho predpisu dochádza ku </w:t>
                  </w:r>
                  <w:proofErr w:type="spellStart"/>
                  <w:r w:rsidRPr="00994550">
                    <w:rPr>
                      <w:i/>
                      <w:iCs/>
                      <w:color w:val="auto"/>
                      <w:sz w:val="20"/>
                      <w:szCs w:val="20"/>
                    </w:rPr>
                    <w:t>goldplatingu</w:t>
                  </w:r>
                  <w:proofErr w:type="spellEnd"/>
                  <w:r w:rsidRPr="00994550">
                    <w:rPr>
                      <w:i/>
                      <w:iCs/>
                      <w:color w:val="auto"/>
                      <w:sz w:val="20"/>
                      <w:szCs w:val="20"/>
                    </w:rPr>
                    <w:t xml:space="preserve"> podľa tabuľky zhody, resp. či ku </w:t>
                  </w:r>
                  <w:proofErr w:type="spellStart"/>
                  <w:r w:rsidRPr="00994550">
                    <w:rPr>
                      <w:i/>
                      <w:iCs/>
                      <w:color w:val="auto"/>
                      <w:sz w:val="20"/>
                      <w:szCs w:val="20"/>
                    </w:rPr>
                    <w:t>goldplatingu</w:t>
                  </w:r>
                  <w:proofErr w:type="spellEnd"/>
                  <w:r w:rsidRPr="00994550">
                    <w:rPr>
                      <w:i/>
                      <w:iCs/>
                      <w:color w:val="auto"/>
                      <w:sz w:val="20"/>
                      <w:szCs w:val="20"/>
                    </w:rPr>
                    <w:t xml:space="preserve"> dochádza pri implementácii práva EÚ. </w:t>
                  </w:r>
                </w:p>
              </w:tc>
            </w:tr>
            <w:tr w:rsidR="00E26C1C" w:rsidRPr="00994550" w:rsidTr="00D27093">
              <w:trPr>
                <w:trHeight w:val="296"/>
              </w:trPr>
              <w:tc>
                <w:tcPr>
                  <w:tcW w:w="8643" w:type="dxa"/>
                </w:tcPr>
                <w:p w:rsidR="00E26C1C" w:rsidRPr="00994550" w:rsidRDefault="00E26C1C" w:rsidP="00D27093">
                  <w:pPr>
                    <w:pStyle w:val="Default"/>
                    <w:rPr>
                      <w:b/>
                      <w:iCs/>
                      <w:color w:val="auto"/>
                      <w:sz w:val="20"/>
                      <w:szCs w:val="20"/>
                    </w:rPr>
                  </w:pPr>
                  <w:r w:rsidRPr="00994550">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994550">
                        <w:rPr>
                          <w:rFonts w:ascii="MS Gothic" w:eastAsia="MS Gothic" w:hAnsi="MS Gothic" w:hint="eastAsia"/>
                          <w:b/>
                          <w:iCs/>
                          <w:color w:val="auto"/>
                          <w:sz w:val="20"/>
                          <w:szCs w:val="20"/>
                        </w:rPr>
                        <w:t>☐</w:t>
                      </w:r>
                    </w:sdtContent>
                  </w:sdt>
                  <w:r w:rsidRPr="00994550">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994550">
                        <w:rPr>
                          <w:rFonts w:ascii="MS Gothic" w:eastAsia="MS Gothic" w:hAnsi="MS Gothic" w:hint="eastAsia"/>
                          <w:b/>
                          <w:iCs/>
                          <w:color w:val="auto"/>
                          <w:sz w:val="20"/>
                          <w:szCs w:val="20"/>
                        </w:rPr>
                        <w:t>☒</w:t>
                      </w:r>
                    </w:sdtContent>
                  </w:sdt>
                  <w:r w:rsidRPr="00994550">
                    <w:rPr>
                      <w:b/>
                      <w:iCs/>
                      <w:color w:val="auto"/>
                      <w:sz w:val="20"/>
                      <w:szCs w:val="20"/>
                    </w:rPr>
                    <w:t xml:space="preserve"> Nie</w:t>
                  </w:r>
                </w:p>
                <w:p w:rsidR="00E26C1C" w:rsidRPr="00994550" w:rsidRDefault="00E26C1C" w:rsidP="00D27093">
                  <w:pPr>
                    <w:pStyle w:val="Default"/>
                    <w:rPr>
                      <w:i/>
                      <w:iCs/>
                      <w:color w:val="auto"/>
                      <w:sz w:val="20"/>
                      <w:szCs w:val="20"/>
                    </w:rPr>
                  </w:pPr>
                </w:p>
                <w:p w:rsidR="00E26C1C" w:rsidRPr="00994550" w:rsidRDefault="00E26C1C" w:rsidP="00D27093">
                  <w:pPr>
                    <w:pStyle w:val="Default"/>
                    <w:rPr>
                      <w:color w:val="auto"/>
                      <w:sz w:val="20"/>
                      <w:szCs w:val="20"/>
                    </w:rPr>
                  </w:pPr>
                  <w:r w:rsidRPr="00994550">
                    <w:rPr>
                      <w:i/>
                      <w:iCs/>
                      <w:color w:val="auto"/>
                      <w:sz w:val="20"/>
                      <w:szCs w:val="20"/>
                    </w:rPr>
                    <w:t xml:space="preserve">Ak áno, uveďte, ktorých vplyvov podľa bodu 9 sa </w:t>
                  </w:r>
                  <w:proofErr w:type="spellStart"/>
                  <w:r w:rsidRPr="00994550">
                    <w:rPr>
                      <w:i/>
                      <w:iCs/>
                      <w:color w:val="auto"/>
                      <w:sz w:val="20"/>
                      <w:szCs w:val="20"/>
                    </w:rPr>
                    <w:t>goldplating</w:t>
                  </w:r>
                  <w:proofErr w:type="spellEnd"/>
                  <w:r w:rsidRPr="00994550">
                    <w:rPr>
                      <w:i/>
                      <w:iCs/>
                      <w:color w:val="auto"/>
                      <w:sz w:val="20"/>
                      <w:szCs w:val="20"/>
                    </w:rPr>
                    <w:t xml:space="preserve"> týka: </w:t>
                  </w:r>
                </w:p>
              </w:tc>
            </w:tr>
            <w:tr w:rsidR="00E26C1C" w:rsidRPr="00994550" w:rsidTr="00D27093">
              <w:trPr>
                <w:trHeight w:val="296"/>
              </w:trPr>
              <w:tc>
                <w:tcPr>
                  <w:tcW w:w="8643" w:type="dxa"/>
                </w:tcPr>
                <w:p w:rsidR="00E26C1C" w:rsidRPr="00994550" w:rsidRDefault="00E26C1C" w:rsidP="00D27093">
                  <w:pPr>
                    <w:pStyle w:val="Default"/>
                    <w:rPr>
                      <w:rFonts w:ascii="Segoe UI Symbol" w:hAnsi="Segoe UI Symbol" w:cs="Segoe UI Symbol"/>
                      <w:color w:val="auto"/>
                      <w:sz w:val="20"/>
                      <w:szCs w:val="20"/>
                    </w:rPr>
                  </w:pPr>
                </w:p>
              </w:tc>
            </w:tr>
          </w:tbl>
          <w:p w:rsidR="00E26C1C" w:rsidRPr="00994550" w:rsidRDefault="00E26C1C" w:rsidP="00D27093">
            <w:pPr>
              <w:jc w:val="both"/>
              <w:rPr>
                <w:i/>
                <w:sz w:val="20"/>
                <w:szCs w:val="20"/>
                <w:lang w:eastAsia="sk-SK"/>
              </w:rPr>
            </w:pPr>
          </w:p>
        </w:tc>
      </w:tr>
      <w:tr w:rsidR="00E26C1C" w:rsidRPr="00994550" w:rsidTr="00D27093">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E26C1C" w:rsidRPr="00994550" w:rsidRDefault="00E26C1C" w:rsidP="00D27093">
            <w:pPr>
              <w:jc w:val="center"/>
              <w:rPr>
                <w:sz w:val="20"/>
                <w:szCs w:val="20"/>
                <w:lang w:eastAsia="sk-SK"/>
              </w:rPr>
            </w:pPr>
          </w:p>
        </w:tc>
      </w:tr>
      <w:tr w:rsidR="00E26C1C" w:rsidRPr="00994550" w:rsidTr="00D2709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26C1C" w:rsidRPr="00994550" w:rsidRDefault="00E26C1C" w:rsidP="00D27093">
            <w:pPr>
              <w:numPr>
                <w:ilvl w:val="0"/>
                <w:numId w:val="1"/>
              </w:numPr>
              <w:ind w:left="426"/>
              <w:contextualSpacing/>
              <w:rPr>
                <w:rFonts w:eastAsia="Calibri"/>
                <w:b/>
              </w:rPr>
            </w:pPr>
            <w:r w:rsidRPr="00994550">
              <w:rPr>
                <w:rFonts w:eastAsia="Calibri"/>
                <w:b/>
              </w:rPr>
              <w:t>Preskúmanie účelnosti</w:t>
            </w:r>
          </w:p>
        </w:tc>
      </w:tr>
      <w:tr w:rsidR="00E26C1C" w:rsidRPr="00994550" w:rsidTr="00D27093">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26C1C" w:rsidRPr="00994550" w:rsidRDefault="00E26C1C" w:rsidP="00D27093">
            <w:pPr>
              <w:rPr>
                <w:i/>
                <w:sz w:val="20"/>
                <w:szCs w:val="20"/>
                <w:lang w:eastAsia="sk-SK"/>
              </w:rPr>
            </w:pPr>
            <w:r w:rsidRPr="00994550">
              <w:rPr>
                <w:i/>
                <w:sz w:val="20"/>
                <w:szCs w:val="20"/>
                <w:lang w:eastAsia="sk-SK"/>
              </w:rPr>
              <w:t>Uveďte termín, kedy by malo dôjsť k preskúmaniu účinnosti a účelnosti predkladaného materiálu.</w:t>
            </w:r>
          </w:p>
          <w:p w:rsidR="00E26C1C" w:rsidRPr="00994550" w:rsidRDefault="00E26C1C" w:rsidP="00D27093">
            <w:pPr>
              <w:rPr>
                <w:i/>
                <w:sz w:val="20"/>
                <w:szCs w:val="20"/>
                <w:lang w:eastAsia="sk-SK"/>
              </w:rPr>
            </w:pPr>
            <w:r w:rsidRPr="00994550">
              <w:rPr>
                <w:i/>
                <w:sz w:val="20"/>
                <w:szCs w:val="20"/>
                <w:lang w:eastAsia="sk-SK"/>
              </w:rPr>
              <w:t>Uveďte kritériá, na základe ktorých bude preskúmanie vykonané.</w:t>
            </w:r>
          </w:p>
          <w:p w:rsidR="00E26C1C" w:rsidRPr="00994550" w:rsidRDefault="00E26C1C" w:rsidP="00D27093">
            <w:pPr>
              <w:pStyle w:val="CM3"/>
              <w:rPr>
                <w:rFonts w:ascii="Times New Roman" w:eastAsia="Times New Roman" w:hAnsi="Times New Roman" w:cs="Times New Roman"/>
                <w:sz w:val="22"/>
                <w:szCs w:val="22"/>
                <w:lang w:eastAsia="sk-SK"/>
              </w:rPr>
            </w:pPr>
          </w:p>
          <w:p w:rsidR="00E26C1C" w:rsidRPr="00994550" w:rsidRDefault="00E26C1C" w:rsidP="00D27093">
            <w:pPr>
              <w:jc w:val="both"/>
              <w:rPr>
                <w:lang w:eastAsia="sk-SK"/>
              </w:rPr>
            </w:pPr>
            <w:r w:rsidRPr="00994550">
              <w:rPr>
                <w:lang w:eastAsia="sk-SK"/>
              </w:rPr>
              <w:t xml:space="preserve">Podľa čl. 140 nariadenia MiCA do 30. júna 2027 Komisia vykoná hodnotenie a po konzultácii s orgánmi EBA a ESMA predloží Európskemu parlamentu a Rade správu o uplatňovaní nariadenia MiCA, vo vhodných prípadoch spolu s legislatívnym návrhom. Správa podľa prvej vety bude okrem iného obsahovať aj </w:t>
            </w:r>
          </w:p>
          <w:p w:rsidR="00E26C1C" w:rsidRPr="00994550" w:rsidRDefault="00E26C1C" w:rsidP="00E26C1C">
            <w:pPr>
              <w:pStyle w:val="Odsekzoznamu"/>
              <w:numPr>
                <w:ilvl w:val="0"/>
                <w:numId w:val="3"/>
              </w:numPr>
              <w:jc w:val="both"/>
              <w:rPr>
                <w:lang w:eastAsia="sk-SK"/>
              </w:rPr>
            </w:pPr>
            <w:r w:rsidRPr="00994550">
              <w:rPr>
                <w:color w:val="000000"/>
              </w:rPr>
              <w:t>posúdenie fungovania trhov s kryptoaktívami v Únii vrátane vývoja trhu a trendov na trhu, pričom sa zohľadnia skúsenosti orgánov dohľadu, počet poskytovateľov služieb kryptoaktív, ktorým bolo udelené povolenie, a ich príslušný priemerný podiel na trhu;</w:t>
            </w:r>
          </w:p>
          <w:p w:rsidR="00E26C1C" w:rsidRPr="00994550" w:rsidRDefault="00E26C1C" w:rsidP="00E26C1C">
            <w:pPr>
              <w:pStyle w:val="Odsekzoznamu"/>
              <w:numPr>
                <w:ilvl w:val="0"/>
                <w:numId w:val="3"/>
              </w:numPr>
              <w:jc w:val="both"/>
              <w:rPr>
                <w:lang w:eastAsia="sk-SK"/>
              </w:rPr>
            </w:pPr>
            <w:r w:rsidRPr="00994550">
              <w:rPr>
                <w:color w:val="000000"/>
              </w:rPr>
              <w:t>posúdenie úrovne ochrany držiteľov kryptoaktív a klientov poskytovateľov služieb kryptoaktív, najmä retailových držiteľov;</w:t>
            </w:r>
          </w:p>
          <w:p w:rsidR="00E26C1C" w:rsidRPr="00994550" w:rsidRDefault="00E26C1C" w:rsidP="00E26C1C">
            <w:pPr>
              <w:pStyle w:val="Odsekzoznamu"/>
              <w:numPr>
                <w:ilvl w:val="0"/>
                <w:numId w:val="3"/>
              </w:numPr>
              <w:jc w:val="both"/>
              <w:rPr>
                <w:lang w:eastAsia="sk-SK"/>
              </w:rPr>
            </w:pPr>
            <w:r w:rsidRPr="00994550">
              <w:rPr>
                <w:color w:val="000000"/>
              </w:rPr>
              <w:t>posúdenie požiadaviek uplatniteľných na emitentov kryptoaktív a</w:t>
            </w:r>
            <w:r w:rsidR="00D27093">
              <w:rPr>
                <w:color w:val="000000"/>
              </w:rPr>
              <w:t> </w:t>
            </w:r>
            <w:r w:rsidRPr="00994550">
              <w:rPr>
                <w:color w:val="000000"/>
              </w:rPr>
              <w:t>poskytovateľov</w:t>
            </w:r>
            <w:r w:rsidR="00D27093">
              <w:rPr>
                <w:color w:val="000000"/>
              </w:rPr>
              <w:t xml:space="preserve"> </w:t>
            </w:r>
            <w:r w:rsidRPr="00994550">
              <w:rPr>
                <w:color w:val="000000"/>
              </w:rPr>
              <w:t>služieb kryptoaktív a ich vplyvu na prevádzkovú odolnosť, integritu trhu, finančnú stabilitu a ochranu klientov a držiteľov kryptoaktív;</w:t>
            </w:r>
          </w:p>
          <w:p w:rsidR="00E26C1C" w:rsidRPr="00994550" w:rsidRDefault="00E26C1C" w:rsidP="00E26C1C">
            <w:pPr>
              <w:pStyle w:val="Odsekzoznamu"/>
              <w:numPr>
                <w:ilvl w:val="0"/>
                <w:numId w:val="3"/>
              </w:numPr>
              <w:jc w:val="both"/>
              <w:rPr>
                <w:lang w:eastAsia="sk-SK"/>
              </w:rPr>
            </w:pPr>
            <w:r w:rsidRPr="00994550">
              <w:rPr>
                <w:color w:val="000000"/>
              </w:rPr>
              <w:lastRenderedPageBreak/>
              <w:t>hodnotenie uplatňovania článku 81 a možnosti zavedenia testov primeranosti do článkov 78, 79 a 80 s cieľom lepšie chrániť klientov poskytovateľov služieb kryptoaktív, najmä retailových držiteľov;</w:t>
            </w:r>
          </w:p>
          <w:p w:rsidR="00E26C1C" w:rsidRPr="00994550" w:rsidRDefault="00E26C1C" w:rsidP="00E26C1C">
            <w:pPr>
              <w:pStyle w:val="Odsekzoznamu"/>
              <w:numPr>
                <w:ilvl w:val="0"/>
                <w:numId w:val="3"/>
              </w:numPr>
              <w:jc w:val="both"/>
              <w:rPr>
                <w:lang w:eastAsia="sk-SK"/>
              </w:rPr>
            </w:pPr>
            <w:r w:rsidRPr="00994550">
              <w:rPr>
                <w:color w:val="000000"/>
              </w:rPr>
              <w:t>posúdenie toho, či je rozsah služieb kryptoaktív, na ktoré sa vzťahuje toto nariadenie, primeraný a či je potrebná úprava vymedzenia pojmov stanovených v tomto nariadení, ako aj to, či je potrebné zahrnúť do rozsahu pôsobnosti tohto nariadenia akékoľvek ďalšie inovatívne formy kryptoaktív;</w:t>
            </w:r>
          </w:p>
          <w:p w:rsidR="00E26C1C" w:rsidRPr="00994550" w:rsidRDefault="00E26C1C" w:rsidP="00E26C1C">
            <w:pPr>
              <w:pStyle w:val="Odsekzoznamu"/>
              <w:numPr>
                <w:ilvl w:val="0"/>
                <w:numId w:val="3"/>
              </w:numPr>
              <w:jc w:val="both"/>
              <w:rPr>
                <w:lang w:eastAsia="sk-SK"/>
              </w:rPr>
            </w:pPr>
            <w:r w:rsidRPr="00994550">
              <w:rPr>
                <w:color w:val="000000"/>
              </w:rPr>
              <w:t>vyhodnotenie toho, či treba vykonať nejaké zmeny opatrení stanovených v tomto nariadení na zabezpečenie ochrany klientov a držiteľov kryptoaktív, integrity trhu a</w:t>
            </w:r>
            <w:r w:rsidR="00D27093">
              <w:rPr>
                <w:color w:val="000000"/>
              </w:rPr>
              <w:t> </w:t>
            </w:r>
            <w:r w:rsidRPr="00994550">
              <w:rPr>
                <w:color w:val="000000"/>
              </w:rPr>
              <w:t>finančnej</w:t>
            </w:r>
            <w:r w:rsidR="00D27093">
              <w:rPr>
                <w:color w:val="000000"/>
              </w:rPr>
              <w:t xml:space="preserve"> </w:t>
            </w:r>
            <w:r w:rsidRPr="00994550">
              <w:rPr>
                <w:color w:val="000000"/>
              </w:rPr>
              <w:t>stability;</w:t>
            </w:r>
          </w:p>
          <w:p w:rsidR="00E26C1C" w:rsidRPr="00994550" w:rsidRDefault="00E26C1C" w:rsidP="00D27093">
            <w:pPr>
              <w:pStyle w:val="CM1"/>
              <w:rPr>
                <w:rFonts w:cs="EU Albertina"/>
                <w:color w:val="000000"/>
              </w:rPr>
            </w:pPr>
          </w:p>
          <w:p w:rsidR="00E26C1C" w:rsidRPr="00994550" w:rsidRDefault="00E26C1C" w:rsidP="00D27093">
            <w:pPr>
              <w:jc w:val="both"/>
              <w:rPr>
                <w:lang w:eastAsia="sk-SK"/>
              </w:rPr>
            </w:pPr>
            <w:r w:rsidRPr="00994550">
              <w:rPr>
                <w:lang w:eastAsia="sk-SK"/>
              </w:rPr>
              <w:t xml:space="preserve">Preskúmanie účelnosti návrhu zákona bude prebiehať paralelne s týmto preskúmaním účelnosti regulácie Európskej únie (nariadenia MiCA) vrátane 6 mesiacov po vydaní správy podľa prvej vety. </w:t>
            </w:r>
          </w:p>
          <w:p w:rsidR="00E26C1C" w:rsidRPr="00994550" w:rsidRDefault="00E26C1C" w:rsidP="00D27093">
            <w:pPr>
              <w:rPr>
                <w:i/>
                <w:sz w:val="20"/>
                <w:szCs w:val="20"/>
                <w:lang w:eastAsia="sk-SK"/>
              </w:rPr>
            </w:pPr>
          </w:p>
        </w:tc>
      </w:tr>
      <w:tr w:rsidR="00E26C1C" w:rsidRPr="00994550" w:rsidTr="00D27093">
        <w:tc>
          <w:tcPr>
            <w:tcW w:w="9180" w:type="dxa"/>
            <w:gridSpan w:val="11"/>
            <w:tcBorders>
              <w:top w:val="nil"/>
              <w:left w:val="nil"/>
              <w:bottom w:val="single" w:sz="4" w:space="0" w:color="auto"/>
              <w:right w:val="nil"/>
            </w:tcBorders>
            <w:shd w:val="clear" w:color="auto" w:fill="FFFFFF"/>
          </w:tcPr>
          <w:p w:rsidR="00E26C1C" w:rsidRPr="00994550" w:rsidRDefault="00E26C1C" w:rsidP="00D27093">
            <w:pPr>
              <w:jc w:val="both"/>
              <w:rPr>
                <w:b/>
                <w:sz w:val="20"/>
                <w:szCs w:val="20"/>
                <w:lang w:eastAsia="sk-SK"/>
              </w:rPr>
            </w:pPr>
          </w:p>
          <w:p w:rsidR="00E26C1C" w:rsidRPr="00994550" w:rsidRDefault="00E26C1C" w:rsidP="00D27093">
            <w:pPr>
              <w:ind w:left="142" w:hanging="142"/>
              <w:jc w:val="both"/>
              <w:rPr>
                <w:sz w:val="20"/>
                <w:szCs w:val="20"/>
                <w:lang w:eastAsia="sk-SK"/>
              </w:rPr>
            </w:pPr>
            <w:r w:rsidRPr="00994550">
              <w:rPr>
                <w:sz w:val="20"/>
                <w:szCs w:val="20"/>
                <w:lang w:eastAsia="sk-SK"/>
              </w:rPr>
              <w:t xml:space="preserve">* vyplniť iba v prípade, ak materiál nie je zahrnutý do Plánu práce vlády Slovenskej republiky alebo Plánu        legislatívnych úloh vlády Slovenskej republiky. </w:t>
            </w:r>
          </w:p>
          <w:p w:rsidR="00E26C1C" w:rsidRPr="00994550" w:rsidRDefault="00E26C1C" w:rsidP="00D27093">
            <w:pPr>
              <w:jc w:val="both"/>
              <w:rPr>
                <w:sz w:val="20"/>
                <w:szCs w:val="20"/>
                <w:lang w:eastAsia="sk-SK"/>
              </w:rPr>
            </w:pPr>
            <w:r w:rsidRPr="00994550">
              <w:rPr>
                <w:sz w:val="20"/>
                <w:szCs w:val="20"/>
                <w:lang w:eastAsia="sk-SK"/>
              </w:rPr>
              <w:t>** vyplniť iba v prípade, ak sa záverečné posúdenie vybraných vplyvov uskutočnilo v zmysle bodu 9.1. jednotnej metodiky.</w:t>
            </w:r>
          </w:p>
          <w:p w:rsidR="00E26C1C" w:rsidRPr="00994550" w:rsidRDefault="00E26C1C" w:rsidP="00D27093">
            <w:pPr>
              <w:jc w:val="both"/>
              <w:rPr>
                <w:sz w:val="20"/>
                <w:szCs w:val="20"/>
                <w:lang w:eastAsia="sk-SK"/>
              </w:rPr>
            </w:pPr>
            <w:r w:rsidRPr="00994550">
              <w:rPr>
                <w:sz w:val="20"/>
                <w:szCs w:val="20"/>
                <w:lang w:eastAsia="sk-SK"/>
              </w:rPr>
              <w:t>*** posudzovanie sa týka len zmien v I. a II. pilieri univerzálneho systému dôchodkového zabezpečenia s identifikovaným dopadom od 0,1 % HDP (vrátane) na dlhodobom horizonte.</w:t>
            </w:r>
          </w:p>
          <w:p w:rsidR="00E26C1C" w:rsidRPr="00994550" w:rsidRDefault="00E26C1C" w:rsidP="00D27093">
            <w:pPr>
              <w:jc w:val="both"/>
              <w:rPr>
                <w:sz w:val="20"/>
                <w:szCs w:val="20"/>
                <w:lang w:eastAsia="sk-SK"/>
              </w:rPr>
            </w:pPr>
          </w:p>
          <w:p w:rsidR="00E26C1C" w:rsidRPr="00994550" w:rsidRDefault="00E26C1C" w:rsidP="00D27093">
            <w:pPr>
              <w:jc w:val="both"/>
              <w:rPr>
                <w:b/>
                <w:sz w:val="20"/>
                <w:szCs w:val="20"/>
                <w:lang w:eastAsia="sk-SK"/>
              </w:rPr>
            </w:pPr>
          </w:p>
        </w:tc>
      </w:tr>
      <w:tr w:rsidR="00E26C1C" w:rsidRPr="00994550" w:rsidTr="00D27093">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E26C1C" w:rsidRPr="00994550" w:rsidRDefault="00E26C1C" w:rsidP="00D27093">
            <w:pPr>
              <w:numPr>
                <w:ilvl w:val="0"/>
                <w:numId w:val="1"/>
              </w:numPr>
              <w:ind w:left="426"/>
              <w:contextualSpacing/>
              <w:rPr>
                <w:rFonts w:eastAsia="Calibri"/>
                <w:b/>
              </w:rPr>
            </w:pPr>
            <w:r w:rsidRPr="00994550">
              <w:rPr>
                <w:rFonts w:eastAsia="Calibri"/>
                <w:b/>
              </w:rPr>
              <w:t>Vybrané vplyvy  materiálu</w:t>
            </w:r>
          </w:p>
        </w:tc>
      </w:tr>
      <w:tr w:rsidR="00E26C1C" w:rsidRPr="00994550" w:rsidTr="00D27093">
        <w:tc>
          <w:tcPr>
            <w:tcW w:w="3812" w:type="dxa"/>
            <w:tcBorders>
              <w:top w:val="single" w:sz="4" w:space="0" w:color="auto"/>
              <w:left w:val="single" w:sz="4" w:space="0" w:color="auto"/>
              <w:bottom w:val="nil"/>
              <w:right w:val="single" w:sz="4" w:space="0" w:color="auto"/>
            </w:tcBorders>
            <w:shd w:val="clear" w:color="auto" w:fill="E2E2E2"/>
          </w:tcPr>
          <w:p w:rsidR="00E26C1C" w:rsidRPr="00994550" w:rsidRDefault="00E26C1C" w:rsidP="00D27093">
            <w:pPr>
              <w:rPr>
                <w:b/>
                <w:sz w:val="20"/>
                <w:szCs w:val="20"/>
                <w:lang w:eastAsia="sk-SK"/>
              </w:rPr>
            </w:pPr>
            <w:r w:rsidRPr="00994550">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E26C1C" w:rsidRPr="00994550" w:rsidRDefault="00E26C1C" w:rsidP="00D27093">
            <w:pPr>
              <w:rPr>
                <w:b/>
                <w:sz w:val="20"/>
                <w:szCs w:val="20"/>
                <w:lang w:eastAsia="sk-SK"/>
              </w:rPr>
            </w:pPr>
            <w:r w:rsidRPr="00994550">
              <w:rPr>
                <w:b/>
                <w:sz w:val="20"/>
                <w:szCs w:val="20"/>
                <w:lang w:eastAsia="sk-SK"/>
              </w:rPr>
              <w:t>Pozitívne</w:t>
            </w:r>
          </w:p>
        </w:tc>
        <w:sdt>
          <w:sdtPr>
            <w:rPr>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E26C1C" w:rsidRPr="00994550" w:rsidRDefault="00E26C1C" w:rsidP="00D27093">
            <w:pPr>
              <w:rPr>
                <w:b/>
                <w:sz w:val="20"/>
                <w:szCs w:val="20"/>
                <w:lang w:eastAsia="sk-SK"/>
              </w:rPr>
            </w:pPr>
            <w:r w:rsidRPr="00994550">
              <w:rPr>
                <w:b/>
                <w:sz w:val="20"/>
                <w:szCs w:val="20"/>
                <w:lang w:eastAsia="sk-SK"/>
              </w:rPr>
              <w:t>Žiadne</w:t>
            </w:r>
          </w:p>
        </w:tc>
        <w:sdt>
          <w:sdtPr>
            <w:rPr>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E26C1C" w:rsidRPr="00994550" w:rsidRDefault="00E26C1C" w:rsidP="00D27093">
                <w:pPr>
                  <w:ind w:left="-107" w:right="-108"/>
                  <w:jc w:val="center"/>
                  <w:rPr>
                    <w:b/>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E26C1C" w:rsidRPr="00994550" w:rsidRDefault="00E26C1C" w:rsidP="00D27093">
            <w:pPr>
              <w:ind w:left="34"/>
              <w:rPr>
                <w:b/>
                <w:sz w:val="20"/>
                <w:szCs w:val="20"/>
                <w:lang w:eastAsia="sk-SK"/>
              </w:rPr>
            </w:pPr>
            <w:r w:rsidRPr="00994550">
              <w:rPr>
                <w:b/>
                <w:sz w:val="20"/>
                <w:szCs w:val="20"/>
                <w:lang w:eastAsia="sk-SK"/>
              </w:rPr>
              <w:t>Negatívne</w:t>
            </w:r>
          </w:p>
        </w:tc>
      </w:tr>
      <w:tr w:rsidR="00E26C1C" w:rsidRPr="00994550" w:rsidTr="00D27093">
        <w:tc>
          <w:tcPr>
            <w:tcW w:w="3812" w:type="dxa"/>
            <w:tcBorders>
              <w:top w:val="nil"/>
              <w:left w:val="single" w:sz="4" w:space="0" w:color="auto"/>
              <w:bottom w:val="nil"/>
              <w:right w:val="single" w:sz="4" w:space="0" w:color="auto"/>
            </w:tcBorders>
            <w:shd w:val="clear" w:color="auto" w:fill="E2E2E2"/>
          </w:tcPr>
          <w:p w:rsidR="00E26C1C" w:rsidRPr="00994550" w:rsidRDefault="00E26C1C" w:rsidP="00D27093">
            <w:pPr>
              <w:rPr>
                <w:sz w:val="20"/>
                <w:szCs w:val="20"/>
                <w:lang w:eastAsia="sk-SK"/>
              </w:rPr>
            </w:pPr>
            <w:r w:rsidRPr="00994550">
              <w:rPr>
                <w:sz w:val="20"/>
                <w:szCs w:val="20"/>
                <w:lang w:eastAsia="sk-SK"/>
              </w:rPr>
              <w:t xml:space="preserve">    z toho rozpočtovo zabezpečené vplyvy,         </w:t>
            </w:r>
          </w:p>
          <w:p w:rsidR="00E26C1C" w:rsidRPr="00994550" w:rsidRDefault="00E26C1C" w:rsidP="00D27093">
            <w:pPr>
              <w:rPr>
                <w:sz w:val="20"/>
                <w:szCs w:val="20"/>
                <w:lang w:eastAsia="sk-SK"/>
              </w:rPr>
            </w:pPr>
            <w:r w:rsidRPr="00994550">
              <w:rPr>
                <w:sz w:val="20"/>
                <w:szCs w:val="20"/>
                <w:lang w:eastAsia="sk-SK"/>
              </w:rPr>
              <w:t xml:space="preserve">    v prípade identifikovaného negatívneho </w:t>
            </w:r>
          </w:p>
          <w:p w:rsidR="00E26C1C" w:rsidRPr="00994550" w:rsidRDefault="00E26C1C" w:rsidP="00D27093">
            <w:pPr>
              <w:rPr>
                <w:sz w:val="20"/>
                <w:szCs w:val="20"/>
                <w:lang w:eastAsia="sk-SK"/>
              </w:rPr>
            </w:pPr>
            <w:r w:rsidRPr="00994550">
              <w:rPr>
                <w:sz w:val="20"/>
                <w:szCs w:val="20"/>
                <w:lang w:eastAsia="sk-SK"/>
              </w:rPr>
              <w:t xml:space="preserve">    vplyvu</w:t>
            </w:r>
          </w:p>
        </w:tc>
        <w:sdt>
          <w:sdtPr>
            <w:rPr>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E26C1C" w:rsidRPr="00994550" w:rsidRDefault="00E26C1C" w:rsidP="00D27093">
                <w:pPr>
                  <w:jc w:val="center"/>
                  <w:rPr>
                    <w:sz w:val="20"/>
                    <w:szCs w:val="20"/>
                    <w:lang w:eastAsia="sk-SK"/>
                  </w:rPr>
                </w:pPr>
                <w:r w:rsidRPr="00994550">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E26C1C" w:rsidRPr="00994550" w:rsidRDefault="00E26C1C" w:rsidP="00D27093">
            <w:pPr>
              <w:rPr>
                <w:sz w:val="20"/>
                <w:szCs w:val="20"/>
                <w:lang w:eastAsia="sk-SK"/>
              </w:rPr>
            </w:pPr>
            <w:r w:rsidRPr="00994550">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E26C1C" w:rsidRPr="00994550" w:rsidRDefault="00E26C1C" w:rsidP="00D27093">
                <w:pPr>
                  <w:jc w:val="center"/>
                  <w:rPr>
                    <w:sz w:val="20"/>
                    <w:szCs w:val="20"/>
                    <w:lang w:eastAsia="sk-SK"/>
                  </w:rPr>
                </w:pPr>
                <w:r w:rsidRPr="00994550">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E26C1C" w:rsidRPr="00994550" w:rsidRDefault="00E26C1C" w:rsidP="00D27093">
            <w:pPr>
              <w:rPr>
                <w:sz w:val="20"/>
                <w:szCs w:val="20"/>
                <w:lang w:eastAsia="sk-SK"/>
              </w:rPr>
            </w:pPr>
            <w:r w:rsidRPr="00994550">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E26C1C" w:rsidRPr="00994550" w:rsidRDefault="00E26C1C" w:rsidP="00D27093">
                <w:pPr>
                  <w:ind w:left="-107" w:right="-108"/>
                  <w:jc w:val="center"/>
                  <w:rPr>
                    <w:sz w:val="20"/>
                    <w:szCs w:val="20"/>
                    <w:lang w:eastAsia="sk-SK"/>
                  </w:rPr>
                </w:pPr>
                <w:r w:rsidRPr="00994550">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E26C1C" w:rsidRPr="00994550" w:rsidRDefault="00E26C1C" w:rsidP="00D27093">
            <w:pPr>
              <w:ind w:left="34"/>
              <w:rPr>
                <w:sz w:val="20"/>
                <w:szCs w:val="20"/>
                <w:lang w:eastAsia="sk-SK"/>
              </w:rPr>
            </w:pPr>
            <w:r w:rsidRPr="00994550">
              <w:rPr>
                <w:sz w:val="20"/>
                <w:szCs w:val="20"/>
                <w:lang w:eastAsia="sk-SK"/>
              </w:rPr>
              <w:t>Čiastočne</w:t>
            </w:r>
          </w:p>
        </w:tc>
      </w:tr>
      <w:tr w:rsidR="00E26C1C" w:rsidRPr="00994550" w:rsidTr="00D27093">
        <w:tc>
          <w:tcPr>
            <w:tcW w:w="3812" w:type="dxa"/>
            <w:tcBorders>
              <w:top w:val="nil"/>
              <w:left w:val="single" w:sz="4" w:space="0" w:color="auto"/>
              <w:bottom w:val="nil"/>
              <w:right w:val="single" w:sz="4" w:space="0" w:color="auto"/>
            </w:tcBorders>
            <w:shd w:val="clear" w:color="auto" w:fill="E2E2E2"/>
          </w:tcPr>
          <w:p w:rsidR="00E26C1C" w:rsidRPr="00994550" w:rsidRDefault="00E26C1C" w:rsidP="00D27093">
            <w:pPr>
              <w:rPr>
                <w:b/>
                <w:sz w:val="20"/>
                <w:szCs w:val="20"/>
                <w:lang w:eastAsia="sk-SK"/>
              </w:rPr>
            </w:pPr>
            <w:r w:rsidRPr="00994550">
              <w:rPr>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E26C1C" w:rsidRPr="00994550" w:rsidRDefault="00E26C1C" w:rsidP="00D27093">
            <w:pPr>
              <w:rPr>
                <w:b/>
                <w:sz w:val="20"/>
                <w:szCs w:val="20"/>
                <w:lang w:eastAsia="sk-SK"/>
              </w:rPr>
            </w:pPr>
            <w:r w:rsidRPr="00994550">
              <w:rPr>
                <w:b/>
                <w:sz w:val="20"/>
                <w:szCs w:val="20"/>
                <w:lang w:eastAsia="sk-SK"/>
              </w:rPr>
              <w:t>Pozitívne</w:t>
            </w:r>
          </w:p>
        </w:tc>
        <w:sdt>
          <w:sdtPr>
            <w:rPr>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E26C1C" w:rsidRPr="00994550" w:rsidRDefault="00E26C1C" w:rsidP="00D27093">
            <w:pPr>
              <w:rPr>
                <w:b/>
                <w:sz w:val="20"/>
                <w:szCs w:val="20"/>
                <w:lang w:eastAsia="sk-SK"/>
              </w:rPr>
            </w:pPr>
            <w:r w:rsidRPr="00994550">
              <w:rPr>
                <w:b/>
                <w:sz w:val="20"/>
                <w:szCs w:val="20"/>
                <w:lang w:eastAsia="sk-SK"/>
              </w:rPr>
              <w:t>Žiadne</w:t>
            </w:r>
          </w:p>
        </w:tc>
        <w:sdt>
          <w:sdtPr>
            <w:rPr>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E26C1C" w:rsidRPr="00994550" w:rsidRDefault="00E26C1C" w:rsidP="00D27093">
                <w:pPr>
                  <w:ind w:left="-107" w:right="-108"/>
                  <w:jc w:val="center"/>
                  <w:rPr>
                    <w:b/>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E26C1C" w:rsidRPr="00994550" w:rsidRDefault="00E26C1C" w:rsidP="00D27093">
            <w:pPr>
              <w:ind w:left="34"/>
              <w:rPr>
                <w:b/>
                <w:sz w:val="20"/>
                <w:szCs w:val="20"/>
                <w:lang w:eastAsia="sk-SK"/>
              </w:rPr>
            </w:pPr>
            <w:r w:rsidRPr="00994550">
              <w:rPr>
                <w:b/>
                <w:sz w:val="20"/>
                <w:szCs w:val="20"/>
                <w:lang w:eastAsia="sk-SK"/>
              </w:rPr>
              <w:t>Negatívne</w:t>
            </w:r>
          </w:p>
        </w:tc>
      </w:tr>
      <w:tr w:rsidR="00E26C1C" w:rsidRPr="00994550" w:rsidTr="00D27093">
        <w:tc>
          <w:tcPr>
            <w:tcW w:w="3812" w:type="dxa"/>
            <w:tcBorders>
              <w:top w:val="nil"/>
              <w:left w:val="single" w:sz="4" w:space="0" w:color="auto"/>
              <w:bottom w:val="single" w:sz="4" w:space="0" w:color="auto"/>
              <w:right w:val="single" w:sz="4" w:space="0" w:color="auto"/>
            </w:tcBorders>
            <w:shd w:val="clear" w:color="auto" w:fill="E2E2E2"/>
          </w:tcPr>
          <w:p w:rsidR="00E26C1C" w:rsidRPr="00994550" w:rsidRDefault="00E26C1C" w:rsidP="00D27093">
            <w:pPr>
              <w:ind w:left="171"/>
              <w:rPr>
                <w:sz w:val="20"/>
                <w:szCs w:val="20"/>
                <w:lang w:eastAsia="sk-SK"/>
              </w:rPr>
            </w:pPr>
            <w:r w:rsidRPr="00994550">
              <w:rPr>
                <w:sz w:val="20"/>
                <w:szCs w:val="20"/>
                <w:lang w:eastAsia="sk-SK"/>
              </w:rPr>
              <w:t>z toho rozpočtovo zabezpečené vplyvy,</w:t>
            </w:r>
          </w:p>
          <w:p w:rsidR="00E26C1C" w:rsidRPr="00994550" w:rsidRDefault="00E26C1C" w:rsidP="00D27093">
            <w:pPr>
              <w:ind w:left="171"/>
              <w:rPr>
                <w:sz w:val="20"/>
                <w:szCs w:val="20"/>
                <w:lang w:eastAsia="sk-SK"/>
              </w:rPr>
            </w:pPr>
            <w:r w:rsidRPr="00994550">
              <w:rPr>
                <w:sz w:val="20"/>
                <w:szCs w:val="20"/>
                <w:lang w:eastAsia="sk-SK"/>
              </w:rPr>
              <w:t>v prípade identifikovaného negatívneho vplyvu</w:t>
            </w:r>
          </w:p>
        </w:tc>
        <w:sdt>
          <w:sdtPr>
            <w:rPr>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E26C1C" w:rsidRPr="00994550" w:rsidRDefault="00E26C1C" w:rsidP="00D27093">
                <w:pPr>
                  <w:jc w:val="center"/>
                  <w:rPr>
                    <w:sz w:val="20"/>
                    <w:szCs w:val="20"/>
                    <w:lang w:eastAsia="sk-SK"/>
                  </w:rPr>
                </w:pPr>
                <w:r w:rsidRPr="00994550">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E26C1C" w:rsidRPr="00994550" w:rsidRDefault="00E26C1C" w:rsidP="00D27093">
            <w:pPr>
              <w:rPr>
                <w:sz w:val="20"/>
                <w:szCs w:val="20"/>
                <w:lang w:eastAsia="sk-SK"/>
              </w:rPr>
            </w:pPr>
            <w:r w:rsidRPr="00994550">
              <w:rPr>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E26C1C" w:rsidRPr="00994550" w:rsidRDefault="00E26C1C" w:rsidP="00D27093">
                <w:pPr>
                  <w:jc w:val="center"/>
                  <w:rPr>
                    <w:sz w:val="20"/>
                    <w:szCs w:val="20"/>
                    <w:lang w:eastAsia="sk-SK"/>
                  </w:rPr>
                </w:pPr>
                <w:r w:rsidRPr="00994550">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E26C1C" w:rsidRPr="00994550" w:rsidRDefault="00E26C1C" w:rsidP="00D27093">
            <w:pPr>
              <w:rPr>
                <w:sz w:val="20"/>
                <w:szCs w:val="20"/>
                <w:lang w:eastAsia="sk-SK"/>
              </w:rPr>
            </w:pPr>
            <w:r w:rsidRPr="00994550">
              <w:rPr>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E26C1C" w:rsidRPr="00994550" w:rsidRDefault="00E26C1C" w:rsidP="00D27093">
                <w:pPr>
                  <w:ind w:left="-107" w:right="-108"/>
                  <w:jc w:val="center"/>
                  <w:rPr>
                    <w:sz w:val="20"/>
                    <w:szCs w:val="20"/>
                    <w:lang w:eastAsia="sk-SK"/>
                  </w:rPr>
                </w:pPr>
                <w:r w:rsidRPr="00994550">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E26C1C" w:rsidRPr="00994550" w:rsidRDefault="00E26C1C" w:rsidP="00D27093">
            <w:pPr>
              <w:ind w:left="34"/>
              <w:rPr>
                <w:sz w:val="20"/>
                <w:szCs w:val="20"/>
                <w:lang w:eastAsia="sk-SK"/>
              </w:rPr>
            </w:pPr>
            <w:r w:rsidRPr="00994550">
              <w:rPr>
                <w:sz w:val="20"/>
                <w:szCs w:val="20"/>
                <w:lang w:eastAsia="sk-SK"/>
              </w:rPr>
              <w:t>Čiastočne</w:t>
            </w:r>
          </w:p>
        </w:tc>
      </w:tr>
      <w:tr w:rsidR="00E26C1C" w:rsidRPr="00994550" w:rsidTr="00D27093">
        <w:tc>
          <w:tcPr>
            <w:tcW w:w="3812" w:type="dxa"/>
            <w:tcBorders>
              <w:top w:val="single" w:sz="4" w:space="0" w:color="auto"/>
              <w:left w:val="single" w:sz="4" w:space="0" w:color="auto"/>
              <w:bottom w:val="single" w:sz="4" w:space="0" w:color="auto"/>
              <w:right w:val="single" w:sz="4" w:space="0" w:color="auto"/>
            </w:tcBorders>
            <w:shd w:val="clear" w:color="auto" w:fill="E2E2E2"/>
          </w:tcPr>
          <w:p w:rsidR="00E26C1C" w:rsidRPr="00994550" w:rsidRDefault="00E26C1C" w:rsidP="00D27093">
            <w:pPr>
              <w:ind w:left="171"/>
              <w:rPr>
                <w:sz w:val="20"/>
                <w:szCs w:val="20"/>
                <w:lang w:eastAsia="sk-SK"/>
              </w:rPr>
            </w:pPr>
            <w:r w:rsidRPr="00994550">
              <w:rPr>
                <w:sz w:val="20"/>
                <w:szCs w:val="20"/>
                <w:lang w:eastAsia="sk-SK"/>
              </w:rPr>
              <w:t>Vplyv na dlhodobú udržateľnosť verejných financií v prípade vybraných opatrení ***</w:t>
            </w:r>
          </w:p>
        </w:tc>
        <w:sdt>
          <w:sdtPr>
            <w:rPr>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E26C1C" w:rsidRPr="00994550" w:rsidRDefault="00E26C1C" w:rsidP="00D27093">
                <w:pPr>
                  <w:jc w:val="center"/>
                  <w:rPr>
                    <w:sz w:val="20"/>
                    <w:szCs w:val="20"/>
                    <w:lang w:eastAsia="sk-SK"/>
                  </w:rPr>
                </w:pPr>
                <w:r w:rsidRPr="00994550">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E26C1C" w:rsidRPr="00994550" w:rsidRDefault="00E26C1C" w:rsidP="00D27093">
            <w:pPr>
              <w:rPr>
                <w:sz w:val="20"/>
                <w:szCs w:val="20"/>
                <w:lang w:eastAsia="sk-SK"/>
              </w:rPr>
            </w:pPr>
            <w:r w:rsidRPr="00994550">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E26C1C" w:rsidRPr="00994550" w:rsidRDefault="00E26C1C" w:rsidP="00D27093">
            <w:pPr>
              <w:jc w:val="center"/>
              <w:rPr>
                <w:sz w:val="20"/>
                <w:szCs w:val="20"/>
                <w:lang w:eastAsia="sk-SK"/>
              </w:rPr>
            </w:pPr>
          </w:p>
        </w:tc>
        <w:tc>
          <w:tcPr>
            <w:tcW w:w="1133" w:type="dxa"/>
            <w:tcBorders>
              <w:top w:val="single" w:sz="4" w:space="0" w:color="auto"/>
              <w:left w:val="nil"/>
              <w:bottom w:val="single" w:sz="4" w:space="0" w:color="auto"/>
              <w:right w:val="nil"/>
            </w:tcBorders>
            <w:vAlign w:val="center"/>
          </w:tcPr>
          <w:p w:rsidR="00E26C1C" w:rsidRPr="00994550" w:rsidRDefault="00E26C1C" w:rsidP="00D27093">
            <w:pPr>
              <w:rPr>
                <w:sz w:val="20"/>
                <w:szCs w:val="20"/>
                <w:lang w:eastAsia="sk-SK"/>
              </w:rPr>
            </w:pPr>
          </w:p>
        </w:tc>
        <w:sdt>
          <w:sdtPr>
            <w:rPr>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E26C1C" w:rsidRPr="00994550" w:rsidRDefault="00E26C1C" w:rsidP="00D27093">
                <w:pPr>
                  <w:ind w:left="-107" w:right="-108"/>
                  <w:jc w:val="center"/>
                  <w:rPr>
                    <w:sz w:val="20"/>
                    <w:szCs w:val="20"/>
                    <w:lang w:eastAsia="sk-SK"/>
                  </w:rPr>
                </w:pPr>
                <w:r w:rsidRPr="00994550">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E26C1C" w:rsidRPr="00994550" w:rsidRDefault="00E26C1C" w:rsidP="00D27093">
            <w:pPr>
              <w:ind w:left="34"/>
              <w:rPr>
                <w:sz w:val="20"/>
                <w:szCs w:val="20"/>
                <w:lang w:eastAsia="sk-SK"/>
              </w:rPr>
            </w:pPr>
            <w:r w:rsidRPr="00994550">
              <w:rPr>
                <w:sz w:val="20"/>
                <w:szCs w:val="20"/>
                <w:lang w:eastAsia="sk-SK"/>
              </w:rPr>
              <w:t>Nie</w:t>
            </w:r>
          </w:p>
        </w:tc>
      </w:tr>
      <w:tr w:rsidR="00E26C1C" w:rsidRPr="00994550" w:rsidTr="00D27093">
        <w:tc>
          <w:tcPr>
            <w:tcW w:w="3812" w:type="dxa"/>
            <w:tcBorders>
              <w:top w:val="single" w:sz="4" w:space="0" w:color="auto"/>
              <w:left w:val="single" w:sz="4" w:space="0" w:color="auto"/>
              <w:bottom w:val="single" w:sz="4" w:space="0" w:color="auto"/>
              <w:right w:val="single" w:sz="4" w:space="0" w:color="auto"/>
            </w:tcBorders>
            <w:shd w:val="clear" w:color="auto" w:fill="E2E2E2"/>
          </w:tcPr>
          <w:p w:rsidR="00E26C1C" w:rsidRPr="00994550" w:rsidRDefault="00E26C1C" w:rsidP="00D27093">
            <w:pPr>
              <w:rPr>
                <w:b/>
                <w:sz w:val="20"/>
                <w:szCs w:val="20"/>
                <w:lang w:eastAsia="sk-SK"/>
              </w:rPr>
            </w:pPr>
            <w:r w:rsidRPr="00994550">
              <w:rPr>
                <w:b/>
                <w:sz w:val="20"/>
                <w:szCs w:val="20"/>
                <w:lang w:eastAsia="sk-SK"/>
              </w:rPr>
              <w:t>Vplyvy na limit verejných výdavkov</w:t>
            </w:r>
          </w:p>
        </w:tc>
        <w:sdt>
          <w:sdtPr>
            <w:rPr>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E26C1C" w:rsidRPr="00994550" w:rsidRDefault="00E26C1C" w:rsidP="00D27093">
                <w:pPr>
                  <w:jc w:val="center"/>
                  <w:rPr>
                    <w:sz w:val="20"/>
                    <w:szCs w:val="20"/>
                    <w:lang w:eastAsia="sk-SK"/>
                  </w:rPr>
                </w:pPr>
                <w:r w:rsidRPr="00994550">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E26C1C" w:rsidRPr="00994550" w:rsidRDefault="00E26C1C" w:rsidP="00D27093">
            <w:pPr>
              <w:rPr>
                <w:sz w:val="20"/>
                <w:szCs w:val="20"/>
                <w:lang w:eastAsia="sk-SK"/>
              </w:rPr>
            </w:pPr>
            <w:r w:rsidRPr="00994550">
              <w:rPr>
                <w:b/>
                <w:sz w:val="20"/>
                <w:szCs w:val="20"/>
                <w:lang w:eastAsia="sk-SK"/>
              </w:rPr>
              <w:t>Pozitívne</w:t>
            </w:r>
          </w:p>
        </w:tc>
        <w:sdt>
          <w:sdtPr>
            <w:rPr>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E26C1C" w:rsidRPr="00994550" w:rsidRDefault="00E26C1C" w:rsidP="00D27093">
                <w:pPr>
                  <w:jc w:val="center"/>
                  <w:rPr>
                    <w:sz w:val="20"/>
                    <w:szCs w:val="20"/>
                    <w:lang w:eastAsia="sk-SK"/>
                  </w:rPr>
                </w:pPr>
                <w:r w:rsidRPr="00994550">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E26C1C" w:rsidRPr="00994550" w:rsidRDefault="00E26C1C" w:rsidP="00D27093">
            <w:pPr>
              <w:rPr>
                <w:sz w:val="20"/>
                <w:szCs w:val="20"/>
                <w:lang w:eastAsia="sk-SK"/>
              </w:rPr>
            </w:pPr>
            <w:r w:rsidRPr="00994550">
              <w:rPr>
                <w:b/>
                <w:sz w:val="20"/>
                <w:szCs w:val="20"/>
                <w:lang w:eastAsia="sk-SK"/>
              </w:rPr>
              <w:t>Žiadne</w:t>
            </w:r>
          </w:p>
        </w:tc>
        <w:sdt>
          <w:sdtPr>
            <w:rPr>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E26C1C" w:rsidRPr="00994550" w:rsidRDefault="00E26C1C" w:rsidP="00D27093">
                <w:pPr>
                  <w:ind w:left="-107" w:right="-108"/>
                  <w:jc w:val="center"/>
                  <w:rPr>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E26C1C" w:rsidRPr="00994550" w:rsidRDefault="00E26C1C" w:rsidP="00D27093">
            <w:pPr>
              <w:ind w:left="34"/>
              <w:rPr>
                <w:sz w:val="20"/>
                <w:szCs w:val="20"/>
                <w:lang w:eastAsia="sk-SK"/>
              </w:rPr>
            </w:pPr>
            <w:r w:rsidRPr="00994550">
              <w:rPr>
                <w:b/>
                <w:sz w:val="20"/>
                <w:szCs w:val="20"/>
                <w:lang w:eastAsia="sk-SK"/>
              </w:rPr>
              <w:t>Negatívne</w:t>
            </w:r>
          </w:p>
        </w:tc>
      </w:tr>
      <w:tr w:rsidR="00E26C1C" w:rsidRPr="00994550" w:rsidTr="00D27093">
        <w:tc>
          <w:tcPr>
            <w:tcW w:w="3812" w:type="dxa"/>
            <w:tcBorders>
              <w:top w:val="single" w:sz="4" w:space="0" w:color="auto"/>
              <w:left w:val="single" w:sz="4" w:space="0" w:color="auto"/>
              <w:bottom w:val="nil"/>
              <w:right w:val="single" w:sz="4" w:space="0" w:color="auto"/>
            </w:tcBorders>
            <w:shd w:val="clear" w:color="auto" w:fill="E2E2E2"/>
          </w:tcPr>
          <w:p w:rsidR="00E26C1C" w:rsidRPr="00994550" w:rsidRDefault="00E26C1C" w:rsidP="00D27093">
            <w:pPr>
              <w:rPr>
                <w:b/>
                <w:sz w:val="20"/>
                <w:szCs w:val="20"/>
                <w:lang w:eastAsia="sk-SK"/>
              </w:rPr>
            </w:pPr>
            <w:r w:rsidRPr="00994550">
              <w:rPr>
                <w:b/>
                <w:sz w:val="20"/>
                <w:szCs w:val="20"/>
                <w:lang w:eastAsia="sk-SK"/>
              </w:rPr>
              <w:t>Vplyvy na podnikateľské prostredie</w:t>
            </w:r>
          </w:p>
        </w:tc>
        <w:sdt>
          <w:sdtPr>
            <w:rPr>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E26C1C" w:rsidRPr="00994550" w:rsidRDefault="00E26C1C" w:rsidP="00D27093">
            <w:pPr>
              <w:ind w:right="-108"/>
              <w:rPr>
                <w:b/>
                <w:sz w:val="20"/>
                <w:szCs w:val="20"/>
                <w:lang w:eastAsia="sk-SK"/>
              </w:rPr>
            </w:pPr>
            <w:r w:rsidRPr="00994550">
              <w:rPr>
                <w:b/>
                <w:sz w:val="20"/>
                <w:szCs w:val="20"/>
                <w:lang w:eastAsia="sk-SK"/>
              </w:rPr>
              <w:t>Pozitívne</w:t>
            </w:r>
          </w:p>
        </w:tc>
        <w:sdt>
          <w:sdtPr>
            <w:rPr>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E26C1C" w:rsidRPr="00994550" w:rsidRDefault="00E26C1C" w:rsidP="00D27093">
            <w:pPr>
              <w:rPr>
                <w:b/>
                <w:sz w:val="20"/>
                <w:szCs w:val="20"/>
                <w:lang w:eastAsia="sk-SK"/>
              </w:rPr>
            </w:pPr>
            <w:r w:rsidRPr="00994550">
              <w:rPr>
                <w:b/>
                <w:sz w:val="20"/>
                <w:szCs w:val="20"/>
                <w:lang w:eastAsia="sk-SK"/>
              </w:rPr>
              <w:t>Žiadne</w:t>
            </w:r>
          </w:p>
        </w:tc>
        <w:sdt>
          <w:sdtPr>
            <w:rPr>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E26C1C" w:rsidRPr="00994550" w:rsidRDefault="00E26C1C" w:rsidP="00D27093">
            <w:pPr>
              <w:ind w:left="54"/>
              <w:rPr>
                <w:b/>
                <w:sz w:val="20"/>
                <w:szCs w:val="20"/>
                <w:lang w:eastAsia="sk-SK"/>
              </w:rPr>
            </w:pPr>
            <w:r w:rsidRPr="00994550">
              <w:rPr>
                <w:b/>
                <w:sz w:val="20"/>
                <w:szCs w:val="20"/>
                <w:lang w:eastAsia="sk-SK"/>
              </w:rPr>
              <w:t>Negatívne</w:t>
            </w:r>
          </w:p>
        </w:tc>
      </w:tr>
      <w:tr w:rsidR="00E26C1C" w:rsidRPr="00994550" w:rsidTr="00D27093">
        <w:tc>
          <w:tcPr>
            <w:tcW w:w="3812" w:type="dxa"/>
            <w:tcBorders>
              <w:top w:val="nil"/>
              <w:left w:val="single" w:sz="4" w:space="0" w:color="000000"/>
              <w:bottom w:val="nil"/>
              <w:right w:val="single" w:sz="4" w:space="0" w:color="000000"/>
            </w:tcBorders>
            <w:shd w:val="clear" w:color="auto" w:fill="E2E2E2"/>
          </w:tcPr>
          <w:p w:rsidR="00E26C1C" w:rsidRPr="00994550" w:rsidRDefault="00E26C1C" w:rsidP="00D27093">
            <w:pPr>
              <w:rPr>
                <w:sz w:val="20"/>
                <w:szCs w:val="20"/>
                <w:lang w:eastAsia="sk-SK"/>
              </w:rPr>
            </w:pPr>
            <w:r w:rsidRPr="00994550">
              <w:rPr>
                <w:sz w:val="20"/>
                <w:szCs w:val="20"/>
                <w:lang w:eastAsia="sk-SK"/>
              </w:rPr>
              <w:t xml:space="preserve">    z toho vplyvy na MSP</w:t>
            </w:r>
          </w:p>
          <w:p w:rsidR="00E26C1C" w:rsidRPr="00994550" w:rsidRDefault="00E26C1C" w:rsidP="00D27093">
            <w:pPr>
              <w:rPr>
                <w:sz w:val="20"/>
                <w:szCs w:val="20"/>
                <w:lang w:eastAsia="sk-SK"/>
              </w:rPr>
            </w:pPr>
          </w:p>
        </w:tc>
        <w:sdt>
          <w:sdtPr>
            <w:rPr>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E26C1C" w:rsidRPr="00994550" w:rsidRDefault="00E26C1C" w:rsidP="00D27093">
                <w:pPr>
                  <w:jc w:val="center"/>
                  <w:rPr>
                    <w:sz w:val="20"/>
                    <w:szCs w:val="20"/>
                    <w:lang w:eastAsia="sk-SK"/>
                  </w:rPr>
                </w:pPr>
                <w:r w:rsidRPr="00994550">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E26C1C" w:rsidRPr="00994550" w:rsidRDefault="00E26C1C" w:rsidP="00D27093">
            <w:pPr>
              <w:ind w:right="-108"/>
              <w:rPr>
                <w:sz w:val="20"/>
                <w:szCs w:val="20"/>
                <w:lang w:eastAsia="sk-SK"/>
              </w:rPr>
            </w:pPr>
            <w:r w:rsidRPr="00994550">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E26C1C" w:rsidRPr="00994550" w:rsidRDefault="00E26C1C" w:rsidP="00D27093">
                <w:pPr>
                  <w:jc w:val="center"/>
                  <w:rPr>
                    <w:sz w:val="20"/>
                    <w:szCs w:val="20"/>
                    <w:lang w:eastAsia="sk-SK"/>
                  </w:rPr>
                </w:pPr>
                <w:r w:rsidRPr="00994550">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E26C1C" w:rsidRPr="00994550" w:rsidRDefault="00E26C1C" w:rsidP="00D27093">
            <w:pPr>
              <w:rPr>
                <w:sz w:val="20"/>
                <w:szCs w:val="20"/>
                <w:lang w:eastAsia="sk-SK"/>
              </w:rPr>
            </w:pPr>
            <w:r w:rsidRPr="00994550">
              <w:rPr>
                <w:sz w:val="20"/>
                <w:szCs w:val="20"/>
                <w:lang w:eastAsia="sk-SK"/>
              </w:rPr>
              <w:t>Žiadne</w:t>
            </w:r>
          </w:p>
        </w:tc>
        <w:sdt>
          <w:sdtPr>
            <w:rPr>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E26C1C" w:rsidRPr="00994550" w:rsidRDefault="00E26C1C" w:rsidP="00D27093">
                <w:pPr>
                  <w:jc w:val="center"/>
                  <w:rPr>
                    <w:sz w:val="20"/>
                    <w:szCs w:val="20"/>
                    <w:lang w:eastAsia="sk-SK"/>
                  </w:rPr>
                </w:pPr>
                <w:r w:rsidRPr="00994550">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E26C1C" w:rsidRPr="00994550" w:rsidRDefault="00E26C1C" w:rsidP="00D27093">
            <w:pPr>
              <w:ind w:left="54"/>
              <w:rPr>
                <w:sz w:val="20"/>
                <w:szCs w:val="20"/>
                <w:lang w:eastAsia="sk-SK"/>
              </w:rPr>
            </w:pPr>
            <w:r w:rsidRPr="00994550">
              <w:rPr>
                <w:sz w:val="20"/>
                <w:szCs w:val="20"/>
                <w:lang w:eastAsia="sk-SK"/>
              </w:rPr>
              <w:t>Negatívne</w:t>
            </w:r>
          </w:p>
        </w:tc>
      </w:tr>
      <w:tr w:rsidR="00E26C1C" w:rsidRPr="00994550" w:rsidTr="00D27093">
        <w:tc>
          <w:tcPr>
            <w:tcW w:w="3812" w:type="dxa"/>
            <w:tcBorders>
              <w:top w:val="nil"/>
              <w:left w:val="single" w:sz="4" w:space="0" w:color="auto"/>
              <w:bottom w:val="single" w:sz="4" w:space="0" w:color="auto"/>
              <w:right w:val="single" w:sz="4" w:space="0" w:color="auto"/>
            </w:tcBorders>
            <w:shd w:val="clear" w:color="auto" w:fill="E2E2E2"/>
          </w:tcPr>
          <w:p w:rsidR="00E26C1C" w:rsidRPr="00994550" w:rsidRDefault="00E26C1C" w:rsidP="00D27093">
            <w:pPr>
              <w:rPr>
                <w:sz w:val="20"/>
                <w:szCs w:val="20"/>
                <w:lang w:eastAsia="sk-SK"/>
              </w:rPr>
            </w:pPr>
            <w:r w:rsidRPr="00994550">
              <w:rPr>
                <w:sz w:val="20"/>
                <w:szCs w:val="20"/>
                <w:lang w:eastAsia="sk-SK"/>
              </w:rPr>
              <w:t xml:space="preserve">    Mechanizmus znižovania byrokracie    </w:t>
            </w:r>
          </w:p>
          <w:p w:rsidR="00E26C1C" w:rsidRPr="00994550" w:rsidRDefault="00E26C1C" w:rsidP="00D27093">
            <w:pPr>
              <w:rPr>
                <w:b/>
                <w:sz w:val="20"/>
                <w:szCs w:val="20"/>
                <w:lang w:eastAsia="sk-SK"/>
              </w:rPr>
            </w:pPr>
            <w:r w:rsidRPr="00994550">
              <w:rPr>
                <w:sz w:val="20"/>
                <w:szCs w:val="20"/>
                <w:lang w:eastAsia="sk-SK"/>
              </w:rPr>
              <w:t xml:space="preserve">    a nákladov sa uplatňuje:</w:t>
            </w:r>
          </w:p>
        </w:tc>
        <w:sdt>
          <w:sdtPr>
            <w:rPr>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E26C1C" w:rsidRPr="00994550" w:rsidRDefault="00E26C1C" w:rsidP="00D27093">
            <w:pPr>
              <w:ind w:right="-108"/>
              <w:rPr>
                <w:b/>
                <w:sz w:val="20"/>
                <w:szCs w:val="20"/>
                <w:lang w:eastAsia="sk-SK"/>
              </w:rPr>
            </w:pPr>
            <w:r w:rsidRPr="00994550">
              <w:rPr>
                <w:sz w:val="20"/>
                <w:szCs w:val="20"/>
                <w:lang w:eastAsia="sk-SK"/>
              </w:rPr>
              <w:t>Áno</w:t>
            </w:r>
          </w:p>
        </w:tc>
        <w:tc>
          <w:tcPr>
            <w:tcW w:w="254" w:type="dxa"/>
            <w:tcBorders>
              <w:top w:val="dotted" w:sz="4" w:space="0" w:color="auto"/>
              <w:left w:val="nil"/>
              <w:bottom w:val="single" w:sz="4" w:space="0" w:color="auto"/>
              <w:right w:val="nil"/>
            </w:tcBorders>
            <w:vAlign w:val="center"/>
          </w:tcPr>
          <w:p w:rsidR="00E26C1C" w:rsidRPr="00994550" w:rsidRDefault="00E26C1C" w:rsidP="00D27093">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rsidR="00E26C1C" w:rsidRPr="00994550" w:rsidRDefault="00E26C1C" w:rsidP="00D27093">
            <w:pPr>
              <w:jc w:val="center"/>
              <w:rPr>
                <w:b/>
                <w:sz w:val="20"/>
                <w:szCs w:val="20"/>
                <w:lang w:eastAsia="sk-SK"/>
              </w:rPr>
            </w:pPr>
          </w:p>
        </w:tc>
        <w:sdt>
          <w:sdtPr>
            <w:rPr>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E26C1C" w:rsidRPr="00994550" w:rsidRDefault="00E26C1C" w:rsidP="00D27093">
            <w:pPr>
              <w:ind w:left="54"/>
              <w:rPr>
                <w:b/>
                <w:sz w:val="20"/>
                <w:szCs w:val="20"/>
                <w:lang w:eastAsia="sk-SK"/>
              </w:rPr>
            </w:pPr>
            <w:r w:rsidRPr="00994550">
              <w:rPr>
                <w:sz w:val="20"/>
                <w:szCs w:val="20"/>
                <w:lang w:eastAsia="sk-SK"/>
              </w:rPr>
              <w:t>Nie</w:t>
            </w:r>
          </w:p>
        </w:tc>
      </w:tr>
      <w:tr w:rsidR="00E26C1C" w:rsidRPr="00994550" w:rsidTr="00D27093">
        <w:tc>
          <w:tcPr>
            <w:tcW w:w="3812" w:type="dxa"/>
            <w:tcBorders>
              <w:top w:val="single" w:sz="4" w:space="0" w:color="000000"/>
              <w:left w:val="single" w:sz="4" w:space="0" w:color="auto"/>
              <w:bottom w:val="single" w:sz="4" w:space="0" w:color="auto"/>
              <w:right w:val="single" w:sz="4" w:space="0" w:color="auto"/>
            </w:tcBorders>
            <w:shd w:val="clear" w:color="auto" w:fill="E2E2E2"/>
          </w:tcPr>
          <w:p w:rsidR="00E26C1C" w:rsidRPr="00994550" w:rsidRDefault="00E26C1C" w:rsidP="00D27093">
            <w:pPr>
              <w:rPr>
                <w:b/>
                <w:sz w:val="20"/>
                <w:szCs w:val="20"/>
                <w:lang w:eastAsia="sk-SK"/>
              </w:rPr>
            </w:pPr>
            <w:r w:rsidRPr="00994550">
              <w:rPr>
                <w:b/>
                <w:sz w:val="20"/>
                <w:szCs w:val="20"/>
                <w:lang w:eastAsia="sk-SK"/>
              </w:rPr>
              <w:t>Sociálne vplyvy</w:t>
            </w:r>
          </w:p>
        </w:tc>
        <w:sdt>
          <w:sdtPr>
            <w:rPr>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E26C1C" w:rsidRPr="00994550" w:rsidRDefault="00E26C1C" w:rsidP="00D27093">
            <w:pPr>
              <w:ind w:right="-108"/>
              <w:rPr>
                <w:b/>
                <w:sz w:val="20"/>
                <w:szCs w:val="20"/>
                <w:lang w:eastAsia="sk-SK"/>
              </w:rPr>
            </w:pPr>
            <w:r w:rsidRPr="00994550">
              <w:rPr>
                <w:b/>
                <w:sz w:val="20"/>
                <w:szCs w:val="20"/>
                <w:lang w:eastAsia="sk-SK"/>
              </w:rPr>
              <w:t>Pozitívne</w:t>
            </w:r>
          </w:p>
        </w:tc>
        <w:sdt>
          <w:sdtPr>
            <w:rPr>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26C1C" w:rsidRPr="00994550" w:rsidRDefault="00E26C1C" w:rsidP="00D27093">
            <w:pPr>
              <w:rPr>
                <w:b/>
                <w:sz w:val="20"/>
                <w:szCs w:val="20"/>
                <w:lang w:eastAsia="sk-SK"/>
              </w:rPr>
            </w:pPr>
            <w:r w:rsidRPr="00994550">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26C1C" w:rsidRPr="00994550" w:rsidRDefault="00E26C1C" w:rsidP="00D27093">
            <w:pPr>
              <w:ind w:left="54"/>
              <w:rPr>
                <w:b/>
                <w:sz w:val="20"/>
                <w:szCs w:val="20"/>
                <w:lang w:eastAsia="sk-SK"/>
              </w:rPr>
            </w:pPr>
            <w:r w:rsidRPr="00994550">
              <w:rPr>
                <w:b/>
                <w:sz w:val="20"/>
                <w:szCs w:val="20"/>
                <w:lang w:eastAsia="sk-SK"/>
              </w:rPr>
              <w:t>Negatívne</w:t>
            </w:r>
          </w:p>
        </w:tc>
      </w:tr>
      <w:tr w:rsidR="00E26C1C" w:rsidRPr="00994550" w:rsidTr="00D27093">
        <w:tc>
          <w:tcPr>
            <w:tcW w:w="3812" w:type="dxa"/>
            <w:tcBorders>
              <w:top w:val="single" w:sz="4" w:space="0" w:color="auto"/>
              <w:left w:val="single" w:sz="4" w:space="0" w:color="auto"/>
              <w:bottom w:val="nil"/>
              <w:right w:val="single" w:sz="4" w:space="0" w:color="auto"/>
            </w:tcBorders>
            <w:shd w:val="clear" w:color="auto" w:fill="E2E2E2"/>
          </w:tcPr>
          <w:p w:rsidR="00E26C1C" w:rsidRPr="00994550" w:rsidRDefault="00E26C1C" w:rsidP="00D27093">
            <w:pPr>
              <w:rPr>
                <w:b/>
                <w:sz w:val="20"/>
                <w:szCs w:val="20"/>
                <w:lang w:eastAsia="sk-SK"/>
              </w:rPr>
            </w:pPr>
            <w:r w:rsidRPr="00994550">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E26C1C" w:rsidRPr="00994550" w:rsidRDefault="00E26C1C" w:rsidP="00D27093">
            <w:pPr>
              <w:ind w:right="-108"/>
              <w:rPr>
                <w:b/>
                <w:sz w:val="20"/>
                <w:szCs w:val="20"/>
                <w:lang w:eastAsia="sk-SK"/>
              </w:rPr>
            </w:pPr>
            <w:r w:rsidRPr="00994550">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26C1C" w:rsidRPr="00994550" w:rsidRDefault="00E26C1C" w:rsidP="00D27093">
            <w:pPr>
              <w:rPr>
                <w:b/>
                <w:sz w:val="20"/>
                <w:szCs w:val="20"/>
                <w:lang w:eastAsia="sk-SK"/>
              </w:rPr>
            </w:pPr>
            <w:r w:rsidRPr="00994550">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26C1C" w:rsidRPr="00994550" w:rsidRDefault="00E26C1C" w:rsidP="00D27093">
            <w:pPr>
              <w:ind w:left="54"/>
              <w:rPr>
                <w:b/>
                <w:sz w:val="20"/>
                <w:szCs w:val="20"/>
                <w:lang w:eastAsia="sk-SK"/>
              </w:rPr>
            </w:pPr>
            <w:r w:rsidRPr="00994550">
              <w:rPr>
                <w:b/>
                <w:sz w:val="20"/>
                <w:szCs w:val="20"/>
                <w:lang w:eastAsia="sk-SK"/>
              </w:rPr>
              <w:t>Negatívne</w:t>
            </w:r>
          </w:p>
        </w:tc>
      </w:tr>
      <w:tr w:rsidR="00E26C1C" w:rsidRPr="00994550" w:rsidTr="00D27093">
        <w:tc>
          <w:tcPr>
            <w:tcW w:w="3812" w:type="dxa"/>
            <w:tcBorders>
              <w:top w:val="nil"/>
              <w:left w:val="single" w:sz="4" w:space="0" w:color="auto"/>
              <w:bottom w:val="single" w:sz="4" w:space="0" w:color="auto"/>
              <w:right w:val="single" w:sz="4" w:space="0" w:color="auto"/>
            </w:tcBorders>
            <w:shd w:val="clear" w:color="auto" w:fill="E2E2E2"/>
          </w:tcPr>
          <w:p w:rsidR="00E26C1C" w:rsidRPr="00994550" w:rsidRDefault="00E26C1C" w:rsidP="00D27093">
            <w:pPr>
              <w:rPr>
                <w:sz w:val="20"/>
                <w:szCs w:val="20"/>
                <w:lang w:eastAsia="sk-SK"/>
              </w:rPr>
            </w:pPr>
          </w:p>
          <w:p w:rsidR="00E26C1C" w:rsidRPr="00994550" w:rsidRDefault="00E26C1C" w:rsidP="00D27093">
            <w:pPr>
              <w:ind w:left="164"/>
              <w:rPr>
                <w:b/>
                <w:sz w:val="20"/>
                <w:szCs w:val="20"/>
                <w:lang w:eastAsia="sk-SK"/>
              </w:rPr>
            </w:pPr>
            <w:r w:rsidRPr="00994550">
              <w:rPr>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E26C1C" w:rsidRPr="00994550" w:rsidRDefault="00E26C1C" w:rsidP="00D27093">
            <w:pPr>
              <w:ind w:right="-108"/>
              <w:rPr>
                <w:b/>
                <w:sz w:val="20"/>
                <w:szCs w:val="20"/>
                <w:lang w:eastAsia="sk-SK"/>
              </w:rPr>
            </w:pPr>
            <w:r w:rsidRPr="00994550">
              <w:rPr>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E26C1C" w:rsidRPr="00994550" w:rsidRDefault="00E26C1C" w:rsidP="00D27093">
            <w:pPr>
              <w:jc w:val="center"/>
              <w:rPr>
                <w:b/>
                <w:sz w:val="20"/>
                <w:szCs w:val="20"/>
                <w:lang w:eastAsia="sk-SK"/>
              </w:rPr>
            </w:pPr>
          </w:p>
        </w:tc>
        <w:tc>
          <w:tcPr>
            <w:tcW w:w="1133" w:type="dxa"/>
            <w:tcBorders>
              <w:top w:val="single" w:sz="4" w:space="0" w:color="auto"/>
              <w:left w:val="nil"/>
              <w:bottom w:val="single" w:sz="4" w:space="0" w:color="auto"/>
              <w:right w:val="nil"/>
            </w:tcBorders>
            <w:vAlign w:val="center"/>
          </w:tcPr>
          <w:p w:rsidR="00E26C1C" w:rsidRPr="00994550" w:rsidRDefault="00E26C1C" w:rsidP="00D27093">
            <w:pPr>
              <w:jc w:val="center"/>
              <w:rPr>
                <w:b/>
                <w:sz w:val="20"/>
                <w:szCs w:val="20"/>
                <w:lang w:eastAsia="sk-SK"/>
              </w:rPr>
            </w:pPr>
          </w:p>
        </w:tc>
        <w:sdt>
          <w:sdtPr>
            <w:rPr>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E26C1C" w:rsidRPr="00994550" w:rsidRDefault="00E26C1C" w:rsidP="00D27093">
            <w:pPr>
              <w:ind w:left="54"/>
              <w:rPr>
                <w:b/>
                <w:sz w:val="20"/>
                <w:szCs w:val="20"/>
                <w:lang w:eastAsia="sk-SK"/>
              </w:rPr>
            </w:pPr>
            <w:r w:rsidRPr="00994550">
              <w:rPr>
                <w:sz w:val="20"/>
                <w:szCs w:val="20"/>
                <w:lang w:eastAsia="sk-SK"/>
              </w:rPr>
              <w:t>Nie</w:t>
            </w:r>
          </w:p>
        </w:tc>
      </w:tr>
      <w:tr w:rsidR="00E26C1C" w:rsidRPr="00994550" w:rsidTr="00D27093">
        <w:tc>
          <w:tcPr>
            <w:tcW w:w="3812" w:type="dxa"/>
            <w:tcBorders>
              <w:top w:val="single" w:sz="4" w:space="0" w:color="auto"/>
              <w:left w:val="single" w:sz="4" w:space="0" w:color="auto"/>
              <w:bottom w:val="single" w:sz="4" w:space="0" w:color="auto"/>
              <w:right w:val="single" w:sz="4" w:space="0" w:color="auto"/>
            </w:tcBorders>
            <w:shd w:val="clear" w:color="auto" w:fill="E2E2E2"/>
          </w:tcPr>
          <w:p w:rsidR="00E26C1C" w:rsidRPr="00994550" w:rsidRDefault="00E26C1C" w:rsidP="00D27093">
            <w:pPr>
              <w:rPr>
                <w:b/>
                <w:sz w:val="20"/>
                <w:szCs w:val="20"/>
                <w:lang w:eastAsia="sk-SK"/>
              </w:rPr>
            </w:pPr>
            <w:r w:rsidRPr="00994550">
              <w:rPr>
                <w:b/>
                <w:sz w:val="20"/>
                <w:szCs w:val="20"/>
                <w:lang w:eastAsia="sk-SK"/>
              </w:rPr>
              <w:t>Vplyvy na informatizáciu spoločnosti</w:t>
            </w:r>
          </w:p>
        </w:tc>
        <w:sdt>
          <w:sdtPr>
            <w:rPr>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E26C1C" w:rsidRPr="00994550" w:rsidRDefault="00E26C1C" w:rsidP="00D27093">
            <w:pPr>
              <w:ind w:right="-108"/>
              <w:rPr>
                <w:b/>
                <w:sz w:val="20"/>
                <w:szCs w:val="20"/>
                <w:lang w:eastAsia="sk-SK"/>
              </w:rPr>
            </w:pPr>
            <w:r w:rsidRPr="00994550">
              <w:rPr>
                <w:b/>
                <w:sz w:val="20"/>
                <w:szCs w:val="20"/>
                <w:lang w:eastAsia="sk-SK"/>
              </w:rPr>
              <w:t>Pozitívne</w:t>
            </w:r>
          </w:p>
        </w:tc>
        <w:sdt>
          <w:sdtPr>
            <w:rPr>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26C1C" w:rsidRPr="00994550" w:rsidRDefault="00E26C1C" w:rsidP="00D27093">
            <w:pPr>
              <w:rPr>
                <w:b/>
                <w:sz w:val="20"/>
                <w:szCs w:val="20"/>
                <w:lang w:eastAsia="sk-SK"/>
              </w:rPr>
            </w:pPr>
            <w:r w:rsidRPr="00994550">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26C1C" w:rsidRPr="00994550" w:rsidRDefault="00E26C1C" w:rsidP="00D27093">
            <w:pPr>
              <w:ind w:left="54"/>
              <w:rPr>
                <w:b/>
                <w:sz w:val="20"/>
                <w:szCs w:val="20"/>
                <w:lang w:eastAsia="sk-SK"/>
              </w:rPr>
            </w:pPr>
            <w:r w:rsidRPr="00994550">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26C1C" w:rsidRPr="00994550" w:rsidTr="00D27093">
        <w:tc>
          <w:tcPr>
            <w:tcW w:w="3812" w:type="dxa"/>
            <w:tcBorders>
              <w:top w:val="single" w:sz="4" w:space="0" w:color="auto"/>
              <w:left w:val="single" w:sz="4" w:space="0" w:color="auto"/>
              <w:bottom w:val="nil"/>
              <w:right w:val="single" w:sz="4" w:space="0" w:color="auto"/>
            </w:tcBorders>
            <w:shd w:val="clear" w:color="auto" w:fill="E2E2E2"/>
          </w:tcPr>
          <w:p w:rsidR="00E26C1C" w:rsidRPr="00994550" w:rsidRDefault="00E26C1C" w:rsidP="00D27093">
            <w:pPr>
              <w:rPr>
                <w:b/>
                <w:sz w:val="20"/>
                <w:szCs w:val="20"/>
                <w:lang w:eastAsia="sk-SK"/>
              </w:rPr>
            </w:pPr>
            <w:r w:rsidRPr="00994550">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E26C1C" w:rsidRPr="00994550" w:rsidRDefault="00E26C1C" w:rsidP="00D27093">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rsidR="00E26C1C" w:rsidRPr="00994550" w:rsidRDefault="00E26C1C" w:rsidP="00D27093">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rsidR="00E26C1C" w:rsidRPr="00994550" w:rsidRDefault="00E26C1C" w:rsidP="00D27093">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rsidR="00E26C1C" w:rsidRPr="00994550" w:rsidRDefault="00E26C1C" w:rsidP="00D27093">
            <w:pPr>
              <w:rPr>
                <w:b/>
                <w:sz w:val="20"/>
                <w:szCs w:val="20"/>
                <w:lang w:eastAsia="sk-SK"/>
              </w:rPr>
            </w:pPr>
          </w:p>
        </w:tc>
        <w:tc>
          <w:tcPr>
            <w:tcW w:w="547" w:type="dxa"/>
            <w:tcBorders>
              <w:top w:val="single" w:sz="4" w:space="0" w:color="auto"/>
              <w:left w:val="nil"/>
              <w:bottom w:val="nil"/>
              <w:right w:val="nil"/>
            </w:tcBorders>
            <w:shd w:val="clear" w:color="auto" w:fill="auto"/>
          </w:tcPr>
          <w:p w:rsidR="00E26C1C" w:rsidRPr="00994550" w:rsidRDefault="00E26C1C" w:rsidP="00D27093">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E26C1C" w:rsidRPr="00994550" w:rsidRDefault="00E26C1C" w:rsidP="00D27093">
            <w:pPr>
              <w:ind w:left="54"/>
              <w:rPr>
                <w:b/>
                <w:sz w:val="20"/>
                <w:szCs w:val="20"/>
                <w:lang w:eastAsia="sk-SK"/>
              </w:rPr>
            </w:pPr>
          </w:p>
        </w:tc>
      </w:tr>
      <w:tr w:rsidR="00E26C1C" w:rsidRPr="00994550" w:rsidTr="00D27093">
        <w:tc>
          <w:tcPr>
            <w:tcW w:w="3812" w:type="dxa"/>
            <w:tcBorders>
              <w:top w:val="nil"/>
              <w:left w:val="single" w:sz="4" w:space="0" w:color="auto"/>
              <w:bottom w:val="nil"/>
              <w:right w:val="single" w:sz="4" w:space="0" w:color="auto"/>
            </w:tcBorders>
            <w:shd w:val="clear" w:color="auto" w:fill="E2E2E2"/>
          </w:tcPr>
          <w:p w:rsidR="00E26C1C" w:rsidRPr="00994550" w:rsidRDefault="00E26C1C" w:rsidP="00D27093">
            <w:pPr>
              <w:ind w:left="196" w:hanging="196"/>
              <w:rPr>
                <w:rFonts w:eastAsia="Calibri"/>
                <w:b/>
                <w:sz w:val="20"/>
                <w:szCs w:val="20"/>
              </w:rPr>
            </w:pPr>
            <w:r w:rsidRPr="00994550">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E26C1C" w:rsidRPr="00994550" w:rsidRDefault="00E26C1C" w:rsidP="00D27093">
            <w:pPr>
              <w:ind w:right="-108"/>
              <w:rPr>
                <w:b/>
                <w:sz w:val="20"/>
                <w:szCs w:val="20"/>
                <w:lang w:eastAsia="sk-SK"/>
              </w:rPr>
            </w:pPr>
            <w:r w:rsidRPr="00994550">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E26C1C" w:rsidRPr="00994550" w:rsidRDefault="00E26C1C" w:rsidP="00D27093">
            <w:pPr>
              <w:rPr>
                <w:b/>
                <w:sz w:val="20"/>
                <w:szCs w:val="20"/>
                <w:lang w:eastAsia="sk-SK"/>
              </w:rPr>
            </w:pPr>
            <w:r w:rsidRPr="00994550">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E26C1C" w:rsidRPr="00994550" w:rsidRDefault="00E26C1C" w:rsidP="00D27093">
            <w:pPr>
              <w:ind w:left="54"/>
              <w:rPr>
                <w:b/>
                <w:sz w:val="20"/>
                <w:szCs w:val="20"/>
                <w:lang w:eastAsia="sk-SK"/>
              </w:rPr>
            </w:pPr>
            <w:r w:rsidRPr="00994550">
              <w:rPr>
                <w:b/>
                <w:sz w:val="20"/>
                <w:szCs w:val="20"/>
                <w:lang w:eastAsia="sk-SK"/>
              </w:rPr>
              <w:t>Negatívne</w:t>
            </w:r>
          </w:p>
        </w:tc>
      </w:tr>
      <w:tr w:rsidR="00E26C1C" w:rsidRPr="00994550" w:rsidTr="00D27093">
        <w:tc>
          <w:tcPr>
            <w:tcW w:w="3812" w:type="dxa"/>
            <w:tcBorders>
              <w:top w:val="nil"/>
              <w:left w:val="single" w:sz="4" w:space="0" w:color="auto"/>
              <w:bottom w:val="nil"/>
              <w:right w:val="single" w:sz="4" w:space="0" w:color="auto"/>
            </w:tcBorders>
            <w:shd w:val="clear" w:color="auto" w:fill="E2E2E2"/>
          </w:tcPr>
          <w:p w:rsidR="00E26C1C" w:rsidRPr="00994550" w:rsidRDefault="00E26C1C" w:rsidP="00D27093">
            <w:pPr>
              <w:ind w:left="168" w:hanging="168"/>
              <w:rPr>
                <w:rFonts w:eastAsia="Calibri"/>
                <w:b/>
                <w:sz w:val="20"/>
                <w:szCs w:val="20"/>
              </w:rPr>
            </w:pPr>
            <w:r w:rsidRPr="00994550">
              <w:rPr>
                <w:rFonts w:eastAsia="Calibri"/>
                <w:b/>
                <w:sz w:val="20"/>
                <w:szCs w:val="20"/>
              </w:rPr>
              <w:lastRenderedPageBreak/>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E26C1C" w:rsidRPr="00994550" w:rsidRDefault="00E26C1C" w:rsidP="00D27093">
            <w:pPr>
              <w:ind w:right="-108"/>
              <w:rPr>
                <w:b/>
                <w:sz w:val="20"/>
                <w:szCs w:val="20"/>
                <w:lang w:eastAsia="sk-SK"/>
              </w:rPr>
            </w:pPr>
            <w:r w:rsidRPr="00994550">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E26C1C" w:rsidRPr="00994550" w:rsidRDefault="00E26C1C" w:rsidP="00D27093">
            <w:pPr>
              <w:rPr>
                <w:b/>
                <w:sz w:val="20"/>
                <w:szCs w:val="20"/>
                <w:lang w:eastAsia="sk-SK"/>
              </w:rPr>
            </w:pPr>
            <w:r w:rsidRPr="00994550">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E26C1C" w:rsidRPr="00994550" w:rsidRDefault="00E26C1C" w:rsidP="00D27093">
            <w:pPr>
              <w:ind w:left="54"/>
              <w:rPr>
                <w:b/>
                <w:sz w:val="20"/>
                <w:szCs w:val="20"/>
                <w:lang w:eastAsia="sk-SK"/>
              </w:rPr>
            </w:pPr>
            <w:r w:rsidRPr="00994550">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26C1C" w:rsidRPr="00994550" w:rsidTr="00D27093">
        <w:tc>
          <w:tcPr>
            <w:tcW w:w="3812" w:type="dxa"/>
            <w:tcBorders>
              <w:top w:val="single" w:sz="4" w:space="0" w:color="000000"/>
              <w:left w:val="single" w:sz="4" w:space="0" w:color="auto"/>
              <w:bottom w:val="single" w:sz="4" w:space="0" w:color="auto"/>
              <w:right w:val="single" w:sz="4" w:space="0" w:color="auto"/>
            </w:tcBorders>
            <w:shd w:val="clear" w:color="auto" w:fill="E2E2E2"/>
          </w:tcPr>
          <w:p w:rsidR="00E26C1C" w:rsidRPr="00994550" w:rsidRDefault="00E26C1C" w:rsidP="00D27093">
            <w:pPr>
              <w:rPr>
                <w:b/>
                <w:sz w:val="20"/>
                <w:szCs w:val="20"/>
                <w:lang w:eastAsia="sk-SK"/>
              </w:rPr>
            </w:pPr>
            <w:r w:rsidRPr="00994550">
              <w:rPr>
                <w:b/>
                <w:sz w:val="20"/>
                <w:szCs w:val="20"/>
              </w:rPr>
              <w:t>Vplyvy na manželstvo, rodičovstvo a rodinu</w:t>
            </w:r>
          </w:p>
        </w:tc>
        <w:sdt>
          <w:sdtPr>
            <w:rPr>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E26C1C" w:rsidRPr="00994550" w:rsidRDefault="00E26C1C" w:rsidP="00D27093">
            <w:pPr>
              <w:ind w:right="-108"/>
              <w:rPr>
                <w:b/>
                <w:sz w:val="20"/>
                <w:szCs w:val="20"/>
                <w:lang w:eastAsia="sk-SK"/>
              </w:rPr>
            </w:pPr>
            <w:r w:rsidRPr="00994550">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E26C1C" w:rsidRPr="00994550" w:rsidRDefault="00E26C1C" w:rsidP="00D27093">
            <w:pPr>
              <w:rPr>
                <w:b/>
                <w:sz w:val="20"/>
                <w:szCs w:val="20"/>
                <w:lang w:eastAsia="sk-SK"/>
              </w:rPr>
            </w:pPr>
            <w:r w:rsidRPr="00994550">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E26C1C" w:rsidRPr="00994550" w:rsidRDefault="00E26C1C" w:rsidP="00D27093">
                <w:pPr>
                  <w:jc w:val="center"/>
                  <w:rPr>
                    <w:b/>
                    <w:sz w:val="20"/>
                    <w:szCs w:val="20"/>
                    <w:lang w:eastAsia="sk-SK"/>
                  </w:rPr>
                </w:pPr>
                <w:r w:rsidRPr="00994550">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E26C1C" w:rsidRPr="00994550" w:rsidRDefault="00E26C1C" w:rsidP="00D27093">
            <w:pPr>
              <w:ind w:left="54"/>
              <w:rPr>
                <w:b/>
                <w:sz w:val="20"/>
                <w:szCs w:val="20"/>
                <w:lang w:eastAsia="sk-SK"/>
              </w:rPr>
            </w:pPr>
            <w:r w:rsidRPr="00994550">
              <w:rPr>
                <w:b/>
                <w:sz w:val="20"/>
                <w:szCs w:val="20"/>
                <w:lang w:eastAsia="sk-SK"/>
              </w:rPr>
              <w:t>Negatívne</w:t>
            </w:r>
          </w:p>
        </w:tc>
      </w:tr>
    </w:tbl>
    <w:p w:rsidR="00E26C1C" w:rsidRPr="00994550" w:rsidRDefault="00E26C1C" w:rsidP="00E26C1C">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E26C1C" w:rsidRPr="00994550" w:rsidTr="00D27093">
        <w:tc>
          <w:tcPr>
            <w:tcW w:w="9176" w:type="dxa"/>
            <w:tcBorders>
              <w:top w:val="single" w:sz="4" w:space="0" w:color="auto"/>
              <w:left w:val="single" w:sz="4" w:space="0" w:color="auto"/>
              <w:bottom w:val="nil"/>
              <w:right w:val="single" w:sz="4" w:space="0" w:color="auto"/>
            </w:tcBorders>
            <w:shd w:val="clear" w:color="auto" w:fill="E2E2E2"/>
          </w:tcPr>
          <w:p w:rsidR="00E26C1C" w:rsidRPr="00994550" w:rsidRDefault="00E26C1C" w:rsidP="00D27093">
            <w:pPr>
              <w:numPr>
                <w:ilvl w:val="0"/>
                <w:numId w:val="1"/>
              </w:numPr>
              <w:ind w:left="426"/>
              <w:contextualSpacing/>
              <w:rPr>
                <w:rFonts w:eastAsia="Calibri"/>
                <w:b/>
              </w:rPr>
            </w:pPr>
            <w:r w:rsidRPr="00994550">
              <w:rPr>
                <w:rFonts w:eastAsia="Calibri"/>
                <w:b/>
              </w:rPr>
              <w:t>Poznámky</w:t>
            </w:r>
          </w:p>
        </w:tc>
      </w:tr>
      <w:tr w:rsidR="00E26C1C" w:rsidRPr="00994550" w:rsidTr="00D27093">
        <w:trPr>
          <w:trHeight w:val="713"/>
        </w:trPr>
        <w:tc>
          <w:tcPr>
            <w:tcW w:w="9176" w:type="dxa"/>
            <w:tcBorders>
              <w:top w:val="nil"/>
              <w:left w:val="single" w:sz="4" w:space="0" w:color="auto"/>
              <w:bottom w:val="single" w:sz="4" w:space="0" w:color="FFFFFF"/>
              <w:right w:val="single" w:sz="4" w:space="0" w:color="auto"/>
            </w:tcBorders>
            <w:shd w:val="clear" w:color="auto" w:fill="auto"/>
          </w:tcPr>
          <w:p w:rsidR="00E26C1C" w:rsidRPr="00994550" w:rsidRDefault="00E26C1C" w:rsidP="00D27093">
            <w:pPr>
              <w:jc w:val="both"/>
              <w:rPr>
                <w:i/>
                <w:sz w:val="20"/>
                <w:szCs w:val="20"/>
                <w:lang w:eastAsia="sk-SK"/>
              </w:rPr>
            </w:pPr>
            <w:r w:rsidRPr="00994550">
              <w:rPr>
                <w:i/>
                <w:sz w:val="20"/>
                <w:szCs w:val="20"/>
                <w:lang w:eastAsia="sk-SK"/>
              </w:rPr>
              <w:t xml:space="preserve">V prípade potreby uveďte doplňujúce informácie k identifikovaným vplyvom a ich analýzam. </w:t>
            </w:r>
          </w:p>
          <w:p w:rsidR="00E26C1C" w:rsidRPr="00994550" w:rsidRDefault="00E26C1C" w:rsidP="00D27093">
            <w:pPr>
              <w:jc w:val="both"/>
              <w:rPr>
                <w:i/>
                <w:sz w:val="20"/>
                <w:szCs w:val="20"/>
                <w:lang w:eastAsia="sk-SK"/>
              </w:rPr>
            </w:pPr>
          </w:p>
          <w:p w:rsidR="00E26C1C" w:rsidRPr="00994550" w:rsidRDefault="00E26C1C" w:rsidP="00D27093">
            <w:pPr>
              <w:jc w:val="both"/>
              <w:rPr>
                <w:i/>
                <w:sz w:val="20"/>
                <w:szCs w:val="20"/>
                <w:lang w:eastAsia="sk-SK"/>
              </w:rPr>
            </w:pPr>
            <w:r w:rsidRPr="00994550">
              <w:rPr>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E26C1C" w:rsidRPr="00994550" w:rsidRDefault="00E26C1C" w:rsidP="00D27093">
            <w:pPr>
              <w:jc w:val="both"/>
              <w:rPr>
                <w:i/>
                <w:sz w:val="20"/>
                <w:szCs w:val="20"/>
                <w:lang w:eastAsia="sk-SK"/>
              </w:rPr>
            </w:pPr>
          </w:p>
          <w:p w:rsidR="00E26C1C" w:rsidRPr="00994550" w:rsidRDefault="00E26C1C" w:rsidP="00D27093">
            <w:pPr>
              <w:jc w:val="both"/>
              <w:rPr>
                <w:i/>
                <w:sz w:val="20"/>
                <w:szCs w:val="20"/>
                <w:lang w:eastAsia="sk-SK"/>
              </w:rPr>
            </w:pPr>
            <w:r w:rsidRPr="00994550">
              <w:rPr>
                <w:i/>
                <w:sz w:val="20"/>
                <w:szCs w:val="20"/>
                <w:lang w:eastAsia="sk-SK"/>
              </w:rPr>
              <w:t>Informácie v tejto časti slúžia na zhrnutie vplyvov alebo aj na vyjadrenie sa k marginálnym vplyvom a nie ako náhrada za vypracovanie príslušných analýz vybraných vplyvov.</w:t>
            </w:r>
          </w:p>
          <w:p w:rsidR="00E26C1C" w:rsidRPr="00994550" w:rsidRDefault="00E26C1C" w:rsidP="00D27093">
            <w:pPr>
              <w:jc w:val="both"/>
              <w:rPr>
                <w:i/>
                <w:sz w:val="20"/>
                <w:szCs w:val="20"/>
                <w:lang w:eastAsia="sk-SK"/>
              </w:rPr>
            </w:pPr>
          </w:p>
          <w:p w:rsidR="00E26C1C" w:rsidRPr="00994550" w:rsidRDefault="00E26C1C" w:rsidP="00D27093">
            <w:pPr>
              <w:jc w:val="both"/>
              <w:rPr>
                <w:i/>
                <w:sz w:val="20"/>
                <w:szCs w:val="20"/>
                <w:lang w:eastAsia="sk-SK"/>
              </w:rPr>
            </w:pPr>
            <w:r w:rsidRPr="00994550">
              <w:rPr>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E26C1C" w:rsidRPr="00994550" w:rsidRDefault="00E26C1C" w:rsidP="00D27093">
            <w:pPr>
              <w:jc w:val="both"/>
              <w:rPr>
                <w:i/>
                <w:sz w:val="20"/>
                <w:szCs w:val="20"/>
                <w:lang w:eastAsia="sk-SK"/>
              </w:rPr>
            </w:pPr>
          </w:p>
          <w:p w:rsidR="00E26C1C" w:rsidRPr="00994550" w:rsidRDefault="00E26C1C" w:rsidP="00D27093">
            <w:pPr>
              <w:spacing w:after="120"/>
              <w:jc w:val="both"/>
            </w:pPr>
            <w:r w:rsidRPr="00994550">
              <w:t>Nariadenie MiCA zavádza dve nové kategórie licencovaných subjektov (emitent tokenov naviazaných na aktíva a poskytovateľ služieb kryptoaktív). Subjekty, ktoré emitujú tokeny naviazané na aktíva alebo poskytujú služby kryptoaktív, budú musieť vynaložiť náklady súvisiace s licenčným konaním. Nariadenie MiCA naviac zavádza novú kategóriu emitentov tokenov elektronických peňazí. Jedná sa o už licencované subjekty (banky a inštitúcie elektronických peňazí), ktoré budú po novom musieť plniť dodatočné podmienky dané nariadením, ak emitujú tokeny elektronických peňazí. Niektoré ďalšie podmienky budú musieť splniť aj osoby ponúkajúce kryptoaktíva podľa hlavy II nariadenia MiCA alebo osoby usilujúce sa o prijatie týchto kryptoaktív na obchodovanie. Vyššie uvedené náklady však pramenia z priamo uplatniteľného nariadenia MiCA, nie sú v tomto návrhu zákona upravené, to znamená, že nie sú vyvolané týmto návrhom zákona. Obdobne je to aj so sankciami a inými správnymi opatreniami, ktoré keďže vyplývajú priamo z nariadenia MiCA, nie sú obsahom tohto návrhu zákona, a preto nie je možné ich zahrnúť do doložky vybraných vplyvov.</w:t>
            </w:r>
          </w:p>
          <w:p w:rsidR="00E26C1C" w:rsidRPr="00994550" w:rsidRDefault="00E26C1C" w:rsidP="00D27093">
            <w:pPr>
              <w:jc w:val="both"/>
            </w:pPr>
            <w:r w:rsidRPr="00994550">
              <w:t xml:space="preserve">Návrh zákona v čl. I (§ 4 ods. 2 a § 5), ktorý je implementáciou nariadenia MiCA predpokladá, že Národná banka Slovenska </w:t>
            </w:r>
          </w:p>
          <w:p w:rsidR="00E26C1C" w:rsidRPr="00994550" w:rsidRDefault="00E26C1C" w:rsidP="00E26C1C">
            <w:pPr>
              <w:pStyle w:val="Odsekzoznamu"/>
              <w:numPr>
                <w:ilvl w:val="0"/>
                <w:numId w:val="4"/>
              </w:numPr>
              <w:ind w:left="449"/>
              <w:jc w:val="both"/>
            </w:pPr>
            <w:r w:rsidRPr="00994550">
              <w:t xml:space="preserve">vydá </w:t>
            </w:r>
            <w:r w:rsidRPr="00994550">
              <w:rPr>
                <w:lang w:eastAsia="sk-SK"/>
              </w:rPr>
              <w:t xml:space="preserve">opatrenie, ktorým sa ustanovia kritériá na posúdenie </w:t>
            </w:r>
            <w:r w:rsidRPr="00994550">
              <w:t xml:space="preserve">vedomostí a schopností fyzických osôb poskytujúcich poradenstvo alebo informácie o kryptoaktívach alebo služby kryptoaktív v mene poskytovateľa služieb kryptoaktív, ako aj spôsob preukazovania splnenia ustanovených kritérií, </w:t>
            </w:r>
          </w:p>
          <w:p w:rsidR="00E26C1C" w:rsidRPr="00994550" w:rsidRDefault="00E26C1C" w:rsidP="00E26C1C">
            <w:pPr>
              <w:pStyle w:val="Odsekzoznamu"/>
              <w:numPr>
                <w:ilvl w:val="0"/>
                <w:numId w:val="4"/>
              </w:numPr>
              <w:spacing w:after="120"/>
              <w:ind w:left="449"/>
              <w:jc w:val="both"/>
            </w:pPr>
            <w:r w:rsidRPr="00994550">
              <w:t xml:space="preserve">vydá opatrenie, ktoré upresní vykazovacie povinnosti v súvislosti s nariadením MiCA. </w:t>
            </w:r>
          </w:p>
          <w:p w:rsidR="00E26C1C" w:rsidRPr="00994550" w:rsidRDefault="00E26C1C" w:rsidP="00D27093">
            <w:pPr>
              <w:spacing w:after="120"/>
              <w:jc w:val="both"/>
            </w:pPr>
            <w:r w:rsidRPr="00994550">
              <w:rPr>
                <w:lang w:eastAsia="sk-SK"/>
              </w:rPr>
              <w:t>Keďže presné znenie týchto opatrení v súčasnosti nie je známe</w:t>
            </w:r>
            <w:r w:rsidRPr="00994550">
              <w:t>, všetky prípadné vplyvy týchto budúcich opatrení nie sú predmetom tohto návrhu zákona a budú analyzované až v rámci legislatívnych konaní k týmto opatreniam.</w:t>
            </w:r>
          </w:p>
          <w:p w:rsidR="00E26C1C" w:rsidRPr="00994550" w:rsidRDefault="00E26C1C" w:rsidP="00D27093">
            <w:pPr>
              <w:spacing w:after="120"/>
              <w:jc w:val="both"/>
            </w:pPr>
            <w:r w:rsidRPr="00994550">
              <w:t xml:space="preserve">Súčasťou návrhu je v čl. V aj splnomocňovacie ustanovenie na vydanie Opatrenia Národnej banky Slovenska týkajúceho sa </w:t>
            </w:r>
            <w:r w:rsidRPr="00994550">
              <w:rPr>
                <w:lang w:eastAsia="sk-SK"/>
              </w:rPr>
              <w:t xml:space="preserve">zberu údajov o úveroch od bánk a pobočiek zahraničných bánk na pravidelnej báze, pričom táto problematika </w:t>
            </w:r>
            <w:r w:rsidRPr="00994550">
              <w:rPr>
                <w:iCs/>
              </w:rPr>
              <w:t xml:space="preserve">bola diskutovaná s bankovým sektorom. </w:t>
            </w:r>
            <w:r w:rsidRPr="00994550">
              <w:rPr>
                <w:lang w:eastAsia="sk-SK"/>
              </w:rPr>
              <w:t>Pretože r</w:t>
            </w:r>
            <w:r w:rsidRPr="00994550">
              <w:t>ozsah, forma, spôsob a termíny predkladania údajov o úveroch a metodika na ich vypracúvanie bude bližšie špecifikovaná v opatrení, ktoré vydá Národná banka Slovenska, všetky vplyvy tohto opatrenia budú analyzované v rámci legislatívneho konania k tomuto opatreniu.</w:t>
            </w:r>
            <w:r>
              <w:t xml:space="preserve"> </w:t>
            </w:r>
            <w:r>
              <w:rPr>
                <w:lang w:eastAsia="sk-SK"/>
              </w:rPr>
              <w:t>Na základe zásadnej pripomienky Úradu na ochranu osobných údajov Slovenskej republiky bolo toto splnomocňovacie ustanovenie z návrhu zákona vypustené.</w:t>
            </w:r>
          </w:p>
          <w:p w:rsidR="00E26C1C" w:rsidRPr="00994550" w:rsidRDefault="00E26C1C" w:rsidP="00D27093">
            <w:pPr>
              <w:spacing w:after="120"/>
              <w:jc w:val="both"/>
              <w:rPr>
                <w:lang w:eastAsia="sk-SK"/>
              </w:rPr>
            </w:pPr>
            <w:r w:rsidRPr="00994550">
              <w:t xml:space="preserve">Vzhľadom na to, že nariadenie MiCA obsahuje definíciu kryptoaktíva, je nutné zohľadniť túto novú definíciu kryptoaktíva, ako aj nahradiť pojem „virtuálna mena“ pojmom „kryptoaktívum“. Z tohto dôvodu je nutné upraviť už existujúce informačné systémy </w:t>
            </w:r>
            <w:r w:rsidRPr="00994550">
              <w:lastRenderedPageBreak/>
              <w:t>Finančného riaditeľstva SR. Je však nutné zdôrazniť, že podstata zdaňovania kryptoaktív zostáva rovnaká ako pri zdaňovaní virtuálnej meny, z tohto dôvodu ďalšie daňové vplyvy na podnikateľov a občanov neočakávame.</w:t>
            </w:r>
          </w:p>
          <w:p w:rsidR="00E26C1C" w:rsidRPr="00994550" w:rsidRDefault="00E26C1C" w:rsidP="00D27093">
            <w:pPr>
              <w:spacing w:after="120"/>
              <w:jc w:val="both"/>
            </w:pPr>
            <w:r w:rsidRPr="00994550">
              <w:t xml:space="preserve">Vzhľadom na vyššie uvedené návrh zákona predpokladá negatívne </w:t>
            </w:r>
            <w:r w:rsidRPr="00994550">
              <w:rPr>
                <w:lang w:eastAsia="sk-SK"/>
              </w:rPr>
              <w:t xml:space="preserve">vplyvy na rozpočet verejnej správy, </w:t>
            </w:r>
            <w:r w:rsidRPr="00994550">
              <w:t xml:space="preserve">predpokladá pozitívne aj negatívne </w:t>
            </w:r>
            <w:r w:rsidRPr="00994550">
              <w:rPr>
                <w:lang w:eastAsia="sk-SK"/>
              </w:rPr>
              <w:t xml:space="preserve">vplyvy podnikateľské prostredie, pozitívne vplyvy na informatizáciu spoločnosti, návrh zákona nemá sociálne vplyvy, vplyvy na životné prostredie, vplyvy na služby verejnej správy pre občana, ani vplyvy na manželstvo, rodičovstvo a rodinu. </w:t>
            </w:r>
            <w:r w:rsidRPr="00994550">
              <w:t xml:space="preserve"> </w:t>
            </w:r>
          </w:p>
          <w:p w:rsidR="00E26C1C" w:rsidRPr="00994550" w:rsidRDefault="00E26C1C" w:rsidP="00D27093">
            <w:pPr>
              <w:jc w:val="both"/>
              <w:rPr>
                <w:rFonts w:eastAsia="Calibri"/>
                <w:b/>
              </w:rPr>
            </w:pPr>
          </w:p>
        </w:tc>
      </w:tr>
      <w:tr w:rsidR="00E26C1C" w:rsidRPr="00994550" w:rsidTr="00D27093">
        <w:tc>
          <w:tcPr>
            <w:tcW w:w="9176" w:type="dxa"/>
            <w:tcBorders>
              <w:top w:val="single" w:sz="4" w:space="0" w:color="auto"/>
              <w:left w:val="single" w:sz="4" w:space="0" w:color="auto"/>
              <w:bottom w:val="single" w:sz="4" w:space="0" w:color="FFFFFF"/>
              <w:right w:val="single" w:sz="4" w:space="0" w:color="auto"/>
            </w:tcBorders>
            <w:shd w:val="clear" w:color="auto" w:fill="E2E2E2"/>
          </w:tcPr>
          <w:p w:rsidR="00E26C1C" w:rsidRPr="00994550" w:rsidRDefault="00E26C1C" w:rsidP="00D27093">
            <w:pPr>
              <w:numPr>
                <w:ilvl w:val="0"/>
                <w:numId w:val="1"/>
              </w:numPr>
              <w:ind w:left="426"/>
              <w:contextualSpacing/>
              <w:rPr>
                <w:rFonts w:eastAsia="Calibri"/>
                <w:b/>
              </w:rPr>
            </w:pPr>
            <w:r w:rsidRPr="00994550">
              <w:rPr>
                <w:rFonts w:eastAsia="Calibri"/>
                <w:b/>
              </w:rPr>
              <w:lastRenderedPageBreak/>
              <w:t>Kontakt na spracovateľa</w:t>
            </w:r>
          </w:p>
        </w:tc>
      </w:tr>
      <w:tr w:rsidR="00E26C1C" w:rsidRPr="00994550" w:rsidTr="00D27093">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26C1C" w:rsidRPr="00994550" w:rsidRDefault="00E26C1C" w:rsidP="00D27093">
            <w:pPr>
              <w:rPr>
                <w:i/>
                <w:sz w:val="20"/>
                <w:szCs w:val="20"/>
                <w:lang w:eastAsia="sk-SK"/>
              </w:rPr>
            </w:pPr>
            <w:r w:rsidRPr="00994550">
              <w:rPr>
                <w:i/>
                <w:sz w:val="20"/>
                <w:szCs w:val="20"/>
                <w:lang w:eastAsia="sk-SK"/>
              </w:rPr>
              <w:t>Uveďte údaje na kontaktnú osobu, ktorú je možné kontaktovať v súvislosti s posúdením vybraných vplyvov.</w:t>
            </w:r>
          </w:p>
          <w:p w:rsidR="00E26C1C" w:rsidRPr="00994550" w:rsidRDefault="00E26C1C" w:rsidP="00D27093">
            <w:pPr>
              <w:rPr>
                <w:i/>
                <w:sz w:val="20"/>
                <w:szCs w:val="20"/>
                <w:lang w:eastAsia="sk-SK"/>
              </w:rPr>
            </w:pPr>
          </w:p>
          <w:p w:rsidR="00E26C1C" w:rsidRPr="00994550" w:rsidRDefault="00E26C1C" w:rsidP="00D27093">
            <w:r w:rsidRPr="00994550">
              <w:t>Ing. Anna Bartíková</w:t>
            </w:r>
          </w:p>
          <w:p w:rsidR="00E26C1C" w:rsidRPr="00994550" w:rsidRDefault="00E26C1C" w:rsidP="00D27093">
            <w:r w:rsidRPr="00994550">
              <w:t xml:space="preserve">02/5958 2528, </w:t>
            </w:r>
            <w:hyperlink r:id="rId8" w:history="1">
              <w:r w:rsidRPr="00994550">
                <w:rPr>
                  <w:rStyle w:val="Hypertextovprepojenie"/>
                </w:rPr>
                <w:t>anna.bartikova@mfsr.sk</w:t>
              </w:r>
            </w:hyperlink>
          </w:p>
          <w:p w:rsidR="00E26C1C" w:rsidRPr="00994550" w:rsidRDefault="00E26C1C" w:rsidP="00D27093">
            <w:r w:rsidRPr="00994550">
              <w:t>Ministerstvo financií Slovenskej republiky</w:t>
            </w:r>
          </w:p>
          <w:p w:rsidR="00E26C1C" w:rsidRPr="00994550" w:rsidRDefault="00E26C1C" w:rsidP="00D27093"/>
          <w:p w:rsidR="00E26C1C" w:rsidRPr="00994550" w:rsidRDefault="00E26C1C" w:rsidP="00D27093">
            <w:pPr>
              <w:rPr>
                <w:i/>
                <w:sz w:val="20"/>
                <w:szCs w:val="20"/>
                <w:lang w:eastAsia="sk-SK"/>
              </w:rPr>
            </w:pPr>
          </w:p>
        </w:tc>
      </w:tr>
      <w:tr w:rsidR="00E26C1C" w:rsidRPr="00994550" w:rsidTr="00D27093">
        <w:tc>
          <w:tcPr>
            <w:tcW w:w="9176" w:type="dxa"/>
            <w:tcBorders>
              <w:top w:val="single" w:sz="4" w:space="0" w:color="auto"/>
              <w:left w:val="single" w:sz="4" w:space="0" w:color="auto"/>
              <w:bottom w:val="single" w:sz="4" w:space="0" w:color="FFFFFF"/>
              <w:right w:val="single" w:sz="4" w:space="0" w:color="auto"/>
            </w:tcBorders>
            <w:shd w:val="clear" w:color="auto" w:fill="E2E2E2"/>
          </w:tcPr>
          <w:p w:rsidR="00E26C1C" w:rsidRPr="00994550" w:rsidRDefault="00E26C1C" w:rsidP="00D27093">
            <w:pPr>
              <w:numPr>
                <w:ilvl w:val="0"/>
                <w:numId w:val="1"/>
              </w:numPr>
              <w:ind w:left="426"/>
              <w:contextualSpacing/>
              <w:rPr>
                <w:rFonts w:eastAsia="Calibri"/>
                <w:b/>
              </w:rPr>
            </w:pPr>
            <w:r w:rsidRPr="00994550">
              <w:rPr>
                <w:rFonts w:eastAsia="Calibri"/>
                <w:b/>
              </w:rPr>
              <w:t>Zdroje</w:t>
            </w:r>
          </w:p>
        </w:tc>
      </w:tr>
      <w:tr w:rsidR="00E26C1C" w:rsidRPr="00994550" w:rsidTr="00D2709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26C1C" w:rsidRPr="00994550" w:rsidRDefault="00E26C1C" w:rsidP="00D27093">
            <w:pPr>
              <w:jc w:val="both"/>
              <w:rPr>
                <w:i/>
                <w:sz w:val="20"/>
                <w:szCs w:val="20"/>
                <w:lang w:eastAsia="sk-SK"/>
              </w:rPr>
            </w:pPr>
            <w:r w:rsidRPr="00994550">
              <w:rPr>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994550">
              <w:rPr>
                <w:rFonts w:eastAsia="Calibri"/>
              </w:rPr>
              <w:t xml:space="preserve"> </w:t>
            </w:r>
          </w:p>
          <w:p w:rsidR="00E26C1C" w:rsidRPr="00994550" w:rsidRDefault="00E26C1C" w:rsidP="00D27093">
            <w:pPr>
              <w:rPr>
                <w:i/>
                <w:lang w:eastAsia="sk-SK"/>
              </w:rPr>
            </w:pPr>
          </w:p>
          <w:p w:rsidR="00E26C1C" w:rsidRPr="00994550" w:rsidRDefault="00E26C1C" w:rsidP="00D27093">
            <w:pPr>
              <w:spacing w:after="120"/>
              <w:jc w:val="both"/>
            </w:pPr>
            <w:r w:rsidRPr="00994550">
              <w:t xml:space="preserve">Nariadenie MiCA je prvým európskym komplexným harmonizovaným rámcom pre trhy s kryptoaktívami, ktorým sa upravuje ponúkanie kryptoaktív verejnosti, stanovujú sa osobitné pravidlá pre kryptoaktíva a súvisiace služby a činnosti. Poskytovatelia služieb súvisiacich s kryptoaktívami budú po novom licencovanými subjektami. </w:t>
            </w:r>
          </w:p>
          <w:p w:rsidR="00E26C1C" w:rsidRPr="00994550" w:rsidRDefault="00E26C1C" w:rsidP="00D27093">
            <w:pPr>
              <w:pStyle w:val="Odsekzoznamu"/>
              <w:spacing w:after="120"/>
              <w:ind w:left="0"/>
              <w:contextualSpacing w:val="0"/>
              <w:jc w:val="both"/>
            </w:pPr>
            <w:r w:rsidRPr="00994550">
              <w:t>Verejná ponuka kryptoaktív a ich prijatie na obchodovanie na obchodnej platforme nie sú v súčasnosti v slovenskom právnom poriadku špeciálne regulované. Takisto je to aj v prípade poskytovania služieb súvisiacich s kryptoaktívami. Z tohto dôvodu nie sú dostupné potrebné údaje, štatistiky pre spracovanie relevantných analýz.</w:t>
            </w:r>
          </w:p>
          <w:p w:rsidR="00E26C1C" w:rsidRPr="00994550" w:rsidRDefault="00E26C1C" w:rsidP="00D27093">
            <w:pPr>
              <w:pStyle w:val="Odsekzoznamu"/>
              <w:spacing w:after="120"/>
              <w:ind w:left="0"/>
              <w:contextualSpacing w:val="0"/>
              <w:jc w:val="both"/>
            </w:pPr>
            <w:r w:rsidRPr="00994550">
              <w:t>Pri určení počtu dotknutých subjektov sme vychádzali z údajov, ktoré nám poskytlo MV SR, o počte podnikateľských subjektov (za obdobie do 24.11.2023), ktoré majú živnostenské oprávnenie (vrátane pozastavených živnostenských oprávnení) na prevádzkovanie živnosti s predmetom podnikania – poskytovanie služieb peňaženky virtuálnej meny (82a) a poskytovanie služieb zmenárne virtuálnej meny (82b).</w:t>
            </w:r>
          </w:p>
          <w:p w:rsidR="00E26C1C" w:rsidRPr="00994550" w:rsidRDefault="00E26C1C" w:rsidP="00D27093">
            <w:pPr>
              <w:pStyle w:val="Odsekzoznamu"/>
              <w:spacing w:after="120"/>
              <w:ind w:left="0"/>
              <w:contextualSpacing w:val="0"/>
              <w:jc w:val="both"/>
            </w:pPr>
            <w:r>
              <w:t>Taktiež boli využité v</w:t>
            </w:r>
            <w:r w:rsidRPr="00994550">
              <w:t xml:space="preserve">erejne dostupné údaje Národnej banky Slovenska o subjektoch finančného trhu (banky, pobočky zahraničných bánk). </w:t>
            </w:r>
          </w:p>
          <w:p w:rsidR="00E26C1C" w:rsidRPr="00994550" w:rsidRDefault="00E26C1C" w:rsidP="00D27093">
            <w:pPr>
              <w:jc w:val="both"/>
              <w:rPr>
                <w:i/>
                <w:lang w:eastAsia="sk-SK"/>
              </w:rPr>
            </w:pPr>
            <w:r w:rsidRPr="00994550">
              <w:t>Čo sa týka vplyvov na štátny rozpočet, k</w:t>
            </w:r>
            <w:r w:rsidRPr="00994550">
              <w:rPr>
                <w:lang w:eastAsia="sk-SK"/>
              </w:rPr>
              <w:t xml:space="preserve">vantifikácia opatrenia na úpravu informačných systémov vychádza z údajov, ktoré vyčíslilo a dodalo Finančné riaditeľstvo Slovenskej republiky na základe vlastných údajov a výpočtov. </w:t>
            </w:r>
          </w:p>
          <w:p w:rsidR="00E26C1C" w:rsidRPr="00994550" w:rsidRDefault="00E26C1C" w:rsidP="00D27093">
            <w:pPr>
              <w:rPr>
                <w:b/>
                <w:sz w:val="20"/>
                <w:szCs w:val="20"/>
                <w:lang w:eastAsia="sk-SK"/>
              </w:rPr>
            </w:pPr>
          </w:p>
        </w:tc>
      </w:tr>
      <w:tr w:rsidR="00E26C1C" w:rsidRPr="00994550" w:rsidTr="00D27093">
        <w:tc>
          <w:tcPr>
            <w:tcW w:w="9176" w:type="dxa"/>
            <w:tcBorders>
              <w:top w:val="single" w:sz="4" w:space="0" w:color="auto"/>
              <w:left w:val="single" w:sz="4" w:space="0" w:color="auto"/>
              <w:bottom w:val="single" w:sz="4" w:space="0" w:color="FFFFFF"/>
              <w:right w:val="single" w:sz="4" w:space="0" w:color="auto"/>
            </w:tcBorders>
            <w:shd w:val="clear" w:color="auto" w:fill="E2E2E2"/>
          </w:tcPr>
          <w:p w:rsidR="00E26C1C" w:rsidRPr="00994550" w:rsidRDefault="00E26C1C" w:rsidP="00D27093">
            <w:pPr>
              <w:numPr>
                <w:ilvl w:val="0"/>
                <w:numId w:val="1"/>
              </w:numPr>
              <w:ind w:left="447" w:hanging="425"/>
              <w:contextualSpacing/>
              <w:rPr>
                <w:rFonts w:eastAsia="Calibri"/>
                <w:b/>
              </w:rPr>
            </w:pPr>
            <w:r w:rsidRPr="00994550">
              <w:rPr>
                <w:rFonts w:eastAsia="Calibri"/>
                <w:b/>
              </w:rPr>
              <w:t>Stanovisko Komisie na posudzovanie vybraných vplyvov z PPK č</w:t>
            </w:r>
            <w:r>
              <w:rPr>
                <w:rFonts w:eastAsia="Calibri"/>
                <w:b/>
              </w:rPr>
              <w:t>. 016_1/2024</w:t>
            </w:r>
            <w:r w:rsidRPr="00994550">
              <w:rPr>
                <w:rFonts w:ascii="Calibri" w:eastAsia="Calibri" w:hAnsi="Calibri"/>
              </w:rPr>
              <w:t xml:space="preserve"> </w:t>
            </w:r>
          </w:p>
          <w:p w:rsidR="00E26C1C" w:rsidRPr="00994550" w:rsidRDefault="00E26C1C" w:rsidP="00D27093">
            <w:pPr>
              <w:ind w:left="502"/>
              <w:rPr>
                <w:b/>
                <w:sz w:val="20"/>
                <w:szCs w:val="20"/>
                <w:lang w:eastAsia="sk-SK"/>
              </w:rPr>
            </w:pPr>
            <w:r w:rsidRPr="00994550">
              <w:rPr>
                <w:rFonts w:eastAsia="Calibri"/>
              </w:rPr>
              <w:t>(v prípade, ak sa uskutočnilo v zmysle bodu 8.1 Jednotnej metodiky)</w:t>
            </w:r>
          </w:p>
        </w:tc>
      </w:tr>
      <w:tr w:rsidR="00E26C1C" w:rsidRPr="00994550" w:rsidTr="00D27093">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26C1C" w:rsidRPr="00994550" w:rsidRDefault="00E26C1C" w:rsidP="00D27093">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26C1C" w:rsidRPr="00994550" w:rsidTr="00D27093">
              <w:trPr>
                <w:trHeight w:val="396"/>
              </w:trPr>
              <w:tc>
                <w:tcPr>
                  <w:tcW w:w="2552" w:type="dxa"/>
                </w:tcPr>
                <w:p w:rsidR="00E26C1C" w:rsidRPr="00994550" w:rsidRDefault="00BA2478" w:rsidP="00D27093">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EndPr/>
                    <w:sdtContent>
                      <w:r w:rsidR="00E26C1C" w:rsidRPr="00994550">
                        <w:rPr>
                          <w:rFonts w:ascii="MS Gothic" w:eastAsia="MS Gothic" w:hAnsi="MS Gothic" w:hint="eastAsia"/>
                          <w:b/>
                          <w:sz w:val="20"/>
                          <w:szCs w:val="20"/>
                          <w:lang w:eastAsia="sk-SK"/>
                        </w:rPr>
                        <w:t>☐</w:t>
                      </w:r>
                    </w:sdtContent>
                  </w:sdt>
                  <w:r w:rsidR="00E26C1C" w:rsidRPr="00994550">
                    <w:rPr>
                      <w:b/>
                      <w:sz w:val="20"/>
                      <w:szCs w:val="20"/>
                      <w:lang w:eastAsia="sk-SK"/>
                    </w:rPr>
                    <w:t xml:space="preserve">  Súhlasné </w:t>
                  </w:r>
                </w:p>
              </w:tc>
              <w:tc>
                <w:tcPr>
                  <w:tcW w:w="3827" w:type="dxa"/>
                </w:tcPr>
                <w:p w:rsidR="00E26C1C" w:rsidRPr="00994550" w:rsidRDefault="00BA2478" w:rsidP="00D27093">
                  <w:pPr>
                    <w:rPr>
                      <w:b/>
                      <w:sz w:val="20"/>
                      <w:szCs w:val="20"/>
                      <w:lang w:eastAsia="sk-SK"/>
                    </w:rPr>
                  </w:pPr>
                  <w:sdt>
                    <w:sdtPr>
                      <w:rPr>
                        <w:b/>
                        <w:sz w:val="20"/>
                        <w:szCs w:val="20"/>
                        <w:lang w:eastAsia="sk-SK"/>
                      </w:rPr>
                      <w:id w:val="1697888127"/>
                      <w14:checkbox>
                        <w14:checked w14:val="1"/>
                        <w14:checkedState w14:val="2612" w14:font="MS Gothic"/>
                        <w14:uncheckedState w14:val="2610" w14:font="MS Gothic"/>
                      </w14:checkbox>
                    </w:sdtPr>
                    <w:sdtEndPr/>
                    <w:sdtContent>
                      <w:r w:rsidR="00E26C1C">
                        <w:rPr>
                          <w:rFonts w:ascii="MS Gothic" w:eastAsia="MS Gothic" w:hAnsi="MS Gothic" w:hint="eastAsia"/>
                          <w:b/>
                          <w:sz w:val="20"/>
                          <w:szCs w:val="20"/>
                          <w:lang w:eastAsia="sk-SK"/>
                        </w:rPr>
                        <w:t>☒</w:t>
                      </w:r>
                    </w:sdtContent>
                  </w:sdt>
                  <w:r w:rsidR="00E26C1C" w:rsidRPr="00994550">
                    <w:rPr>
                      <w:b/>
                      <w:sz w:val="20"/>
                      <w:szCs w:val="20"/>
                      <w:lang w:eastAsia="sk-SK"/>
                    </w:rPr>
                    <w:t xml:space="preserve">  Súhlasné s návrhom na dopracovanie</w:t>
                  </w:r>
                </w:p>
              </w:tc>
              <w:tc>
                <w:tcPr>
                  <w:tcW w:w="2534" w:type="dxa"/>
                </w:tcPr>
                <w:p w:rsidR="00E26C1C" w:rsidRPr="00994550" w:rsidRDefault="00BA2478" w:rsidP="00D27093">
                  <w:pPr>
                    <w:ind w:right="459"/>
                    <w:rPr>
                      <w:b/>
                      <w:sz w:val="20"/>
                      <w:szCs w:val="20"/>
                      <w:lang w:eastAsia="sk-SK"/>
                    </w:rPr>
                  </w:pPr>
                  <w:sdt>
                    <w:sdtPr>
                      <w:rPr>
                        <w:b/>
                        <w:sz w:val="20"/>
                        <w:szCs w:val="20"/>
                        <w:lang w:eastAsia="sk-SK"/>
                      </w:rPr>
                      <w:id w:val="-647822913"/>
                      <w14:checkbox>
                        <w14:checked w14:val="0"/>
                        <w14:checkedState w14:val="2612" w14:font="MS Gothic"/>
                        <w14:uncheckedState w14:val="2610" w14:font="MS Gothic"/>
                      </w14:checkbox>
                    </w:sdtPr>
                    <w:sdtEndPr/>
                    <w:sdtContent>
                      <w:r w:rsidR="00E26C1C" w:rsidRPr="00994550">
                        <w:rPr>
                          <w:rFonts w:ascii="MS Gothic" w:eastAsia="MS Gothic" w:hAnsi="MS Gothic" w:hint="eastAsia"/>
                          <w:b/>
                          <w:sz w:val="20"/>
                          <w:szCs w:val="20"/>
                          <w:lang w:eastAsia="sk-SK"/>
                        </w:rPr>
                        <w:t>☐</w:t>
                      </w:r>
                    </w:sdtContent>
                  </w:sdt>
                  <w:r w:rsidR="00E26C1C" w:rsidRPr="00994550">
                    <w:rPr>
                      <w:b/>
                      <w:sz w:val="20"/>
                      <w:szCs w:val="20"/>
                      <w:lang w:eastAsia="sk-SK"/>
                    </w:rPr>
                    <w:t xml:space="preserve">  Nesúhlasné</w:t>
                  </w:r>
                </w:p>
              </w:tc>
            </w:tr>
          </w:tbl>
          <w:p w:rsidR="00E26C1C" w:rsidRPr="00994550" w:rsidRDefault="00E26C1C" w:rsidP="00D27093">
            <w:pPr>
              <w:jc w:val="both"/>
              <w:rPr>
                <w:b/>
                <w:sz w:val="20"/>
                <w:szCs w:val="20"/>
                <w:lang w:eastAsia="sk-SK"/>
              </w:rPr>
            </w:pPr>
            <w:r w:rsidRPr="00994550">
              <w:rPr>
                <w:b/>
                <w:sz w:val="20"/>
                <w:szCs w:val="20"/>
                <w:lang w:eastAsia="sk-SK"/>
              </w:rPr>
              <w:t>Uveďte pripomienky zo stanoviska Komisie z časti II. spolu s Vaším vyhodnotením:</w:t>
            </w:r>
          </w:p>
          <w:p w:rsidR="00E26C1C" w:rsidRPr="00D12314" w:rsidRDefault="00E26C1C" w:rsidP="00D27093">
            <w:pPr>
              <w:rPr>
                <w:b/>
                <w:sz w:val="20"/>
                <w:szCs w:val="20"/>
                <w:lang w:eastAsia="sk-SK"/>
              </w:rPr>
            </w:pPr>
          </w:p>
          <w:p w:rsidR="00E26C1C" w:rsidRPr="00D12314" w:rsidRDefault="00E26C1C" w:rsidP="00D27093">
            <w:pPr>
              <w:jc w:val="both"/>
            </w:pPr>
            <w:r w:rsidRPr="00D12314">
              <w:rPr>
                <w:b/>
                <w:bCs/>
              </w:rPr>
              <w:t>II. P</w:t>
            </w:r>
            <w:r w:rsidRPr="00D12314">
              <w:rPr>
                <w:b/>
              </w:rPr>
              <w:t>r</w:t>
            </w:r>
            <w:r w:rsidRPr="00D12314">
              <w:rPr>
                <w:b/>
                <w:bCs/>
              </w:rPr>
              <w:t>ipomienky a návrhy zm</w:t>
            </w:r>
            <w:r w:rsidRPr="00D12314">
              <w:rPr>
                <w:b/>
              </w:rPr>
              <w:t>ie</w:t>
            </w:r>
            <w:r w:rsidRPr="00D12314">
              <w:rPr>
                <w:b/>
                <w:bCs/>
              </w:rPr>
              <w:t xml:space="preserve">n: </w:t>
            </w:r>
            <w:r w:rsidRPr="00D12314">
              <w:rPr>
                <w:bCs/>
              </w:rPr>
              <w:t>Komisia uplatňuje k materiálu nasledovné pripomienky a odporúčania:</w:t>
            </w:r>
          </w:p>
          <w:p w:rsidR="00E26C1C" w:rsidRPr="00D12314" w:rsidRDefault="00E26C1C" w:rsidP="00D27093">
            <w:pPr>
              <w:tabs>
                <w:tab w:val="left" w:pos="1110"/>
              </w:tabs>
              <w:ind w:right="-2"/>
              <w:jc w:val="both"/>
              <w:rPr>
                <w:b/>
                <w:bCs/>
              </w:rPr>
            </w:pPr>
          </w:p>
          <w:p w:rsidR="00E26C1C" w:rsidRPr="00D12314" w:rsidRDefault="00E26C1C" w:rsidP="00D27093">
            <w:pPr>
              <w:tabs>
                <w:tab w:val="left" w:pos="1110"/>
              </w:tabs>
              <w:ind w:right="-2"/>
              <w:jc w:val="both"/>
              <w:rPr>
                <w:b/>
                <w:bCs/>
              </w:rPr>
            </w:pPr>
            <w:r w:rsidRPr="00D12314">
              <w:rPr>
                <w:b/>
                <w:bCs/>
              </w:rPr>
              <w:t xml:space="preserve">K doložke vybraných </w:t>
            </w:r>
          </w:p>
          <w:p w:rsidR="00E26C1C" w:rsidRPr="00D12314" w:rsidRDefault="00E26C1C" w:rsidP="00D27093">
            <w:pPr>
              <w:tabs>
                <w:tab w:val="left" w:pos="1110"/>
              </w:tabs>
              <w:ind w:right="-2"/>
              <w:jc w:val="both"/>
              <w:rPr>
                <w:bCs/>
              </w:rPr>
            </w:pPr>
            <w:r w:rsidRPr="00D12314">
              <w:rPr>
                <w:bCs/>
              </w:rPr>
              <w:t>Komisia žiada predkladateľa o vyznačenie uplatňovania mechanizmu znižovania byrokracie a</w:t>
            </w:r>
            <w:r>
              <w:rPr>
                <w:bCs/>
              </w:rPr>
              <w:t> </w:t>
            </w:r>
            <w:r w:rsidRPr="00D12314">
              <w:rPr>
                <w:bCs/>
              </w:rPr>
              <w:t>nákladov</w:t>
            </w:r>
            <w:r>
              <w:rPr>
                <w:bCs/>
              </w:rPr>
              <w:t xml:space="preserve"> </w:t>
            </w:r>
            <w:r w:rsidRPr="00D12314">
              <w:rPr>
                <w:bCs/>
              </w:rPr>
              <w:t>v Doložke vybraných vplyvov.</w:t>
            </w:r>
          </w:p>
          <w:p w:rsidR="00E26C1C" w:rsidRPr="00D12314" w:rsidRDefault="00E26C1C" w:rsidP="00D27093">
            <w:pPr>
              <w:tabs>
                <w:tab w:val="left" w:pos="1110"/>
              </w:tabs>
              <w:ind w:right="-2"/>
              <w:jc w:val="both"/>
              <w:rPr>
                <w:bCs/>
              </w:rPr>
            </w:pPr>
            <w:r w:rsidRPr="00D12314">
              <w:rPr>
                <w:bCs/>
                <w:u w:val="single"/>
              </w:rPr>
              <w:t>Odôvodnenie:</w:t>
            </w:r>
            <w:r w:rsidRPr="00D12314">
              <w:rPr>
                <w:bCs/>
              </w:rPr>
              <w:t xml:space="preserve"> Návrh materiálu zavádza regulácie a náklady na ktoré vzťahuje mechanizmus znižovania byrokracie a nákladov podľa Analýzy vplyvov na podnikateľské prostredie.</w:t>
            </w:r>
          </w:p>
          <w:p w:rsidR="00E26C1C" w:rsidRDefault="00E26C1C" w:rsidP="00D27093">
            <w:pPr>
              <w:tabs>
                <w:tab w:val="left" w:pos="1110"/>
              </w:tabs>
              <w:ind w:right="-2"/>
              <w:jc w:val="both"/>
              <w:rPr>
                <w:bCs/>
              </w:rPr>
            </w:pPr>
          </w:p>
          <w:p w:rsidR="00E26C1C" w:rsidRPr="00994550" w:rsidRDefault="00E26C1C" w:rsidP="00D27093">
            <w:pPr>
              <w:tabs>
                <w:tab w:val="left" w:pos="1110"/>
              </w:tabs>
              <w:ind w:left="306" w:right="-2"/>
              <w:jc w:val="both"/>
              <w:rPr>
                <w:b/>
                <w:bCs/>
                <w:u w:val="single"/>
              </w:rPr>
            </w:pPr>
            <w:r w:rsidRPr="00994550">
              <w:rPr>
                <w:b/>
                <w:bCs/>
                <w:u w:val="single"/>
              </w:rPr>
              <w:t>Vyjadrenie predkladateľa:</w:t>
            </w:r>
          </w:p>
          <w:p w:rsidR="00E26C1C" w:rsidRDefault="00E26C1C" w:rsidP="00D27093">
            <w:pPr>
              <w:tabs>
                <w:tab w:val="left" w:pos="1110"/>
              </w:tabs>
              <w:ind w:left="306" w:right="-2"/>
              <w:jc w:val="both"/>
              <w:rPr>
                <w:bCs/>
              </w:rPr>
            </w:pPr>
            <w:r>
              <w:rPr>
                <w:bCs/>
              </w:rPr>
              <w:t>Pripomienka bola akceptovaná a zapracovaná do Doložky vybraných vplyvov.</w:t>
            </w:r>
          </w:p>
          <w:p w:rsidR="00E26C1C" w:rsidRDefault="00E26C1C" w:rsidP="00D27093">
            <w:pPr>
              <w:tabs>
                <w:tab w:val="left" w:pos="1110"/>
              </w:tabs>
              <w:ind w:right="-2"/>
              <w:jc w:val="both"/>
              <w:rPr>
                <w:bCs/>
              </w:rPr>
            </w:pPr>
          </w:p>
          <w:p w:rsidR="00E26C1C" w:rsidRDefault="00E26C1C" w:rsidP="00D27093">
            <w:pPr>
              <w:tabs>
                <w:tab w:val="left" w:pos="1110"/>
              </w:tabs>
              <w:ind w:right="-2"/>
              <w:jc w:val="both"/>
              <w:rPr>
                <w:bCs/>
              </w:rPr>
            </w:pPr>
          </w:p>
          <w:p w:rsidR="00E26C1C" w:rsidRPr="00D12314" w:rsidRDefault="00E26C1C" w:rsidP="00D27093">
            <w:pPr>
              <w:tabs>
                <w:tab w:val="left" w:pos="1110"/>
              </w:tabs>
              <w:ind w:right="-2"/>
              <w:jc w:val="both"/>
              <w:rPr>
                <w:bCs/>
              </w:rPr>
            </w:pPr>
            <w:r w:rsidRPr="00D12314">
              <w:rPr>
                <w:bCs/>
              </w:rPr>
              <w:t xml:space="preserve">Komisia žiada predkladateľa o odstránenie označenia pozitívneho vplyvu na MSP v bode 9 Doložky vybraných vplyvov, keďže ani v priloženej Analýze vplyvov na podnikateľské prostredie nie je možné identifikovať konkrétny pozitívny vplyv na MSP.  </w:t>
            </w:r>
          </w:p>
          <w:p w:rsidR="00E26C1C" w:rsidRDefault="00E26C1C" w:rsidP="00D27093">
            <w:pPr>
              <w:tabs>
                <w:tab w:val="left" w:pos="1110"/>
              </w:tabs>
              <w:ind w:right="-2"/>
              <w:jc w:val="both"/>
              <w:rPr>
                <w:bCs/>
              </w:rPr>
            </w:pPr>
          </w:p>
          <w:p w:rsidR="00E26C1C" w:rsidRPr="00994550" w:rsidRDefault="00E26C1C" w:rsidP="00D27093">
            <w:pPr>
              <w:tabs>
                <w:tab w:val="left" w:pos="1110"/>
              </w:tabs>
              <w:ind w:left="306" w:right="-2"/>
              <w:jc w:val="both"/>
              <w:rPr>
                <w:b/>
                <w:bCs/>
                <w:u w:val="single"/>
              </w:rPr>
            </w:pPr>
            <w:r w:rsidRPr="00994550">
              <w:rPr>
                <w:b/>
                <w:bCs/>
                <w:u w:val="single"/>
              </w:rPr>
              <w:t>Vyjadrenie predkladateľa:</w:t>
            </w:r>
          </w:p>
          <w:p w:rsidR="00E26C1C" w:rsidRPr="00294C4D" w:rsidRDefault="00E26C1C" w:rsidP="00D27093">
            <w:pPr>
              <w:tabs>
                <w:tab w:val="left" w:pos="1110"/>
              </w:tabs>
              <w:ind w:left="306" w:right="-2"/>
              <w:jc w:val="both"/>
              <w:rPr>
                <w:bCs/>
              </w:rPr>
            </w:pPr>
            <w:r w:rsidRPr="00294C4D">
              <w:rPr>
                <w:bCs/>
              </w:rPr>
              <w:t xml:space="preserve">Vyčíslené pozitívne vplyvy na podnikateľské prostredie napr. pri reguláciách č. 9 a 11 majú pozitívne vplyvy na </w:t>
            </w:r>
            <w:r w:rsidRPr="00294C4D">
              <w:rPr>
                <w:bCs/>
                <w:color w:val="000000"/>
                <w:lang w:eastAsia="sk-SK"/>
              </w:rPr>
              <w:t>poskytovateľov platobných služieb v obmedzenom rozsahu pre jednotlivé druhy platobných služieb</w:t>
            </w:r>
            <w:r w:rsidRPr="00294C4D">
              <w:rPr>
                <w:bCs/>
              </w:rPr>
              <w:t xml:space="preserve"> </w:t>
            </w:r>
            <w:r w:rsidRPr="00294C4D">
              <w:rPr>
                <w:bCs/>
                <w:color w:val="000000"/>
                <w:lang w:eastAsia="sk-SK"/>
              </w:rPr>
              <w:t>a na inštitúcie elektronických peňazí v obmedzenom rozsahu</w:t>
            </w:r>
            <w:r w:rsidRPr="00294C4D">
              <w:rPr>
                <w:bCs/>
              </w:rPr>
              <w:t xml:space="preserve">, pričom oba tieto typy spoločností môžu byť aj malými a strednými podnikateľmi. </w:t>
            </w:r>
          </w:p>
          <w:p w:rsidR="00E26C1C" w:rsidRPr="00294C4D" w:rsidRDefault="00E26C1C" w:rsidP="00D27093">
            <w:pPr>
              <w:tabs>
                <w:tab w:val="left" w:pos="1110"/>
              </w:tabs>
              <w:ind w:left="306" w:right="-2"/>
              <w:jc w:val="both"/>
              <w:rPr>
                <w:bCs/>
              </w:rPr>
            </w:pPr>
            <w:r w:rsidRPr="00294C4D">
              <w:rPr>
                <w:bCs/>
              </w:rPr>
              <w:t>Z tohto dôvodu s pripomienkou nesúhlasíme a ponechávame označenie pozitívneho vplyvu na MSP v bode 9 Doložky vybraných vplyvov.</w:t>
            </w:r>
          </w:p>
          <w:p w:rsidR="00E26C1C" w:rsidRDefault="00E26C1C" w:rsidP="00D27093">
            <w:pPr>
              <w:tabs>
                <w:tab w:val="left" w:pos="1110"/>
              </w:tabs>
              <w:ind w:right="-2"/>
              <w:jc w:val="both"/>
              <w:rPr>
                <w:bCs/>
              </w:rPr>
            </w:pPr>
          </w:p>
          <w:p w:rsidR="00E26C1C" w:rsidRPr="00D12314" w:rsidRDefault="00E26C1C" w:rsidP="00D27093">
            <w:pPr>
              <w:tabs>
                <w:tab w:val="left" w:pos="1110"/>
              </w:tabs>
              <w:ind w:right="-2"/>
              <w:jc w:val="both"/>
              <w:rPr>
                <w:bCs/>
              </w:rPr>
            </w:pPr>
          </w:p>
          <w:p w:rsidR="00E26C1C" w:rsidRPr="00D12314" w:rsidRDefault="00E26C1C" w:rsidP="00D27093">
            <w:pPr>
              <w:tabs>
                <w:tab w:val="left" w:pos="1110"/>
              </w:tabs>
              <w:ind w:right="-2"/>
              <w:jc w:val="both"/>
              <w:rPr>
                <w:b/>
                <w:bCs/>
              </w:rPr>
            </w:pPr>
            <w:r w:rsidRPr="00D12314">
              <w:rPr>
                <w:b/>
                <w:bCs/>
              </w:rPr>
              <w:t>K vplyvom na podnikateľské prostredie</w:t>
            </w:r>
          </w:p>
          <w:p w:rsidR="00E26C1C" w:rsidRPr="00D12314" w:rsidRDefault="00E26C1C" w:rsidP="00D27093">
            <w:pPr>
              <w:tabs>
                <w:tab w:val="left" w:pos="1110"/>
              </w:tabs>
              <w:ind w:right="-2"/>
              <w:jc w:val="both"/>
              <w:rPr>
                <w:bCs/>
              </w:rPr>
            </w:pPr>
            <w:r w:rsidRPr="00D12314">
              <w:rPr>
                <w:bCs/>
              </w:rPr>
              <w:t>Komisia žiada predkladateľa o dopracovanie Analýzy vplyvov na podnikateľské prostredie v</w:t>
            </w:r>
            <w:r w:rsidR="00454637">
              <w:rPr>
                <w:bCs/>
              </w:rPr>
              <w:t> </w:t>
            </w:r>
            <w:r w:rsidRPr="00D12314">
              <w:rPr>
                <w:bCs/>
              </w:rPr>
              <w:t>časti</w:t>
            </w:r>
            <w:r w:rsidR="00454637">
              <w:rPr>
                <w:bCs/>
              </w:rPr>
              <w:t xml:space="preserve"> </w:t>
            </w:r>
            <w:r w:rsidRPr="00D12314">
              <w:rPr>
                <w:bCs/>
              </w:rPr>
              <w:t>3.1.2 a 3.4  a zároveň Kalkulačky nákladov</w:t>
            </w:r>
          </w:p>
          <w:p w:rsidR="00E26C1C" w:rsidRDefault="00E26C1C" w:rsidP="00D27093">
            <w:pPr>
              <w:tabs>
                <w:tab w:val="left" w:pos="1110"/>
              </w:tabs>
              <w:ind w:right="-2"/>
              <w:jc w:val="both"/>
              <w:rPr>
                <w:bCs/>
              </w:rPr>
            </w:pPr>
            <w:r w:rsidRPr="00D12314">
              <w:rPr>
                <w:bCs/>
                <w:u w:val="single"/>
              </w:rPr>
              <w:t>Odôvodnenie:</w:t>
            </w:r>
            <w:r w:rsidRPr="00D12314">
              <w:rPr>
                <w:bCs/>
              </w:rPr>
              <w:t xml:space="preserve"> Do analýzy je potrebné doplniť administratívne vplyvy vyplývajúce z § 5 Informačné povinnosti a z Čl. V. §20ab ods. 8 povinnosť poskytnúť informácie na požiadanie NBS. Ďalej je potrebné doplniť dôvod zvolenej frekvencie plnenia povinnosti k regulácií č. 8 a Komisia zároveň odporúča doplniť do tejto časti zdroje počtu subjektov ako sú uvedené v</w:t>
            </w:r>
            <w:r w:rsidR="00454637">
              <w:rPr>
                <w:bCs/>
              </w:rPr>
              <w:t> </w:t>
            </w:r>
            <w:r w:rsidRPr="00D12314">
              <w:rPr>
                <w:bCs/>
              </w:rPr>
              <w:t>Doložke</w:t>
            </w:r>
            <w:r w:rsidR="00454637">
              <w:rPr>
                <w:bCs/>
              </w:rPr>
              <w:t xml:space="preserve"> </w:t>
            </w:r>
            <w:r w:rsidRPr="00D12314">
              <w:rPr>
                <w:bCs/>
              </w:rPr>
              <w:t>vybraných vplyvov v bode 12. Do časti 3.4 bude potrebné uviesť vplyvy týkajúce za pokút a sankcií (§ 8).</w:t>
            </w:r>
          </w:p>
          <w:p w:rsidR="00E26C1C" w:rsidRDefault="00E26C1C" w:rsidP="00D27093">
            <w:pPr>
              <w:tabs>
                <w:tab w:val="left" w:pos="1110"/>
              </w:tabs>
              <w:ind w:right="-2"/>
              <w:jc w:val="both"/>
              <w:rPr>
                <w:bCs/>
              </w:rPr>
            </w:pPr>
          </w:p>
          <w:p w:rsidR="00E26C1C" w:rsidRPr="00994550" w:rsidRDefault="00E26C1C" w:rsidP="00D27093">
            <w:pPr>
              <w:tabs>
                <w:tab w:val="left" w:pos="1110"/>
              </w:tabs>
              <w:ind w:left="306" w:right="-2"/>
              <w:jc w:val="both"/>
              <w:rPr>
                <w:b/>
                <w:bCs/>
                <w:u w:val="single"/>
              </w:rPr>
            </w:pPr>
            <w:r w:rsidRPr="00994550">
              <w:rPr>
                <w:b/>
                <w:bCs/>
                <w:u w:val="single"/>
              </w:rPr>
              <w:t>Vyjadrenie predkladateľa:</w:t>
            </w:r>
          </w:p>
          <w:p w:rsidR="00E26C1C" w:rsidRDefault="00E26C1C" w:rsidP="00D27093">
            <w:pPr>
              <w:tabs>
                <w:tab w:val="left" w:pos="1110"/>
              </w:tabs>
              <w:ind w:left="306" w:right="-2"/>
              <w:jc w:val="both"/>
              <w:rPr>
                <w:bCs/>
              </w:rPr>
            </w:pPr>
            <w:r>
              <w:rPr>
                <w:bCs/>
              </w:rPr>
              <w:t>Pripomienka bola zapracovaná. Do Kalkulačky nákladov, ako aj do Analýzy vplyvov na podnikateľské prostredie bola doplnená regulácia súvisiaca s § 20ab ods. 8 zákona o bankách. Takisto bolo do Analýzy vplyvov na podnikateľské prostredie doplnené vysvetlenie dôvodu zvolenej frekvencie plnenia povinnosti k regulácii č. 8 a</w:t>
            </w:r>
            <w:r w:rsidR="00454637">
              <w:rPr>
                <w:bCs/>
              </w:rPr>
              <w:t> </w:t>
            </w:r>
            <w:r>
              <w:rPr>
                <w:bCs/>
              </w:rPr>
              <w:t>zdroje</w:t>
            </w:r>
            <w:r w:rsidR="00454637">
              <w:rPr>
                <w:bCs/>
              </w:rPr>
              <w:t xml:space="preserve"> </w:t>
            </w:r>
            <w:r>
              <w:rPr>
                <w:bCs/>
              </w:rPr>
              <w:t>počtu subjektov. V bode 10 Doložky vybraných vplyvov boli doplnené vysvetlenia k informačným povinnostiam (§ 5 čl. I) a k pokutám a sankciám (§ 8 čl. I).</w:t>
            </w:r>
          </w:p>
          <w:p w:rsidR="00E26C1C" w:rsidRPr="00D12314" w:rsidRDefault="00E26C1C" w:rsidP="00D27093">
            <w:pPr>
              <w:tabs>
                <w:tab w:val="left" w:pos="1110"/>
              </w:tabs>
              <w:ind w:right="-2"/>
              <w:jc w:val="both"/>
              <w:rPr>
                <w:bCs/>
              </w:rPr>
            </w:pPr>
          </w:p>
          <w:p w:rsidR="00E26C1C" w:rsidRPr="00D12314" w:rsidRDefault="00E26C1C" w:rsidP="00D27093">
            <w:pPr>
              <w:tabs>
                <w:tab w:val="left" w:pos="1110"/>
              </w:tabs>
              <w:ind w:right="-2"/>
              <w:jc w:val="both"/>
              <w:rPr>
                <w:bCs/>
              </w:rPr>
            </w:pPr>
          </w:p>
          <w:p w:rsidR="00E26C1C" w:rsidRPr="00D12314" w:rsidRDefault="00E26C1C" w:rsidP="00D27093">
            <w:pPr>
              <w:jc w:val="both"/>
              <w:rPr>
                <w:rStyle w:val="norm00e1lnychar1"/>
                <w:b/>
                <w:bCs/>
                <w:sz w:val="22"/>
                <w:szCs w:val="22"/>
              </w:rPr>
            </w:pPr>
            <w:r w:rsidRPr="00D12314">
              <w:rPr>
                <w:rStyle w:val="norm00e1lnychar1"/>
                <w:b/>
                <w:bCs/>
                <w:sz w:val="22"/>
                <w:szCs w:val="22"/>
              </w:rPr>
              <w:t xml:space="preserve">Ku </w:t>
            </w:r>
            <w:proofErr w:type="spellStart"/>
            <w:r w:rsidRPr="00D12314">
              <w:rPr>
                <w:rStyle w:val="norm00e1lnychar1"/>
                <w:b/>
                <w:bCs/>
                <w:sz w:val="22"/>
                <w:szCs w:val="22"/>
              </w:rPr>
              <w:t>goldplatingu</w:t>
            </w:r>
            <w:proofErr w:type="spellEnd"/>
          </w:p>
          <w:p w:rsidR="00E26C1C" w:rsidRPr="00D12314" w:rsidRDefault="00E26C1C" w:rsidP="00D27093">
            <w:pPr>
              <w:jc w:val="both"/>
              <w:rPr>
                <w:bCs/>
              </w:rPr>
            </w:pPr>
            <w:r w:rsidRPr="00D12314">
              <w:rPr>
                <w:bCs/>
              </w:rPr>
              <w:t xml:space="preserve">K tabuľke zhody 07e_TZ_2015-2366_PPK: Pri transponovaní článku 32 ods. 1 veta 1 smernice Európskeho parlamentu a Rady (EÚ) 2015/2366 z 25. novembra 2015 sa Komisia domnieva, že dochádza ku </w:t>
            </w:r>
            <w:proofErr w:type="spellStart"/>
            <w:r w:rsidRPr="00D12314">
              <w:rPr>
                <w:bCs/>
              </w:rPr>
              <w:t>goldplatingu</w:t>
            </w:r>
            <w:proofErr w:type="spellEnd"/>
            <w:r w:rsidRPr="00D12314">
              <w:rPr>
                <w:bCs/>
              </w:rPr>
              <w:t xml:space="preserve"> typu b) tým, že Slovenská republika stanovila podmienku splatného peňažného vkladu do základného imania poskytovateľa platobných služieb nad rámec smernice. Vzhľadom na uvedené Komisia žiada náležite vyplniť stĺpce (9) a (10) tabuľky zhody a pod tabuľkou zhody v poznámke „Vyjadrenie k opodstatnenosti </w:t>
            </w:r>
            <w:proofErr w:type="spellStart"/>
            <w:r w:rsidRPr="00D12314">
              <w:rPr>
                <w:bCs/>
              </w:rPr>
              <w:t>goldplatingu</w:t>
            </w:r>
            <w:proofErr w:type="spellEnd"/>
            <w:r w:rsidRPr="00D12314">
              <w:rPr>
                <w:bCs/>
              </w:rPr>
              <w:t xml:space="preserve"> a jeho odôvodnenie“ doplniť odôvodnenie takejto úpravy.</w:t>
            </w:r>
          </w:p>
          <w:p w:rsidR="00E26C1C" w:rsidRPr="00D12314" w:rsidRDefault="00E26C1C" w:rsidP="00D27093">
            <w:pPr>
              <w:jc w:val="both"/>
              <w:rPr>
                <w:bCs/>
              </w:rPr>
            </w:pPr>
            <w:r w:rsidRPr="00D12314">
              <w:rPr>
                <w:bCs/>
                <w:u w:val="single"/>
              </w:rPr>
              <w:lastRenderedPageBreak/>
              <w:t>Odôvodnenie:</w:t>
            </w:r>
            <w:r w:rsidRPr="00D12314">
              <w:rPr>
                <w:bCs/>
              </w:rPr>
              <w:t xml:space="preserve"> Slovenská republika v predkladanom návrhu právneho predpisu v čl. X</w:t>
            </w:r>
            <w:r w:rsidR="00454637">
              <w:rPr>
                <w:bCs/>
              </w:rPr>
              <w:t>I</w:t>
            </w:r>
            <w:r w:rsidRPr="00D12314">
              <w:rPr>
                <w:bCs/>
              </w:rPr>
              <w:t xml:space="preserve"> §79a ods. 2 stanovila podmienky nad rámec smernice EÚ 2015/2366. Smernica neustanovuje takúto podmienku; dochádza tým ku </w:t>
            </w:r>
            <w:proofErr w:type="spellStart"/>
            <w:r w:rsidRPr="00D12314">
              <w:rPr>
                <w:bCs/>
              </w:rPr>
              <w:t>goldplatingu</w:t>
            </w:r>
            <w:proofErr w:type="spellEnd"/>
            <w:r w:rsidRPr="00D12314">
              <w:rPr>
                <w:bCs/>
              </w:rPr>
              <w:t xml:space="preserve"> typu b).</w:t>
            </w:r>
          </w:p>
          <w:p w:rsidR="00E26C1C" w:rsidRDefault="00E26C1C" w:rsidP="00D27093">
            <w:pPr>
              <w:jc w:val="both"/>
              <w:rPr>
                <w:bCs/>
              </w:rPr>
            </w:pPr>
          </w:p>
          <w:p w:rsidR="00E26C1C" w:rsidRPr="00994550" w:rsidRDefault="00E26C1C" w:rsidP="00D27093">
            <w:pPr>
              <w:tabs>
                <w:tab w:val="left" w:pos="1110"/>
              </w:tabs>
              <w:ind w:left="306" w:right="-2"/>
              <w:jc w:val="both"/>
              <w:rPr>
                <w:b/>
                <w:bCs/>
                <w:u w:val="single"/>
              </w:rPr>
            </w:pPr>
            <w:r w:rsidRPr="00994550">
              <w:rPr>
                <w:b/>
                <w:bCs/>
                <w:u w:val="single"/>
              </w:rPr>
              <w:t>Vyjadrenie predkladateľa:</w:t>
            </w:r>
          </w:p>
          <w:p w:rsidR="00E26C1C" w:rsidRPr="00187323" w:rsidRDefault="00E26C1C" w:rsidP="00D27093">
            <w:pPr>
              <w:pStyle w:val="Default"/>
              <w:ind w:left="306"/>
              <w:jc w:val="both"/>
              <w:rPr>
                <w:bCs/>
                <w:color w:val="auto"/>
                <w:sz w:val="22"/>
                <w:szCs w:val="22"/>
              </w:rPr>
            </w:pPr>
            <w:r w:rsidRPr="00187323">
              <w:rPr>
                <w:bCs/>
                <w:color w:val="auto"/>
                <w:sz w:val="22"/>
                <w:szCs w:val="22"/>
              </w:rPr>
              <w:t xml:space="preserve">Navrhovaným znením § 79a ods. 2 dochádza k zníženiu požiadavky na počiatočný kapitál na polovicu súčasného stavu. Smernica síce umožňuje neuplatňovať túto požiadavku, takýto stav by však z </w:t>
            </w:r>
            <w:proofErr w:type="spellStart"/>
            <w:r w:rsidRPr="00187323">
              <w:rPr>
                <w:bCs/>
                <w:color w:val="auto"/>
                <w:sz w:val="22"/>
                <w:szCs w:val="22"/>
              </w:rPr>
              <w:t>prudenciálneho</w:t>
            </w:r>
            <w:proofErr w:type="spellEnd"/>
            <w:r w:rsidRPr="00187323">
              <w:rPr>
                <w:bCs/>
                <w:color w:val="auto"/>
                <w:sz w:val="22"/>
                <w:szCs w:val="22"/>
              </w:rPr>
              <w:t xml:space="preserve"> hľadiska nebol žiaduci a nebol by ani v súlade s aplikačnou praxou NBS.</w:t>
            </w:r>
            <w:r>
              <w:rPr>
                <w:bCs/>
                <w:color w:val="auto"/>
                <w:sz w:val="22"/>
                <w:szCs w:val="22"/>
              </w:rPr>
              <w:t xml:space="preserve"> Z tohto dôvodu nepovažujeme úpravu za </w:t>
            </w:r>
            <w:proofErr w:type="spellStart"/>
            <w:r>
              <w:rPr>
                <w:bCs/>
                <w:color w:val="auto"/>
                <w:sz w:val="22"/>
                <w:szCs w:val="22"/>
              </w:rPr>
              <w:t>goldplating</w:t>
            </w:r>
            <w:proofErr w:type="spellEnd"/>
            <w:r>
              <w:rPr>
                <w:bCs/>
                <w:color w:val="auto"/>
                <w:sz w:val="22"/>
                <w:szCs w:val="22"/>
              </w:rPr>
              <w:t>.</w:t>
            </w:r>
          </w:p>
          <w:p w:rsidR="00E26C1C" w:rsidRDefault="00E26C1C" w:rsidP="00D27093">
            <w:pPr>
              <w:jc w:val="both"/>
              <w:rPr>
                <w:bCs/>
              </w:rPr>
            </w:pPr>
          </w:p>
          <w:p w:rsidR="00E26C1C" w:rsidRPr="00D12314" w:rsidRDefault="00E26C1C" w:rsidP="00D27093">
            <w:pPr>
              <w:jc w:val="both"/>
              <w:rPr>
                <w:bCs/>
              </w:rPr>
            </w:pPr>
          </w:p>
          <w:p w:rsidR="00E26C1C" w:rsidRPr="00D12314" w:rsidRDefault="00E26C1C" w:rsidP="00D27093">
            <w:pPr>
              <w:jc w:val="both"/>
              <w:rPr>
                <w:bCs/>
              </w:rPr>
            </w:pPr>
            <w:r w:rsidRPr="00D12314">
              <w:rPr>
                <w:bCs/>
              </w:rPr>
              <w:t xml:space="preserve">K tabuľke zhody 07f_TZ_2009-110_PPK: Pri transponovaní článku 9 veta 1 smernice Európskeho parlamentu a Rady 2009/110/ES zo 16. septembra 2009 sa Komisia domnieva, že dochádza ku </w:t>
            </w:r>
            <w:proofErr w:type="spellStart"/>
            <w:r w:rsidRPr="00D12314">
              <w:rPr>
                <w:bCs/>
              </w:rPr>
              <w:t>goldplatingu</w:t>
            </w:r>
            <w:proofErr w:type="spellEnd"/>
            <w:r w:rsidRPr="00D12314">
              <w:rPr>
                <w:bCs/>
              </w:rPr>
              <w:t xml:space="preserve"> typu b) tým, že Slovenská republika stanovila podmienku splatného peňažného vkladu do základného imania inštitúcie elektronických peňazí nad rámec smernice. Vzhľadom na uvedené Komisia žiada náležite vyplniť stĺpce (9) a (10) tabuľky zhody a pod tabuľkou zhody v poznámke „Vyjadrenie k opodstatnenosti </w:t>
            </w:r>
            <w:proofErr w:type="spellStart"/>
            <w:r w:rsidRPr="00D12314">
              <w:rPr>
                <w:bCs/>
              </w:rPr>
              <w:t>goldplatingu</w:t>
            </w:r>
            <w:proofErr w:type="spellEnd"/>
            <w:r w:rsidRPr="00D12314">
              <w:rPr>
                <w:bCs/>
              </w:rPr>
              <w:t xml:space="preserve"> a jeho odôvodnenie“ doplniť odôvodnenie takejto úpravy.</w:t>
            </w:r>
          </w:p>
          <w:p w:rsidR="00E26C1C" w:rsidRDefault="00E26C1C" w:rsidP="00D27093">
            <w:pPr>
              <w:jc w:val="both"/>
              <w:rPr>
                <w:bCs/>
              </w:rPr>
            </w:pPr>
            <w:r w:rsidRPr="00D12314">
              <w:rPr>
                <w:bCs/>
                <w:u w:val="single"/>
              </w:rPr>
              <w:t>Odôvodnenie:</w:t>
            </w:r>
            <w:r w:rsidRPr="00D12314">
              <w:rPr>
                <w:bCs/>
              </w:rPr>
              <w:t xml:space="preserve"> Slovenská republika v predkladanom návrhu právneho predpisu v čl. X</w:t>
            </w:r>
            <w:r w:rsidR="00454637">
              <w:rPr>
                <w:bCs/>
              </w:rPr>
              <w:t>I</w:t>
            </w:r>
            <w:r w:rsidRPr="00D12314">
              <w:rPr>
                <w:bCs/>
              </w:rPr>
              <w:t xml:space="preserve"> §</w:t>
            </w:r>
            <w:r w:rsidR="00454637">
              <w:rPr>
                <w:bCs/>
              </w:rPr>
              <w:t xml:space="preserve"> </w:t>
            </w:r>
            <w:r w:rsidRPr="00D12314">
              <w:rPr>
                <w:bCs/>
              </w:rPr>
              <w:t xml:space="preserve">87 ods. 2 stanovila podmienky nad rámec smernice EÚ 2009/110. Smernica neustanovuje takúto podmienku; dochádza tým ku </w:t>
            </w:r>
            <w:proofErr w:type="spellStart"/>
            <w:r w:rsidRPr="00D12314">
              <w:rPr>
                <w:bCs/>
              </w:rPr>
              <w:t>goldplatingu</w:t>
            </w:r>
            <w:proofErr w:type="spellEnd"/>
            <w:r w:rsidRPr="00D12314">
              <w:rPr>
                <w:bCs/>
              </w:rPr>
              <w:t xml:space="preserve"> typu b).</w:t>
            </w:r>
          </w:p>
          <w:p w:rsidR="00E26C1C" w:rsidRDefault="00E26C1C" w:rsidP="00D27093">
            <w:pPr>
              <w:jc w:val="both"/>
              <w:rPr>
                <w:bCs/>
              </w:rPr>
            </w:pPr>
          </w:p>
          <w:p w:rsidR="00E26C1C" w:rsidRPr="00994550" w:rsidRDefault="00E26C1C" w:rsidP="00D27093">
            <w:pPr>
              <w:tabs>
                <w:tab w:val="left" w:pos="1110"/>
              </w:tabs>
              <w:ind w:left="306" w:right="-2"/>
              <w:jc w:val="both"/>
              <w:rPr>
                <w:b/>
                <w:bCs/>
                <w:u w:val="single"/>
              </w:rPr>
            </w:pPr>
            <w:r w:rsidRPr="00994550">
              <w:rPr>
                <w:b/>
                <w:bCs/>
                <w:u w:val="single"/>
              </w:rPr>
              <w:t>Vyjadrenie predkladateľa:</w:t>
            </w:r>
          </w:p>
          <w:p w:rsidR="00E26C1C" w:rsidRPr="00187323" w:rsidRDefault="00E26C1C" w:rsidP="00D27093">
            <w:pPr>
              <w:pStyle w:val="Default"/>
              <w:ind w:left="306"/>
              <w:jc w:val="both"/>
              <w:rPr>
                <w:bCs/>
                <w:color w:val="auto"/>
                <w:sz w:val="22"/>
                <w:szCs w:val="22"/>
              </w:rPr>
            </w:pPr>
            <w:r w:rsidRPr="000B09BC">
              <w:rPr>
                <w:bCs/>
                <w:color w:val="auto"/>
                <w:sz w:val="22"/>
                <w:szCs w:val="22"/>
              </w:rPr>
              <w:t xml:space="preserve">Navrhovaným znením § 87 ods. 2 dochádza k zníženiu požiadavky na počiatočný kapitál na polovicu súčasného stavu. Smernica síce umožňuje neuplatňovať túto požiadavku, takýto stav by však z </w:t>
            </w:r>
            <w:proofErr w:type="spellStart"/>
            <w:r w:rsidRPr="000B09BC">
              <w:rPr>
                <w:bCs/>
                <w:color w:val="auto"/>
                <w:sz w:val="22"/>
                <w:szCs w:val="22"/>
              </w:rPr>
              <w:t>prudenciálneho</w:t>
            </w:r>
            <w:proofErr w:type="spellEnd"/>
            <w:r w:rsidRPr="000B09BC">
              <w:rPr>
                <w:bCs/>
                <w:color w:val="auto"/>
                <w:sz w:val="22"/>
                <w:szCs w:val="22"/>
              </w:rPr>
              <w:t xml:space="preserve"> hľadiska nebol žiaduci a nebol by ani v súlade s aplikačnou praxou NBS.</w:t>
            </w:r>
            <w:r>
              <w:rPr>
                <w:bCs/>
                <w:color w:val="auto"/>
                <w:sz w:val="22"/>
                <w:szCs w:val="22"/>
              </w:rPr>
              <w:t xml:space="preserve"> Z tohto dôvodu nepovažujeme úpravu za </w:t>
            </w:r>
            <w:proofErr w:type="spellStart"/>
            <w:r>
              <w:rPr>
                <w:bCs/>
                <w:color w:val="auto"/>
                <w:sz w:val="22"/>
                <w:szCs w:val="22"/>
              </w:rPr>
              <w:t>goldplating</w:t>
            </w:r>
            <w:proofErr w:type="spellEnd"/>
            <w:r>
              <w:rPr>
                <w:bCs/>
                <w:color w:val="auto"/>
                <w:sz w:val="22"/>
                <w:szCs w:val="22"/>
              </w:rPr>
              <w:t>.</w:t>
            </w:r>
          </w:p>
          <w:p w:rsidR="00E26C1C" w:rsidRPr="00D12314" w:rsidRDefault="00E26C1C" w:rsidP="00D27093">
            <w:pPr>
              <w:jc w:val="both"/>
              <w:rPr>
                <w:bCs/>
              </w:rPr>
            </w:pPr>
          </w:p>
          <w:p w:rsidR="00E26C1C" w:rsidRPr="00D12314" w:rsidRDefault="00E26C1C" w:rsidP="00D27093">
            <w:pPr>
              <w:jc w:val="both"/>
              <w:rPr>
                <w:bCs/>
              </w:rPr>
            </w:pPr>
          </w:p>
          <w:p w:rsidR="00E26C1C" w:rsidRPr="00D12314" w:rsidRDefault="00E26C1C" w:rsidP="00D27093">
            <w:pPr>
              <w:jc w:val="both"/>
              <w:rPr>
                <w:bCs/>
              </w:rPr>
            </w:pPr>
            <w:r w:rsidRPr="00D12314">
              <w:rPr>
                <w:bCs/>
              </w:rPr>
              <w:t xml:space="preserve">K tabuľke zhody s nariadením (EÚ) 2023/1114: V čl. 148 nariadenia (EÚ) 2023/114 sa ustanovuje transpozičná lehota pre zmeny smerníc 2013/36/EÚ a smernice (EÚ) 2019/1937 na </w:t>
            </w:r>
            <w:r w:rsidRPr="00D12314">
              <w:rPr>
                <w:bCs/>
                <w:u w:val="single"/>
              </w:rPr>
              <w:t>30. december 2024</w:t>
            </w:r>
            <w:r w:rsidRPr="00D12314">
              <w:rPr>
                <w:bCs/>
              </w:rPr>
              <w:t xml:space="preserve">, pričom slovenská právna úprava ustanovuje transpozičnú lehotu na </w:t>
            </w:r>
            <w:r w:rsidRPr="00D12314">
              <w:rPr>
                <w:bCs/>
                <w:u w:val="single"/>
              </w:rPr>
              <w:t>30. jún 2024</w:t>
            </w:r>
            <w:r w:rsidRPr="00D12314">
              <w:rPr>
                <w:bCs/>
              </w:rPr>
              <w:t xml:space="preserve">. V uvedenom prípade Komisia upozorňuje, že dochádza ku </w:t>
            </w:r>
            <w:proofErr w:type="spellStart"/>
            <w:r w:rsidRPr="00D12314">
              <w:rPr>
                <w:bCs/>
              </w:rPr>
              <w:t>goldplatingu</w:t>
            </w:r>
            <w:proofErr w:type="spellEnd"/>
            <w:r w:rsidRPr="00D12314">
              <w:rPr>
                <w:bCs/>
              </w:rPr>
              <w:t xml:space="preserve"> a to - „skoršia transpozícia“, kedy sa ustanovuje v slovenskom právnom poriadku skoršia transpozícia pred termínom, ktorý ustanovuje smernica. V zmysle uvedeného Komisia žiada náležite vyplniť stĺpce (9) a (10) tabuľky zhody, pod tabuľkou zhody uviesť </w:t>
            </w:r>
            <w:r w:rsidRPr="00D12314">
              <w:rPr>
                <w:bCs/>
                <w:i/>
                <w:iCs/>
              </w:rPr>
              <w:t xml:space="preserve">„Vyjadrenie k opodstatnenosti </w:t>
            </w:r>
            <w:proofErr w:type="spellStart"/>
            <w:r w:rsidRPr="00D12314">
              <w:rPr>
                <w:bCs/>
                <w:i/>
                <w:iCs/>
              </w:rPr>
              <w:t>goldplatingu</w:t>
            </w:r>
            <w:proofErr w:type="spellEnd"/>
            <w:r w:rsidRPr="00D12314">
              <w:rPr>
                <w:bCs/>
                <w:i/>
                <w:iCs/>
              </w:rPr>
              <w:t xml:space="preserve"> a jeho odôvodnenie“ </w:t>
            </w:r>
            <w:r w:rsidRPr="00D12314">
              <w:rPr>
                <w:bCs/>
              </w:rPr>
              <w:t>a uvedené reflektovať v  doložke vybraných vplyvov.</w:t>
            </w:r>
          </w:p>
          <w:p w:rsidR="00E26C1C" w:rsidRDefault="00E26C1C" w:rsidP="00D27093">
            <w:pPr>
              <w:rPr>
                <w:b/>
                <w:lang w:eastAsia="sk-SK"/>
              </w:rPr>
            </w:pPr>
          </w:p>
          <w:p w:rsidR="00E26C1C" w:rsidRPr="00994550" w:rsidRDefault="00E26C1C" w:rsidP="00D27093">
            <w:pPr>
              <w:tabs>
                <w:tab w:val="left" w:pos="1110"/>
              </w:tabs>
              <w:ind w:left="306" w:right="-2"/>
              <w:jc w:val="both"/>
              <w:rPr>
                <w:b/>
                <w:bCs/>
                <w:u w:val="single"/>
              </w:rPr>
            </w:pPr>
            <w:r w:rsidRPr="00994550">
              <w:rPr>
                <w:b/>
                <w:bCs/>
                <w:u w:val="single"/>
              </w:rPr>
              <w:t>Vyjadrenie predkladateľa:</w:t>
            </w:r>
          </w:p>
          <w:p w:rsidR="00E26C1C" w:rsidRDefault="00E26C1C" w:rsidP="00D27093">
            <w:pPr>
              <w:pStyle w:val="Default"/>
              <w:ind w:left="306"/>
              <w:jc w:val="both"/>
              <w:rPr>
                <w:bCs/>
                <w:color w:val="auto"/>
                <w:sz w:val="22"/>
                <w:szCs w:val="22"/>
              </w:rPr>
            </w:pPr>
            <w:r>
              <w:rPr>
                <w:bCs/>
                <w:color w:val="auto"/>
                <w:sz w:val="22"/>
                <w:szCs w:val="22"/>
              </w:rPr>
              <w:t xml:space="preserve">Návrh zákona v čl. XIII sa navrhuje účinnosť ustanovení, ktoré transponujú čl. 146 nariadenia MiCA (zmena Prílohy I smernice 2013/36/EÚ), v súlade s čl. 149 nariadenia MiCA na 30. decembra 2024, tzn. nedochádza k skoršej transpozícii. Z tohto dôvodu nedochádza ku </w:t>
            </w:r>
            <w:proofErr w:type="spellStart"/>
            <w:r>
              <w:rPr>
                <w:bCs/>
                <w:color w:val="auto"/>
                <w:sz w:val="22"/>
                <w:szCs w:val="22"/>
              </w:rPr>
              <w:t>goldplatingu</w:t>
            </w:r>
            <w:proofErr w:type="spellEnd"/>
            <w:r>
              <w:rPr>
                <w:bCs/>
                <w:color w:val="auto"/>
                <w:sz w:val="22"/>
                <w:szCs w:val="22"/>
              </w:rPr>
              <w:t>. Preklep v príslušnej tabuľke zhody bol opravený.</w:t>
            </w:r>
          </w:p>
          <w:p w:rsidR="00E26C1C" w:rsidRPr="00994550" w:rsidRDefault="00E26C1C" w:rsidP="00D27093">
            <w:pPr>
              <w:rPr>
                <w:b/>
                <w:sz w:val="20"/>
                <w:szCs w:val="20"/>
                <w:lang w:eastAsia="sk-SK"/>
              </w:rPr>
            </w:pPr>
          </w:p>
        </w:tc>
      </w:tr>
      <w:tr w:rsidR="00E26C1C" w:rsidRPr="00994550" w:rsidTr="00D27093">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E26C1C" w:rsidRPr="00994550" w:rsidRDefault="00E26C1C" w:rsidP="00D27093">
            <w:pPr>
              <w:numPr>
                <w:ilvl w:val="0"/>
                <w:numId w:val="1"/>
              </w:numPr>
              <w:ind w:left="450" w:hanging="425"/>
              <w:contextualSpacing/>
              <w:jc w:val="both"/>
              <w:rPr>
                <w:rFonts w:eastAsia="Calibri"/>
                <w:b/>
              </w:rPr>
            </w:pPr>
            <w:r w:rsidRPr="00994550">
              <w:rPr>
                <w:rFonts w:eastAsia="Calibri"/>
                <w:b/>
              </w:rPr>
              <w:lastRenderedPageBreak/>
              <w:t>Stanovisko Komisie na posudzovanie vybraných vplyvov zo záverečného posúdenia č. ..........</w:t>
            </w:r>
            <w:r w:rsidRPr="00994550">
              <w:rPr>
                <w:rFonts w:eastAsia="Calibri"/>
              </w:rPr>
              <w:t xml:space="preserve"> (v prípade, ak sa uskutočnilo v zmysle bodu 9.1. Jednotnej metodiky) </w:t>
            </w:r>
          </w:p>
        </w:tc>
      </w:tr>
      <w:tr w:rsidR="00E26C1C" w:rsidRPr="00612E08" w:rsidTr="00D27093">
        <w:tblPrEx>
          <w:tblBorders>
            <w:insideH w:val="single" w:sz="4" w:space="0" w:color="FFFFFF"/>
            <w:insideV w:val="single" w:sz="4" w:space="0" w:color="FFFFFF"/>
          </w:tblBorders>
        </w:tblPrEx>
        <w:tc>
          <w:tcPr>
            <w:tcW w:w="9176" w:type="dxa"/>
            <w:shd w:val="clear" w:color="auto" w:fill="FFFFFF"/>
          </w:tcPr>
          <w:p w:rsidR="00E26C1C" w:rsidRPr="00994550" w:rsidRDefault="00E26C1C" w:rsidP="00D27093">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26C1C" w:rsidRPr="00994550" w:rsidTr="00D27093">
              <w:trPr>
                <w:trHeight w:val="396"/>
              </w:trPr>
              <w:tc>
                <w:tcPr>
                  <w:tcW w:w="2552" w:type="dxa"/>
                </w:tcPr>
                <w:p w:rsidR="00E26C1C" w:rsidRPr="00994550" w:rsidRDefault="00BA2478" w:rsidP="00D27093">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EndPr/>
                    <w:sdtContent>
                      <w:r w:rsidR="00E26C1C" w:rsidRPr="00994550">
                        <w:rPr>
                          <w:rFonts w:ascii="MS Gothic" w:eastAsia="MS Gothic" w:hAnsi="MS Gothic" w:hint="eastAsia"/>
                          <w:b/>
                          <w:sz w:val="20"/>
                          <w:szCs w:val="20"/>
                          <w:lang w:eastAsia="sk-SK"/>
                        </w:rPr>
                        <w:t>☐</w:t>
                      </w:r>
                    </w:sdtContent>
                  </w:sdt>
                  <w:r w:rsidR="00E26C1C" w:rsidRPr="00994550">
                    <w:rPr>
                      <w:b/>
                      <w:sz w:val="20"/>
                      <w:szCs w:val="20"/>
                      <w:lang w:eastAsia="sk-SK"/>
                    </w:rPr>
                    <w:t xml:space="preserve">   Súhlasné </w:t>
                  </w:r>
                </w:p>
              </w:tc>
              <w:tc>
                <w:tcPr>
                  <w:tcW w:w="3827" w:type="dxa"/>
                </w:tcPr>
                <w:p w:rsidR="00E26C1C" w:rsidRPr="00994550" w:rsidRDefault="00BA2478" w:rsidP="00D27093">
                  <w:pPr>
                    <w:rPr>
                      <w:b/>
                      <w:sz w:val="20"/>
                      <w:szCs w:val="20"/>
                      <w:lang w:eastAsia="sk-SK"/>
                    </w:rPr>
                  </w:pPr>
                  <w:sdt>
                    <w:sdtPr>
                      <w:rPr>
                        <w:b/>
                        <w:sz w:val="20"/>
                        <w:szCs w:val="20"/>
                        <w:lang w:eastAsia="sk-SK"/>
                      </w:rPr>
                      <w:id w:val="953831761"/>
                      <w14:checkbox>
                        <w14:checked w14:val="0"/>
                        <w14:checkedState w14:val="2612" w14:font="MS Gothic"/>
                        <w14:uncheckedState w14:val="2610" w14:font="MS Gothic"/>
                      </w14:checkbox>
                    </w:sdtPr>
                    <w:sdtEndPr/>
                    <w:sdtContent>
                      <w:r w:rsidR="00E26C1C" w:rsidRPr="00994550">
                        <w:rPr>
                          <w:rFonts w:ascii="MS Gothic" w:eastAsia="MS Gothic" w:hAnsi="MS Gothic" w:hint="eastAsia"/>
                          <w:b/>
                          <w:sz w:val="20"/>
                          <w:szCs w:val="20"/>
                          <w:lang w:eastAsia="sk-SK"/>
                        </w:rPr>
                        <w:t>☐</w:t>
                      </w:r>
                    </w:sdtContent>
                  </w:sdt>
                  <w:r w:rsidR="00E26C1C" w:rsidRPr="00994550">
                    <w:rPr>
                      <w:b/>
                      <w:sz w:val="20"/>
                      <w:szCs w:val="20"/>
                      <w:lang w:eastAsia="sk-SK"/>
                    </w:rPr>
                    <w:t xml:space="preserve">  Súhlasné s  návrhom na dopracovanie</w:t>
                  </w:r>
                </w:p>
              </w:tc>
              <w:tc>
                <w:tcPr>
                  <w:tcW w:w="2534" w:type="dxa"/>
                </w:tcPr>
                <w:p w:rsidR="00E26C1C" w:rsidRPr="00994550" w:rsidRDefault="00BA2478" w:rsidP="00D27093">
                  <w:pPr>
                    <w:ind w:right="459"/>
                    <w:rPr>
                      <w:b/>
                      <w:sz w:val="20"/>
                      <w:szCs w:val="20"/>
                      <w:lang w:eastAsia="sk-SK"/>
                    </w:rPr>
                  </w:pPr>
                  <w:sdt>
                    <w:sdtPr>
                      <w:rPr>
                        <w:b/>
                        <w:sz w:val="20"/>
                        <w:szCs w:val="20"/>
                        <w:lang w:eastAsia="sk-SK"/>
                      </w:rPr>
                      <w:id w:val="-361740452"/>
                      <w14:checkbox>
                        <w14:checked w14:val="0"/>
                        <w14:checkedState w14:val="2612" w14:font="MS Gothic"/>
                        <w14:uncheckedState w14:val="2610" w14:font="MS Gothic"/>
                      </w14:checkbox>
                    </w:sdtPr>
                    <w:sdtEndPr/>
                    <w:sdtContent>
                      <w:r w:rsidR="00E26C1C" w:rsidRPr="00994550">
                        <w:rPr>
                          <w:rFonts w:ascii="MS Gothic" w:eastAsia="MS Gothic" w:hAnsi="MS Gothic" w:hint="eastAsia"/>
                          <w:b/>
                          <w:sz w:val="20"/>
                          <w:szCs w:val="20"/>
                          <w:lang w:eastAsia="sk-SK"/>
                        </w:rPr>
                        <w:t>☐</w:t>
                      </w:r>
                    </w:sdtContent>
                  </w:sdt>
                  <w:r w:rsidR="00E26C1C" w:rsidRPr="00994550">
                    <w:rPr>
                      <w:b/>
                      <w:sz w:val="20"/>
                      <w:szCs w:val="20"/>
                      <w:lang w:eastAsia="sk-SK"/>
                    </w:rPr>
                    <w:t xml:space="preserve">  Nesúhlasné</w:t>
                  </w:r>
                </w:p>
              </w:tc>
            </w:tr>
          </w:tbl>
          <w:p w:rsidR="00E26C1C" w:rsidRPr="00612E08" w:rsidRDefault="00E26C1C" w:rsidP="00E26C1C">
            <w:pPr>
              <w:jc w:val="both"/>
              <w:rPr>
                <w:b/>
                <w:sz w:val="20"/>
                <w:szCs w:val="20"/>
                <w:lang w:eastAsia="sk-SK"/>
              </w:rPr>
            </w:pPr>
            <w:r w:rsidRPr="00994550">
              <w:rPr>
                <w:b/>
                <w:sz w:val="20"/>
                <w:szCs w:val="20"/>
                <w:lang w:eastAsia="sk-SK"/>
              </w:rPr>
              <w:t>Uveďte pripomienky zo stanoviska Komisie z časti II. spolu s Vaším vyhodnotením:</w:t>
            </w:r>
          </w:p>
          <w:p w:rsidR="00E26C1C" w:rsidRPr="00612E08" w:rsidRDefault="00E26C1C" w:rsidP="00D27093">
            <w:pPr>
              <w:rPr>
                <w:b/>
                <w:sz w:val="20"/>
                <w:szCs w:val="20"/>
                <w:lang w:eastAsia="sk-SK"/>
              </w:rPr>
            </w:pPr>
          </w:p>
        </w:tc>
      </w:tr>
    </w:tbl>
    <w:p w:rsidR="00E26C1C" w:rsidRDefault="00E26C1C">
      <w:pPr>
        <w:spacing w:after="160" w:line="259" w:lineRule="auto"/>
      </w:pPr>
      <w:r>
        <w:br w:type="page"/>
      </w:r>
    </w:p>
    <w:p w:rsidR="00E26C1C" w:rsidRPr="007B7470" w:rsidRDefault="00E26C1C" w:rsidP="00E26C1C">
      <w:pPr>
        <w:jc w:val="center"/>
        <w:rPr>
          <w:b/>
          <w:bCs/>
          <w:sz w:val="28"/>
          <w:szCs w:val="28"/>
          <w:lang w:eastAsia="sk-SK"/>
        </w:rPr>
      </w:pPr>
      <w:r w:rsidRPr="007B7470">
        <w:rPr>
          <w:b/>
          <w:bCs/>
          <w:sz w:val="28"/>
          <w:szCs w:val="28"/>
          <w:lang w:eastAsia="sk-SK"/>
        </w:rPr>
        <w:lastRenderedPageBreak/>
        <w:t>Analýza vplyvov na rozpočet verejnej správy,</w:t>
      </w:r>
    </w:p>
    <w:p w:rsidR="00E26C1C" w:rsidRPr="007B7470" w:rsidRDefault="00E26C1C" w:rsidP="00E26C1C">
      <w:pPr>
        <w:jc w:val="center"/>
        <w:rPr>
          <w:b/>
          <w:bCs/>
          <w:sz w:val="28"/>
          <w:szCs w:val="28"/>
          <w:lang w:eastAsia="sk-SK"/>
        </w:rPr>
      </w:pPr>
      <w:r w:rsidRPr="007B7470">
        <w:rPr>
          <w:b/>
          <w:bCs/>
          <w:sz w:val="28"/>
          <w:szCs w:val="28"/>
          <w:lang w:eastAsia="sk-SK"/>
        </w:rPr>
        <w:t>na zamestnanosť vo verejnej správe a financovanie návrhu</w:t>
      </w:r>
    </w:p>
    <w:p w:rsidR="00E26C1C" w:rsidRPr="007B7470" w:rsidRDefault="00E26C1C" w:rsidP="00E26C1C">
      <w:pPr>
        <w:jc w:val="right"/>
        <w:rPr>
          <w:b/>
          <w:bCs/>
          <w:lang w:eastAsia="sk-SK"/>
        </w:rPr>
      </w:pPr>
    </w:p>
    <w:p w:rsidR="00E26C1C" w:rsidRPr="007B7470" w:rsidRDefault="00E26C1C" w:rsidP="00E26C1C">
      <w:pPr>
        <w:jc w:val="right"/>
        <w:rPr>
          <w:b/>
          <w:bCs/>
          <w:lang w:eastAsia="sk-SK"/>
        </w:rPr>
      </w:pPr>
    </w:p>
    <w:p w:rsidR="00E26C1C" w:rsidRPr="007B7470" w:rsidRDefault="00E26C1C" w:rsidP="00E26C1C">
      <w:pPr>
        <w:rPr>
          <w:b/>
          <w:bCs/>
          <w:lang w:eastAsia="sk-SK"/>
        </w:rPr>
      </w:pPr>
      <w:r w:rsidRPr="007B7470">
        <w:rPr>
          <w:b/>
          <w:bCs/>
          <w:lang w:eastAsia="sk-SK"/>
        </w:rPr>
        <w:t>2.1 Zhrnutie vplyvov na rozpočet verejnej správy v návrhu</w:t>
      </w:r>
    </w:p>
    <w:p w:rsidR="00E26C1C" w:rsidRPr="007B7470" w:rsidRDefault="00E26C1C" w:rsidP="00E26C1C">
      <w:pPr>
        <w:jc w:val="right"/>
        <w:rPr>
          <w:sz w:val="20"/>
          <w:szCs w:val="20"/>
          <w:lang w:eastAsia="sk-SK"/>
        </w:rPr>
      </w:pPr>
      <w:r w:rsidRPr="007B7470">
        <w:rPr>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E26C1C" w:rsidRPr="007B7470" w:rsidTr="00D27093">
        <w:trPr>
          <w:cantSplit/>
          <w:trHeight w:val="194"/>
          <w:jc w:val="center"/>
        </w:trPr>
        <w:tc>
          <w:tcPr>
            <w:tcW w:w="4661" w:type="dxa"/>
            <w:vMerge w:val="restart"/>
            <w:shd w:val="clear" w:color="auto" w:fill="BFBFBF" w:themeFill="background1" w:themeFillShade="BF"/>
            <w:vAlign w:val="center"/>
          </w:tcPr>
          <w:p w:rsidR="00E26C1C" w:rsidRPr="007B7470" w:rsidRDefault="00E26C1C" w:rsidP="00D27093">
            <w:pPr>
              <w:jc w:val="center"/>
              <w:rPr>
                <w:b/>
                <w:bCs/>
                <w:lang w:eastAsia="sk-SK"/>
              </w:rPr>
            </w:pPr>
            <w:bookmarkStart w:id="1" w:name="OLE_LINK1"/>
            <w:r w:rsidRPr="007B7470">
              <w:rPr>
                <w:b/>
                <w:bCs/>
                <w:lang w:eastAsia="sk-SK"/>
              </w:rPr>
              <w:t>Vplyvy na rozpočet verejnej správy</w:t>
            </w:r>
          </w:p>
        </w:tc>
        <w:tc>
          <w:tcPr>
            <w:tcW w:w="5068" w:type="dxa"/>
            <w:gridSpan w:val="4"/>
            <w:shd w:val="clear" w:color="auto" w:fill="BFBFBF" w:themeFill="background1" w:themeFillShade="BF"/>
            <w:vAlign w:val="center"/>
          </w:tcPr>
          <w:p w:rsidR="00E26C1C" w:rsidRPr="007B7470" w:rsidRDefault="00E26C1C" w:rsidP="00D27093">
            <w:pPr>
              <w:jc w:val="center"/>
              <w:rPr>
                <w:b/>
                <w:bCs/>
                <w:lang w:eastAsia="sk-SK"/>
              </w:rPr>
            </w:pPr>
            <w:r w:rsidRPr="007B7470">
              <w:rPr>
                <w:b/>
                <w:bCs/>
                <w:lang w:eastAsia="sk-SK"/>
              </w:rPr>
              <w:t>Vplyv na rozpočet verejnej správy (v eurách)</w:t>
            </w:r>
          </w:p>
        </w:tc>
      </w:tr>
      <w:tr w:rsidR="00E26C1C" w:rsidRPr="007B7470" w:rsidTr="00D27093">
        <w:trPr>
          <w:cantSplit/>
          <w:trHeight w:val="70"/>
          <w:jc w:val="center"/>
        </w:trPr>
        <w:tc>
          <w:tcPr>
            <w:tcW w:w="4661" w:type="dxa"/>
            <w:vMerge/>
            <w:shd w:val="clear" w:color="auto" w:fill="BFBFBF" w:themeFill="background1" w:themeFillShade="BF"/>
            <w:vAlign w:val="center"/>
          </w:tcPr>
          <w:p w:rsidR="00E26C1C" w:rsidRPr="007B7470" w:rsidRDefault="00E26C1C" w:rsidP="00D27093">
            <w:pPr>
              <w:jc w:val="center"/>
              <w:rPr>
                <w:b/>
                <w:bCs/>
                <w:lang w:eastAsia="sk-SK"/>
              </w:rPr>
            </w:pPr>
          </w:p>
        </w:tc>
        <w:tc>
          <w:tcPr>
            <w:tcW w:w="1267" w:type="dxa"/>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2024</w:t>
            </w:r>
          </w:p>
        </w:tc>
        <w:tc>
          <w:tcPr>
            <w:tcW w:w="1267" w:type="dxa"/>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2025</w:t>
            </w:r>
          </w:p>
        </w:tc>
        <w:tc>
          <w:tcPr>
            <w:tcW w:w="1267" w:type="dxa"/>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2026</w:t>
            </w:r>
          </w:p>
        </w:tc>
        <w:tc>
          <w:tcPr>
            <w:tcW w:w="1267" w:type="dxa"/>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2027</w:t>
            </w:r>
          </w:p>
        </w:tc>
      </w:tr>
      <w:tr w:rsidR="00E26C1C" w:rsidRPr="007B7470" w:rsidTr="00D27093">
        <w:trPr>
          <w:trHeight w:val="70"/>
          <w:jc w:val="center"/>
        </w:trPr>
        <w:tc>
          <w:tcPr>
            <w:tcW w:w="4661" w:type="dxa"/>
            <w:shd w:val="clear" w:color="auto" w:fill="C0C0C0"/>
            <w:noWrap/>
            <w:vAlign w:val="center"/>
          </w:tcPr>
          <w:p w:rsidR="00E26C1C" w:rsidRPr="007B7470" w:rsidRDefault="00E26C1C" w:rsidP="00D27093">
            <w:pPr>
              <w:rPr>
                <w:lang w:eastAsia="sk-SK"/>
              </w:rPr>
            </w:pPr>
            <w:r w:rsidRPr="007B7470">
              <w:rPr>
                <w:b/>
                <w:bCs/>
                <w:lang w:eastAsia="sk-SK"/>
              </w:rPr>
              <w:t>Príjmy verejnej správy celkom</w:t>
            </w:r>
          </w:p>
        </w:tc>
        <w:tc>
          <w:tcPr>
            <w:tcW w:w="1267" w:type="dxa"/>
            <w:shd w:val="clear" w:color="auto" w:fill="C0C0C0"/>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C0C0C0"/>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C0C0C0"/>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C0C0C0"/>
            <w:vAlign w:val="center"/>
          </w:tcPr>
          <w:p w:rsidR="00E26C1C" w:rsidRPr="007B7470" w:rsidRDefault="00E26C1C" w:rsidP="00D27093">
            <w:pPr>
              <w:jc w:val="right"/>
              <w:rPr>
                <w:b/>
                <w:bCs/>
                <w:lang w:eastAsia="sk-SK"/>
              </w:rPr>
            </w:pPr>
            <w:r w:rsidRPr="007B7470">
              <w:rPr>
                <w:b/>
                <w:bCs/>
                <w:lang w:eastAsia="sk-SK"/>
              </w:rPr>
              <w:t>0</w:t>
            </w:r>
          </w:p>
        </w:tc>
      </w:tr>
      <w:tr w:rsidR="00E26C1C" w:rsidRPr="007B7470" w:rsidTr="00D27093">
        <w:trPr>
          <w:trHeight w:val="132"/>
          <w:jc w:val="center"/>
        </w:trPr>
        <w:tc>
          <w:tcPr>
            <w:tcW w:w="4661" w:type="dxa"/>
            <w:noWrap/>
            <w:vAlign w:val="center"/>
          </w:tcPr>
          <w:p w:rsidR="00E26C1C" w:rsidRPr="007B7470" w:rsidRDefault="00E26C1C" w:rsidP="00D27093">
            <w:pPr>
              <w:rPr>
                <w:lang w:eastAsia="sk-SK"/>
              </w:rPr>
            </w:pPr>
            <w:r w:rsidRPr="007B7470">
              <w:rPr>
                <w:lang w:eastAsia="sk-SK"/>
              </w:rPr>
              <w:t>v tom: za každý subjekt verejnej správy zvlášť</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xml:space="preserve">z toho:  </w:t>
            </w:r>
          </w:p>
        </w:tc>
        <w:tc>
          <w:tcPr>
            <w:tcW w:w="1267" w:type="dxa"/>
            <w:noWrap/>
            <w:vAlign w:val="center"/>
          </w:tcPr>
          <w:p w:rsidR="00E26C1C" w:rsidRPr="007B7470" w:rsidRDefault="00E26C1C" w:rsidP="00D27093">
            <w:pPr>
              <w:jc w:val="right"/>
              <w:rPr>
                <w:b/>
                <w:bCs/>
                <w:iCs/>
                <w:lang w:eastAsia="sk-SK"/>
              </w:rPr>
            </w:pPr>
          </w:p>
        </w:tc>
        <w:tc>
          <w:tcPr>
            <w:tcW w:w="1267" w:type="dxa"/>
            <w:noWrap/>
            <w:vAlign w:val="center"/>
          </w:tcPr>
          <w:p w:rsidR="00E26C1C" w:rsidRPr="007B7470" w:rsidRDefault="00E26C1C" w:rsidP="00D27093">
            <w:pPr>
              <w:jc w:val="right"/>
              <w:rPr>
                <w:b/>
                <w:bCs/>
                <w:iCs/>
                <w:lang w:eastAsia="sk-SK"/>
              </w:rPr>
            </w:pPr>
          </w:p>
        </w:tc>
        <w:tc>
          <w:tcPr>
            <w:tcW w:w="1267" w:type="dxa"/>
            <w:noWrap/>
            <w:vAlign w:val="center"/>
          </w:tcPr>
          <w:p w:rsidR="00E26C1C" w:rsidRPr="007B7470" w:rsidRDefault="00E26C1C" w:rsidP="00D27093">
            <w:pPr>
              <w:jc w:val="right"/>
              <w:rPr>
                <w:b/>
                <w:bCs/>
                <w:iCs/>
                <w:lang w:eastAsia="sk-SK"/>
              </w:rPr>
            </w:pPr>
          </w:p>
        </w:tc>
        <w:tc>
          <w:tcPr>
            <w:tcW w:w="1267" w:type="dxa"/>
            <w:noWrap/>
            <w:vAlign w:val="center"/>
          </w:tcPr>
          <w:p w:rsidR="00E26C1C" w:rsidRPr="007B7470" w:rsidRDefault="00E26C1C" w:rsidP="00D27093">
            <w:pPr>
              <w:jc w:val="right"/>
              <w:rPr>
                <w:b/>
                <w:bCs/>
                <w:iCs/>
                <w:lang w:eastAsia="sk-SK"/>
              </w:rPr>
            </w:pPr>
          </w:p>
        </w:tc>
      </w:tr>
      <w:tr w:rsidR="00E26C1C" w:rsidRPr="007B7470" w:rsidTr="00D27093">
        <w:trPr>
          <w:trHeight w:val="125"/>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ŠR</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125"/>
          <w:jc w:val="center"/>
        </w:trPr>
        <w:tc>
          <w:tcPr>
            <w:tcW w:w="4661" w:type="dxa"/>
            <w:noWrap/>
            <w:vAlign w:val="center"/>
          </w:tcPr>
          <w:p w:rsidR="00E26C1C" w:rsidRPr="007B7470" w:rsidRDefault="00E26C1C" w:rsidP="00D27093">
            <w:pPr>
              <w:ind w:left="259"/>
              <w:rPr>
                <w:b/>
                <w:bCs/>
                <w:i/>
                <w:iCs/>
                <w:lang w:eastAsia="sk-SK"/>
              </w:rPr>
            </w:pPr>
            <w:r w:rsidRPr="007B7470">
              <w:rPr>
                <w:bCs/>
                <w:i/>
                <w:iCs/>
                <w:lang w:eastAsia="sk-SK"/>
              </w:rPr>
              <w:t>Rozpočtové prostriedky</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125"/>
          <w:jc w:val="center"/>
        </w:trPr>
        <w:tc>
          <w:tcPr>
            <w:tcW w:w="4661" w:type="dxa"/>
            <w:noWrap/>
            <w:vAlign w:val="center"/>
          </w:tcPr>
          <w:p w:rsidR="00E26C1C" w:rsidRPr="007B7470" w:rsidRDefault="00E26C1C" w:rsidP="00D27093">
            <w:pPr>
              <w:ind w:left="259"/>
              <w:rPr>
                <w:bCs/>
                <w:i/>
                <w:iCs/>
                <w:lang w:eastAsia="sk-SK"/>
              </w:rPr>
            </w:pPr>
            <w:r w:rsidRPr="007B7470">
              <w:rPr>
                <w:bCs/>
                <w:i/>
                <w:iCs/>
                <w:lang w:eastAsia="sk-SK"/>
              </w:rPr>
              <w:t>EÚ zdroje</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r>
      <w:tr w:rsidR="00E26C1C" w:rsidRPr="007B7470" w:rsidTr="00D27093">
        <w:trPr>
          <w:trHeight w:val="125"/>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obce</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125"/>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vyššie územné celky</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125"/>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ostatné subjekty verejnej správy</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125"/>
          <w:jc w:val="center"/>
        </w:trPr>
        <w:tc>
          <w:tcPr>
            <w:tcW w:w="4661" w:type="dxa"/>
            <w:shd w:val="clear" w:color="auto" w:fill="C0C0C0"/>
            <w:noWrap/>
            <w:vAlign w:val="center"/>
          </w:tcPr>
          <w:p w:rsidR="00E26C1C" w:rsidRPr="007B7470" w:rsidRDefault="00E26C1C" w:rsidP="00D27093">
            <w:pPr>
              <w:rPr>
                <w:b/>
                <w:bCs/>
                <w:lang w:eastAsia="sk-SK"/>
              </w:rPr>
            </w:pPr>
            <w:r w:rsidRPr="007B7470">
              <w:rPr>
                <w:b/>
                <w:bCs/>
                <w:lang w:eastAsia="sk-SK"/>
              </w:rPr>
              <w:t>Výdavky verejnej správy celkom</w:t>
            </w:r>
          </w:p>
        </w:tc>
        <w:tc>
          <w:tcPr>
            <w:tcW w:w="1267" w:type="dxa"/>
            <w:shd w:val="clear" w:color="auto" w:fill="C0C0C0"/>
            <w:noWrap/>
            <w:vAlign w:val="center"/>
          </w:tcPr>
          <w:p w:rsidR="00E26C1C" w:rsidRPr="007B7470" w:rsidRDefault="00E26C1C" w:rsidP="00D27093">
            <w:pPr>
              <w:jc w:val="right"/>
              <w:rPr>
                <w:b/>
                <w:bCs/>
                <w:lang w:eastAsia="sk-SK"/>
              </w:rPr>
            </w:pPr>
            <w:r>
              <w:rPr>
                <w:b/>
                <w:bCs/>
                <w:lang w:eastAsia="sk-SK"/>
              </w:rPr>
              <w:t>198 290</w:t>
            </w:r>
          </w:p>
        </w:tc>
        <w:tc>
          <w:tcPr>
            <w:tcW w:w="1267" w:type="dxa"/>
            <w:shd w:val="clear" w:color="auto" w:fill="C0C0C0"/>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C0C0C0"/>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C0C0C0"/>
            <w:noWrap/>
            <w:vAlign w:val="center"/>
          </w:tcPr>
          <w:p w:rsidR="00E26C1C" w:rsidRPr="007B7470" w:rsidRDefault="00E26C1C" w:rsidP="00D27093">
            <w:pPr>
              <w:jc w:val="right"/>
              <w:rPr>
                <w:b/>
                <w:bCs/>
                <w:lang w:eastAsia="sk-SK"/>
              </w:rPr>
            </w:pPr>
            <w:r w:rsidRPr="007B7470">
              <w:rPr>
                <w:b/>
                <w:bCs/>
                <w:lang w:eastAsia="sk-SK"/>
              </w:rPr>
              <w:t xml:space="preserve">0   </w:t>
            </w:r>
          </w:p>
        </w:tc>
      </w:tr>
      <w:tr w:rsidR="00E26C1C" w:rsidRPr="007B7470" w:rsidTr="00D27093">
        <w:trPr>
          <w:trHeight w:val="70"/>
          <w:jc w:val="center"/>
        </w:trPr>
        <w:tc>
          <w:tcPr>
            <w:tcW w:w="4661" w:type="dxa"/>
            <w:noWrap/>
            <w:vAlign w:val="center"/>
          </w:tcPr>
          <w:p w:rsidR="00E26C1C" w:rsidRPr="007B7470" w:rsidRDefault="00E26C1C" w:rsidP="00D27093">
            <w:pPr>
              <w:rPr>
                <w:lang w:eastAsia="sk-SK"/>
              </w:rPr>
            </w:pPr>
            <w:r w:rsidRPr="007B7470">
              <w:rPr>
                <w:lang w:eastAsia="sk-SK"/>
              </w:rPr>
              <w:t xml:space="preserve">v tom: </w:t>
            </w:r>
            <w:r>
              <w:rPr>
                <w:lang w:eastAsia="sk-SK"/>
              </w:rPr>
              <w:t>Ministerstvo financií SR / program 0EK 0D</w:t>
            </w:r>
          </w:p>
        </w:tc>
        <w:tc>
          <w:tcPr>
            <w:tcW w:w="1267" w:type="dxa"/>
            <w:noWrap/>
            <w:vAlign w:val="center"/>
          </w:tcPr>
          <w:p w:rsidR="00E26C1C" w:rsidRPr="007B7470" w:rsidRDefault="00E26C1C" w:rsidP="00D27093">
            <w:pPr>
              <w:jc w:val="right"/>
              <w:rPr>
                <w:lang w:eastAsia="sk-SK"/>
              </w:rPr>
            </w:pPr>
            <w:r>
              <w:rPr>
                <w:lang w:eastAsia="sk-SK"/>
              </w:rPr>
              <w:t>198 290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xml:space="preserve">z toho: </w:t>
            </w:r>
          </w:p>
        </w:tc>
        <w:tc>
          <w:tcPr>
            <w:tcW w:w="1267" w:type="dxa"/>
            <w:noWrap/>
            <w:vAlign w:val="center"/>
          </w:tcPr>
          <w:p w:rsidR="00E26C1C" w:rsidRPr="007B7470" w:rsidRDefault="00E26C1C" w:rsidP="00D27093">
            <w:pPr>
              <w:jc w:val="right"/>
              <w:rPr>
                <w:b/>
                <w:bCs/>
                <w:iCs/>
                <w:lang w:eastAsia="sk-SK"/>
              </w:rPr>
            </w:pPr>
          </w:p>
        </w:tc>
        <w:tc>
          <w:tcPr>
            <w:tcW w:w="1267" w:type="dxa"/>
            <w:noWrap/>
            <w:vAlign w:val="center"/>
          </w:tcPr>
          <w:p w:rsidR="00E26C1C" w:rsidRPr="007B7470" w:rsidRDefault="00E26C1C" w:rsidP="00D27093">
            <w:pPr>
              <w:jc w:val="right"/>
              <w:rPr>
                <w:b/>
                <w:bCs/>
                <w:iCs/>
                <w:lang w:eastAsia="sk-SK"/>
              </w:rPr>
            </w:pPr>
          </w:p>
        </w:tc>
        <w:tc>
          <w:tcPr>
            <w:tcW w:w="1267" w:type="dxa"/>
            <w:noWrap/>
            <w:vAlign w:val="center"/>
          </w:tcPr>
          <w:p w:rsidR="00E26C1C" w:rsidRPr="007B7470" w:rsidRDefault="00E26C1C" w:rsidP="00D27093">
            <w:pPr>
              <w:jc w:val="right"/>
              <w:rPr>
                <w:b/>
                <w:bCs/>
                <w:iCs/>
                <w:lang w:eastAsia="sk-SK"/>
              </w:rPr>
            </w:pPr>
          </w:p>
        </w:tc>
        <w:tc>
          <w:tcPr>
            <w:tcW w:w="1267" w:type="dxa"/>
            <w:noWrap/>
            <w:vAlign w:val="center"/>
          </w:tcPr>
          <w:p w:rsidR="00E26C1C" w:rsidRPr="007B7470" w:rsidRDefault="00E26C1C" w:rsidP="00D27093">
            <w:pPr>
              <w:jc w:val="right"/>
              <w:rPr>
                <w:b/>
                <w:bCs/>
                <w:iCs/>
                <w:lang w:eastAsia="sk-SK"/>
              </w:rPr>
            </w:pPr>
          </w:p>
        </w:tc>
      </w:tr>
      <w:tr w:rsidR="00E26C1C" w:rsidRPr="007B7470" w:rsidTr="00D27093">
        <w:trPr>
          <w:trHeight w:val="70"/>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ŠR</w:t>
            </w:r>
          </w:p>
        </w:tc>
        <w:tc>
          <w:tcPr>
            <w:tcW w:w="1267" w:type="dxa"/>
            <w:noWrap/>
            <w:vAlign w:val="center"/>
          </w:tcPr>
          <w:p w:rsidR="00E26C1C" w:rsidRPr="007B7470" w:rsidRDefault="00E26C1C" w:rsidP="00D27093">
            <w:pPr>
              <w:jc w:val="right"/>
              <w:rPr>
                <w:b/>
                <w:bCs/>
                <w:lang w:eastAsia="sk-SK"/>
              </w:rPr>
            </w:pPr>
            <w:r>
              <w:rPr>
                <w:b/>
                <w:bCs/>
                <w:lang w:eastAsia="sk-SK"/>
              </w:rPr>
              <w:t>198 290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ind w:left="259"/>
              <w:rPr>
                <w:b/>
                <w:bCs/>
                <w:i/>
                <w:iCs/>
                <w:lang w:eastAsia="sk-SK"/>
              </w:rPr>
            </w:pPr>
            <w:r w:rsidRPr="007B7470">
              <w:rPr>
                <w:bCs/>
                <w:i/>
                <w:iCs/>
                <w:lang w:eastAsia="sk-SK"/>
              </w:rPr>
              <w:t>Rozpočtové prostriedky</w:t>
            </w:r>
          </w:p>
        </w:tc>
        <w:tc>
          <w:tcPr>
            <w:tcW w:w="1267" w:type="dxa"/>
            <w:noWrap/>
            <w:vAlign w:val="center"/>
          </w:tcPr>
          <w:p w:rsidR="00E26C1C" w:rsidRPr="007B7470" w:rsidRDefault="00E26C1C" w:rsidP="00D27093">
            <w:pPr>
              <w:jc w:val="right"/>
              <w:rPr>
                <w:lang w:eastAsia="sk-SK"/>
              </w:rPr>
            </w:pPr>
            <w:r>
              <w:rPr>
                <w:lang w:eastAsia="sk-SK"/>
              </w:rPr>
              <w:t>198 290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Cs/>
                <w:i/>
                <w:iCs/>
                <w:lang w:eastAsia="sk-SK"/>
              </w:rPr>
            </w:pPr>
            <w:r w:rsidRPr="007B7470">
              <w:rPr>
                <w:bCs/>
                <w:i/>
                <w:iCs/>
                <w:lang w:eastAsia="sk-SK"/>
              </w:rPr>
              <w:t xml:space="preserve">    EÚ zdroje</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Cs/>
                <w:i/>
                <w:iCs/>
                <w:lang w:eastAsia="sk-SK"/>
              </w:rPr>
            </w:pPr>
            <w:r w:rsidRPr="007B7470">
              <w:rPr>
                <w:bCs/>
                <w:i/>
                <w:iCs/>
                <w:lang w:eastAsia="sk-SK"/>
              </w:rPr>
              <w:t xml:space="preserve">    spolufinancovanie</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r>
      <w:tr w:rsidR="00E26C1C" w:rsidRPr="007B7470" w:rsidTr="00D27093">
        <w:trPr>
          <w:trHeight w:val="125"/>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obce</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125"/>
          <w:jc w:val="center"/>
        </w:trPr>
        <w:tc>
          <w:tcPr>
            <w:tcW w:w="4661" w:type="dxa"/>
            <w:noWrap/>
            <w:vAlign w:val="center"/>
          </w:tcPr>
          <w:p w:rsidR="00E26C1C" w:rsidRPr="007B7470" w:rsidRDefault="00E26C1C" w:rsidP="00D27093">
            <w:pPr>
              <w:ind w:left="203"/>
              <w:rPr>
                <w:bCs/>
                <w:i/>
                <w:iCs/>
                <w:lang w:eastAsia="sk-SK"/>
              </w:rPr>
            </w:pPr>
            <w:r w:rsidRPr="007B7470">
              <w:rPr>
                <w:bCs/>
                <w:i/>
                <w:iCs/>
                <w:lang w:eastAsia="sk-SK"/>
              </w:rPr>
              <w:t xml:space="preserve">z toho vplyv nových úloh v zmysle ods. 2 Čl. 6 ústavného zákona č. 493/2011 Z. z. </w:t>
            </w:r>
          </w:p>
          <w:p w:rsidR="00E26C1C" w:rsidRPr="007B7470" w:rsidRDefault="00E26C1C" w:rsidP="00D27093">
            <w:pPr>
              <w:ind w:left="203"/>
              <w:rPr>
                <w:b/>
                <w:bCs/>
                <w:i/>
                <w:iCs/>
                <w:lang w:eastAsia="sk-SK"/>
              </w:rPr>
            </w:pPr>
            <w:r w:rsidRPr="007B7470">
              <w:rPr>
                <w:bCs/>
                <w:i/>
                <w:iCs/>
                <w:lang w:eastAsia="sk-SK"/>
              </w:rPr>
              <w:t>o rozpočtovej zodpovednosti</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r>
      <w:tr w:rsidR="00E26C1C" w:rsidRPr="007B7470" w:rsidTr="00D27093">
        <w:trPr>
          <w:trHeight w:val="125"/>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vyššie územné celky</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125"/>
          <w:jc w:val="center"/>
        </w:trPr>
        <w:tc>
          <w:tcPr>
            <w:tcW w:w="4661" w:type="dxa"/>
            <w:noWrap/>
            <w:vAlign w:val="center"/>
          </w:tcPr>
          <w:p w:rsidR="00E26C1C" w:rsidRPr="007B7470" w:rsidRDefault="00E26C1C" w:rsidP="00D27093">
            <w:pPr>
              <w:ind w:left="203"/>
              <w:rPr>
                <w:bCs/>
                <w:i/>
                <w:iCs/>
                <w:lang w:eastAsia="sk-SK"/>
              </w:rPr>
            </w:pPr>
            <w:r w:rsidRPr="007B7470">
              <w:rPr>
                <w:bCs/>
                <w:i/>
                <w:iCs/>
                <w:lang w:eastAsia="sk-SK"/>
              </w:rPr>
              <w:t xml:space="preserve">z toho vplyv nových úloh v zmysle ods. 2 Čl. 6 ústavného zákona č. 493/2011 Z. z. </w:t>
            </w:r>
          </w:p>
          <w:p w:rsidR="00E26C1C" w:rsidRPr="007B7470" w:rsidRDefault="00E26C1C" w:rsidP="00D27093">
            <w:pPr>
              <w:ind w:left="203"/>
              <w:rPr>
                <w:b/>
                <w:bCs/>
                <w:i/>
                <w:iCs/>
                <w:lang w:eastAsia="sk-SK"/>
              </w:rPr>
            </w:pPr>
            <w:r w:rsidRPr="007B7470">
              <w:rPr>
                <w:bCs/>
                <w:i/>
                <w:iCs/>
                <w:lang w:eastAsia="sk-SK"/>
              </w:rPr>
              <w:t>o rozpočtovej zodpovednosti</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
                <w:bCs/>
                <w:lang w:eastAsia="sk-SK"/>
              </w:rPr>
            </w:pPr>
            <w:r w:rsidRPr="007B7470">
              <w:rPr>
                <w:b/>
                <w:bCs/>
                <w:i/>
                <w:iCs/>
                <w:lang w:eastAsia="sk-SK"/>
              </w:rPr>
              <w:t>- vplyv na ostatné subjekty verejnej správy</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70"/>
          <w:jc w:val="center"/>
        </w:trPr>
        <w:tc>
          <w:tcPr>
            <w:tcW w:w="4661" w:type="dxa"/>
            <w:shd w:val="clear" w:color="auto" w:fill="BFBFBF" w:themeFill="background1" w:themeFillShade="BF"/>
            <w:noWrap/>
            <w:vAlign w:val="center"/>
          </w:tcPr>
          <w:p w:rsidR="00E26C1C" w:rsidRPr="007B7470" w:rsidRDefault="00E26C1C" w:rsidP="00D27093">
            <w:pPr>
              <w:rPr>
                <w:b/>
                <w:bCs/>
                <w:lang w:eastAsia="sk-SK"/>
              </w:rPr>
            </w:pPr>
            <w:r w:rsidRPr="007B7470">
              <w:rPr>
                <w:b/>
                <w:bCs/>
                <w:lang w:eastAsia="sk-SK"/>
              </w:rPr>
              <w:t xml:space="preserve">Vplyv na počet zamestnancov </w:t>
            </w:r>
          </w:p>
        </w:tc>
        <w:tc>
          <w:tcPr>
            <w:tcW w:w="1267" w:type="dxa"/>
            <w:shd w:val="clear" w:color="auto" w:fill="BFBFBF" w:themeFill="background1" w:themeFillShade="BF"/>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BFBFBF" w:themeFill="background1" w:themeFillShade="BF"/>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BFBFBF" w:themeFill="background1" w:themeFillShade="BF"/>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BFBFBF" w:themeFill="background1" w:themeFillShade="BF"/>
            <w:noWrap/>
            <w:vAlign w:val="center"/>
          </w:tcPr>
          <w:p w:rsidR="00E26C1C" w:rsidRPr="007B7470" w:rsidRDefault="00E26C1C" w:rsidP="00D27093">
            <w:pPr>
              <w:jc w:val="right"/>
              <w:rPr>
                <w:b/>
                <w:bCs/>
                <w:lang w:eastAsia="sk-SK"/>
              </w:rPr>
            </w:pPr>
            <w:r w:rsidRPr="007B7470">
              <w:rPr>
                <w:b/>
                <w:bCs/>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ŠR</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obce</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vyššie územné celky</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ostatné subjekty verejnej správy</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70"/>
          <w:jc w:val="center"/>
        </w:trPr>
        <w:tc>
          <w:tcPr>
            <w:tcW w:w="4661" w:type="dxa"/>
            <w:shd w:val="clear" w:color="auto" w:fill="BFBFBF" w:themeFill="background1" w:themeFillShade="BF"/>
            <w:noWrap/>
            <w:vAlign w:val="center"/>
          </w:tcPr>
          <w:p w:rsidR="00E26C1C" w:rsidRPr="007B7470" w:rsidRDefault="00E26C1C" w:rsidP="00D27093">
            <w:pPr>
              <w:rPr>
                <w:b/>
                <w:lang w:eastAsia="sk-SK"/>
              </w:rPr>
            </w:pPr>
            <w:r w:rsidRPr="007B7470">
              <w:rPr>
                <w:b/>
                <w:lang w:eastAsia="sk-SK"/>
              </w:rPr>
              <w:t>Vplyv na mzdové výdavky</w:t>
            </w:r>
          </w:p>
        </w:tc>
        <w:tc>
          <w:tcPr>
            <w:tcW w:w="1267" w:type="dxa"/>
            <w:shd w:val="clear" w:color="auto" w:fill="BFBFBF" w:themeFill="background1" w:themeFillShade="BF"/>
            <w:noWrap/>
            <w:vAlign w:val="center"/>
          </w:tcPr>
          <w:p w:rsidR="00E26C1C" w:rsidRPr="007B7470" w:rsidRDefault="00E26C1C" w:rsidP="00D27093">
            <w:pPr>
              <w:jc w:val="right"/>
              <w:rPr>
                <w:b/>
                <w:lang w:eastAsia="sk-SK"/>
              </w:rPr>
            </w:pPr>
            <w:r w:rsidRPr="007B7470">
              <w:rPr>
                <w:b/>
                <w:lang w:eastAsia="sk-SK"/>
              </w:rPr>
              <w:t>0</w:t>
            </w:r>
          </w:p>
        </w:tc>
        <w:tc>
          <w:tcPr>
            <w:tcW w:w="1267" w:type="dxa"/>
            <w:shd w:val="clear" w:color="auto" w:fill="BFBFBF" w:themeFill="background1" w:themeFillShade="BF"/>
            <w:noWrap/>
            <w:vAlign w:val="center"/>
          </w:tcPr>
          <w:p w:rsidR="00E26C1C" w:rsidRPr="007B7470" w:rsidRDefault="00E26C1C" w:rsidP="00D27093">
            <w:pPr>
              <w:jc w:val="right"/>
              <w:rPr>
                <w:b/>
                <w:lang w:eastAsia="sk-SK"/>
              </w:rPr>
            </w:pPr>
            <w:r w:rsidRPr="007B7470">
              <w:rPr>
                <w:b/>
                <w:lang w:eastAsia="sk-SK"/>
              </w:rPr>
              <w:t>0</w:t>
            </w:r>
          </w:p>
        </w:tc>
        <w:tc>
          <w:tcPr>
            <w:tcW w:w="1267" w:type="dxa"/>
            <w:shd w:val="clear" w:color="auto" w:fill="BFBFBF" w:themeFill="background1" w:themeFillShade="BF"/>
            <w:noWrap/>
            <w:vAlign w:val="center"/>
          </w:tcPr>
          <w:p w:rsidR="00E26C1C" w:rsidRPr="007B7470" w:rsidRDefault="00E26C1C" w:rsidP="00D27093">
            <w:pPr>
              <w:jc w:val="right"/>
              <w:rPr>
                <w:b/>
                <w:lang w:eastAsia="sk-SK"/>
              </w:rPr>
            </w:pPr>
            <w:r w:rsidRPr="007B7470">
              <w:rPr>
                <w:b/>
                <w:lang w:eastAsia="sk-SK"/>
              </w:rPr>
              <w:t>0</w:t>
            </w:r>
          </w:p>
        </w:tc>
        <w:tc>
          <w:tcPr>
            <w:tcW w:w="1267" w:type="dxa"/>
            <w:shd w:val="clear" w:color="auto" w:fill="BFBFBF" w:themeFill="background1" w:themeFillShade="BF"/>
            <w:noWrap/>
            <w:vAlign w:val="center"/>
          </w:tcPr>
          <w:p w:rsidR="00E26C1C" w:rsidRPr="007B7470" w:rsidRDefault="00E26C1C" w:rsidP="00D27093">
            <w:pPr>
              <w:jc w:val="right"/>
              <w:rPr>
                <w:b/>
                <w:lang w:eastAsia="sk-SK"/>
              </w:rPr>
            </w:pPr>
            <w:r w:rsidRPr="007B7470">
              <w:rPr>
                <w:b/>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ŠR</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obce</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
                <w:bCs/>
                <w:i/>
                <w:iCs/>
                <w:lang w:eastAsia="sk-SK"/>
              </w:rPr>
            </w:pPr>
            <w:r w:rsidRPr="007B7470">
              <w:rPr>
                <w:b/>
                <w:bCs/>
                <w:i/>
                <w:iCs/>
                <w:lang w:eastAsia="sk-SK"/>
              </w:rPr>
              <w:t>- vplyv na vyššie územné celky</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70"/>
          <w:jc w:val="center"/>
        </w:trPr>
        <w:tc>
          <w:tcPr>
            <w:tcW w:w="4661" w:type="dxa"/>
            <w:noWrap/>
            <w:vAlign w:val="center"/>
          </w:tcPr>
          <w:p w:rsidR="00E26C1C" w:rsidRPr="007B7470" w:rsidRDefault="00E26C1C" w:rsidP="00D27093">
            <w:pPr>
              <w:rPr>
                <w:b/>
                <w:bCs/>
                <w:lang w:eastAsia="sk-SK"/>
              </w:rPr>
            </w:pPr>
            <w:r w:rsidRPr="007B7470">
              <w:rPr>
                <w:b/>
                <w:bCs/>
                <w:i/>
                <w:iCs/>
                <w:lang w:eastAsia="sk-SK"/>
              </w:rPr>
              <w:t>- vplyv na ostatné subjekty verejnej správy</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c>
          <w:tcPr>
            <w:tcW w:w="1267" w:type="dxa"/>
            <w:noWrap/>
            <w:vAlign w:val="center"/>
          </w:tcPr>
          <w:p w:rsidR="00E26C1C" w:rsidRPr="007B7470" w:rsidRDefault="00E26C1C" w:rsidP="00D27093">
            <w:pPr>
              <w:jc w:val="right"/>
              <w:rPr>
                <w:b/>
                <w:bCs/>
                <w:iCs/>
                <w:lang w:eastAsia="sk-SK"/>
              </w:rPr>
            </w:pPr>
            <w:r w:rsidRPr="007B7470">
              <w:rPr>
                <w:b/>
                <w:bCs/>
                <w:iCs/>
                <w:lang w:eastAsia="sk-SK"/>
              </w:rPr>
              <w:t>0</w:t>
            </w:r>
          </w:p>
        </w:tc>
      </w:tr>
      <w:tr w:rsidR="00E26C1C" w:rsidRPr="007B7470" w:rsidTr="00D27093">
        <w:trPr>
          <w:trHeight w:val="70"/>
          <w:jc w:val="center"/>
        </w:trPr>
        <w:tc>
          <w:tcPr>
            <w:tcW w:w="4661" w:type="dxa"/>
            <w:shd w:val="clear" w:color="auto" w:fill="C0C0C0"/>
            <w:noWrap/>
            <w:vAlign w:val="center"/>
          </w:tcPr>
          <w:p w:rsidR="00E26C1C" w:rsidRPr="007B7470" w:rsidRDefault="00E26C1C" w:rsidP="00D27093">
            <w:pPr>
              <w:rPr>
                <w:b/>
                <w:bCs/>
                <w:lang w:eastAsia="sk-SK"/>
              </w:rPr>
            </w:pPr>
            <w:r w:rsidRPr="007B7470">
              <w:rPr>
                <w:b/>
                <w:bCs/>
                <w:lang w:eastAsia="sk-SK"/>
              </w:rPr>
              <w:t>Financovanie zabezpečené v rozpočte</w:t>
            </w:r>
          </w:p>
        </w:tc>
        <w:tc>
          <w:tcPr>
            <w:tcW w:w="1267" w:type="dxa"/>
            <w:shd w:val="clear" w:color="auto" w:fill="C0C0C0"/>
            <w:noWrap/>
            <w:vAlign w:val="center"/>
          </w:tcPr>
          <w:p w:rsidR="00E26C1C" w:rsidRPr="007B7470" w:rsidRDefault="00E26C1C" w:rsidP="00D27093">
            <w:pPr>
              <w:jc w:val="right"/>
              <w:rPr>
                <w:b/>
                <w:bCs/>
                <w:lang w:eastAsia="sk-SK"/>
              </w:rPr>
            </w:pPr>
            <w:r>
              <w:rPr>
                <w:b/>
                <w:bCs/>
                <w:lang w:eastAsia="sk-SK"/>
              </w:rPr>
              <w:t>198 290</w:t>
            </w:r>
          </w:p>
        </w:tc>
        <w:tc>
          <w:tcPr>
            <w:tcW w:w="1267" w:type="dxa"/>
            <w:shd w:val="clear" w:color="auto" w:fill="C0C0C0"/>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C0C0C0"/>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C0C0C0"/>
            <w:noWrap/>
            <w:vAlign w:val="center"/>
          </w:tcPr>
          <w:p w:rsidR="00E26C1C" w:rsidRPr="007B7470" w:rsidRDefault="00E26C1C" w:rsidP="00D27093">
            <w:pPr>
              <w:jc w:val="right"/>
              <w:rPr>
                <w:b/>
                <w:bCs/>
                <w:lang w:eastAsia="sk-SK"/>
              </w:rPr>
            </w:pPr>
            <w:r w:rsidRPr="007B7470">
              <w:rPr>
                <w:b/>
                <w:bCs/>
                <w:lang w:eastAsia="sk-SK"/>
              </w:rPr>
              <w:t>0</w:t>
            </w:r>
          </w:p>
        </w:tc>
      </w:tr>
      <w:tr w:rsidR="00E26C1C" w:rsidRPr="007B7470" w:rsidTr="00D27093">
        <w:trPr>
          <w:trHeight w:val="70"/>
          <w:jc w:val="center"/>
        </w:trPr>
        <w:tc>
          <w:tcPr>
            <w:tcW w:w="4661" w:type="dxa"/>
            <w:noWrap/>
            <w:vAlign w:val="center"/>
          </w:tcPr>
          <w:p w:rsidR="00E26C1C" w:rsidRDefault="00E26C1C" w:rsidP="00D27093">
            <w:pPr>
              <w:rPr>
                <w:lang w:eastAsia="sk-SK"/>
              </w:rPr>
            </w:pPr>
            <w:r w:rsidRPr="007B7470">
              <w:rPr>
                <w:lang w:eastAsia="sk-SK"/>
              </w:rPr>
              <w:t>v tom: za každý subjekt verejnej správy / program zvlášť</w:t>
            </w:r>
          </w:p>
          <w:p w:rsidR="00E26C1C" w:rsidRPr="002A275F" w:rsidRDefault="00E26C1C" w:rsidP="00E26C1C">
            <w:pPr>
              <w:pStyle w:val="Odsekzoznamu"/>
              <w:numPr>
                <w:ilvl w:val="0"/>
                <w:numId w:val="5"/>
              </w:numPr>
              <w:rPr>
                <w:lang w:eastAsia="sk-SK"/>
              </w:rPr>
            </w:pPr>
            <w:r>
              <w:rPr>
                <w:lang w:eastAsia="sk-SK"/>
              </w:rPr>
              <w:t>Ministerstvo financií SR / program 0EK 0D</w:t>
            </w:r>
          </w:p>
        </w:tc>
        <w:tc>
          <w:tcPr>
            <w:tcW w:w="1267" w:type="dxa"/>
            <w:noWrap/>
            <w:vAlign w:val="center"/>
          </w:tcPr>
          <w:p w:rsidR="00E26C1C" w:rsidRPr="007B7470" w:rsidRDefault="00E26C1C" w:rsidP="00D27093">
            <w:pPr>
              <w:jc w:val="right"/>
              <w:rPr>
                <w:lang w:eastAsia="sk-SK"/>
              </w:rPr>
            </w:pPr>
            <w:r>
              <w:rPr>
                <w:lang w:eastAsia="sk-SK"/>
              </w:rPr>
              <w:t>198 290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c>
          <w:tcPr>
            <w:tcW w:w="1267" w:type="dxa"/>
            <w:noWrap/>
            <w:vAlign w:val="center"/>
          </w:tcPr>
          <w:p w:rsidR="00E26C1C" w:rsidRPr="007B7470" w:rsidRDefault="00E26C1C" w:rsidP="00D27093">
            <w:pPr>
              <w:jc w:val="right"/>
              <w:rPr>
                <w:lang w:eastAsia="sk-SK"/>
              </w:rPr>
            </w:pPr>
            <w:r w:rsidRPr="007B7470">
              <w:rPr>
                <w:lang w:eastAsia="sk-SK"/>
              </w:rPr>
              <w:t>0</w:t>
            </w:r>
          </w:p>
        </w:tc>
      </w:tr>
      <w:tr w:rsidR="00E26C1C" w:rsidRPr="007B7470" w:rsidTr="00D27093">
        <w:trPr>
          <w:trHeight w:val="70"/>
          <w:jc w:val="center"/>
        </w:trPr>
        <w:tc>
          <w:tcPr>
            <w:tcW w:w="4661" w:type="dxa"/>
            <w:shd w:val="clear" w:color="auto" w:fill="BFBFBF" w:themeFill="background1" w:themeFillShade="BF"/>
            <w:noWrap/>
            <w:vAlign w:val="center"/>
          </w:tcPr>
          <w:p w:rsidR="00E26C1C" w:rsidRPr="007B7470" w:rsidRDefault="00E26C1C" w:rsidP="00D27093">
            <w:pPr>
              <w:rPr>
                <w:b/>
                <w:lang w:eastAsia="sk-SK"/>
              </w:rPr>
            </w:pPr>
            <w:r w:rsidRPr="007B7470">
              <w:rPr>
                <w:b/>
                <w:lang w:eastAsia="sk-SK"/>
              </w:rPr>
              <w:lastRenderedPageBreak/>
              <w:t>Iné ako rozpočtové zdroje</w:t>
            </w:r>
          </w:p>
        </w:tc>
        <w:tc>
          <w:tcPr>
            <w:tcW w:w="1267" w:type="dxa"/>
            <w:shd w:val="clear" w:color="auto" w:fill="BFBFBF" w:themeFill="background1" w:themeFillShade="BF"/>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BFBFBF" w:themeFill="background1" w:themeFillShade="BF"/>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BFBFBF" w:themeFill="background1" w:themeFillShade="BF"/>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BFBFBF" w:themeFill="background1" w:themeFillShade="BF"/>
            <w:noWrap/>
            <w:vAlign w:val="center"/>
          </w:tcPr>
          <w:p w:rsidR="00E26C1C" w:rsidRPr="007B7470" w:rsidRDefault="00E26C1C" w:rsidP="00D27093">
            <w:pPr>
              <w:jc w:val="right"/>
              <w:rPr>
                <w:b/>
                <w:bCs/>
                <w:lang w:eastAsia="sk-SK"/>
              </w:rPr>
            </w:pPr>
            <w:r w:rsidRPr="007B7470">
              <w:rPr>
                <w:b/>
                <w:bCs/>
                <w:lang w:eastAsia="sk-SK"/>
              </w:rPr>
              <w:t>0</w:t>
            </w:r>
          </w:p>
        </w:tc>
      </w:tr>
      <w:tr w:rsidR="00E26C1C" w:rsidRPr="007B7470" w:rsidTr="00D27093">
        <w:trPr>
          <w:trHeight w:val="70"/>
          <w:jc w:val="center"/>
        </w:trPr>
        <w:tc>
          <w:tcPr>
            <w:tcW w:w="4661" w:type="dxa"/>
            <w:shd w:val="clear" w:color="auto" w:fill="A6A6A6" w:themeFill="background1" w:themeFillShade="A6"/>
            <w:noWrap/>
            <w:vAlign w:val="center"/>
          </w:tcPr>
          <w:p w:rsidR="00E26C1C" w:rsidRPr="007B7470" w:rsidRDefault="00E26C1C" w:rsidP="00D27093">
            <w:pPr>
              <w:rPr>
                <w:b/>
                <w:bCs/>
                <w:lang w:eastAsia="sk-SK"/>
              </w:rPr>
            </w:pPr>
            <w:r w:rsidRPr="007B7470">
              <w:rPr>
                <w:b/>
                <w:bCs/>
                <w:lang w:eastAsia="sk-SK"/>
              </w:rPr>
              <w:t>Rozpočtovo nekrytý vplyv / úspora</w:t>
            </w:r>
          </w:p>
        </w:tc>
        <w:tc>
          <w:tcPr>
            <w:tcW w:w="1267" w:type="dxa"/>
            <w:shd w:val="clear" w:color="auto" w:fill="A6A6A6" w:themeFill="background1" w:themeFillShade="A6"/>
            <w:noWrap/>
            <w:vAlign w:val="center"/>
          </w:tcPr>
          <w:p w:rsidR="00E26C1C" w:rsidRPr="007B7470" w:rsidRDefault="00E26C1C" w:rsidP="00D27093">
            <w:pPr>
              <w:jc w:val="right"/>
              <w:rPr>
                <w:b/>
                <w:bCs/>
                <w:lang w:eastAsia="sk-SK"/>
              </w:rPr>
            </w:pPr>
          </w:p>
        </w:tc>
        <w:tc>
          <w:tcPr>
            <w:tcW w:w="1267" w:type="dxa"/>
            <w:shd w:val="clear" w:color="auto" w:fill="A6A6A6" w:themeFill="background1" w:themeFillShade="A6"/>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A6A6A6" w:themeFill="background1" w:themeFillShade="A6"/>
            <w:noWrap/>
            <w:vAlign w:val="center"/>
          </w:tcPr>
          <w:p w:rsidR="00E26C1C" w:rsidRPr="007B7470" w:rsidRDefault="00E26C1C" w:rsidP="00D27093">
            <w:pPr>
              <w:jc w:val="right"/>
              <w:rPr>
                <w:b/>
                <w:bCs/>
                <w:lang w:eastAsia="sk-SK"/>
              </w:rPr>
            </w:pPr>
            <w:r w:rsidRPr="007B7470">
              <w:rPr>
                <w:b/>
                <w:bCs/>
                <w:lang w:eastAsia="sk-SK"/>
              </w:rPr>
              <w:t>0</w:t>
            </w:r>
          </w:p>
        </w:tc>
        <w:tc>
          <w:tcPr>
            <w:tcW w:w="1267" w:type="dxa"/>
            <w:shd w:val="clear" w:color="auto" w:fill="A6A6A6" w:themeFill="background1" w:themeFillShade="A6"/>
            <w:noWrap/>
            <w:vAlign w:val="center"/>
          </w:tcPr>
          <w:p w:rsidR="00E26C1C" w:rsidRPr="007B7470" w:rsidRDefault="00E26C1C" w:rsidP="00D27093">
            <w:pPr>
              <w:jc w:val="right"/>
              <w:rPr>
                <w:b/>
                <w:bCs/>
                <w:lang w:eastAsia="sk-SK"/>
              </w:rPr>
            </w:pPr>
            <w:r w:rsidRPr="007B7470">
              <w:rPr>
                <w:b/>
                <w:bCs/>
                <w:lang w:eastAsia="sk-SK"/>
              </w:rPr>
              <w:t>0</w:t>
            </w:r>
          </w:p>
        </w:tc>
      </w:tr>
    </w:tbl>
    <w:bookmarkEnd w:id="1"/>
    <w:p w:rsidR="00E26C1C" w:rsidRPr="007B7470" w:rsidRDefault="00E26C1C" w:rsidP="00E26C1C">
      <w:pPr>
        <w:rPr>
          <w:bCs/>
          <w:sz w:val="20"/>
          <w:szCs w:val="20"/>
          <w:lang w:eastAsia="sk-SK"/>
        </w:rPr>
      </w:pPr>
      <w:r w:rsidRPr="007B7470">
        <w:rPr>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E26C1C" w:rsidRPr="007B7470" w:rsidTr="00D27093">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26C1C" w:rsidRPr="007B7470" w:rsidRDefault="00E26C1C" w:rsidP="00D27093">
            <w:pPr>
              <w:rPr>
                <w:color w:val="000000"/>
                <w:lang w:eastAsia="sk-SK"/>
              </w:rPr>
            </w:pPr>
            <w:r w:rsidRPr="007B7470">
              <w:rPr>
                <w:color w:val="000000"/>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26C1C" w:rsidRPr="007B7470" w:rsidRDefault="00E26C1C" w:rsidP="00D27093">
            <w:pPr>
              <w:jc w:val="center"/>
              <w:rPr>
                <w:b/>
                <w:bCs/>
                <w:color w:val="000000"/>
                <w:lang w:eastAsia="sk-SK"/>
              </w:rPr>
            </w:pPr>
            <w:r>
              <w:rPr>
                <w:b/>
                <w:bCs/>
                <w:color w:val="000000"/>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26C1C" w:rsidRPr="007B7470" w:rsidRDefault="00E26C1C" w:rsidP="00D27093">
            <w:pPr>
              <w:jc w:val="center"/>
              <w:rPr>
                <w:b/>
                <w:bCs/>
                <w:color w:val="000000"/>
                <w:lang w:eastAsia="sk-SK"/>
              </w:rPr>
            </w:pPr>
            <w:r>
              <w:rPr>
                <w:b/>
                <w:bCs/>
                <w:color w:val="000000"/>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26C1C" w:rsidRPr="007B7470" w:rsidRDefault="00E26C1C" w:rsidP="00D27093">
            <w:pPr>
              <w:jc w:val="center"/>
              <w:rPr>
                <w:b/>
                <w:bCs/>
                <w:color w:val="000000"/>
                <w:lang w:eastAsia="sk-SK"/>
              </w:rPr>
            </w:pPr>
            <w:r>
              <w:rPr>
                <w:b/>
                <w:bCs/>
                <w:color w:val="000000"/>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26C1C" w:rsidRPr="007B7470" w:rsidRDefault="00E26C1C" w:rsidP="00D27093">
            <w:pPr>
              <w:jc w:val="center"/>
              <w:rPr>
                <w:b/>
                <w:bCs/>
                <w:color w:val="000000"/>
                <w:lang w:eastAsia="sk-SK"/>
              </w:rPr>
            </w:pPr>
            <w:r>
              <w:rPr>
                <w:b/>
                <w:bCs/>
                <w:color w:val="000000"/>
                <w:lang w:eastAsia="sk-SK"/>
              </w:rPr>
              <w:t>2027</w:t>
            </w:r>
          </w:p>
        </w:tc>
      </w:tr>
      <w:tr w:rsidR="00E26C1C" w:rsidRPr="007B7470" w:rsidTr="00D2709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E26C1C" w:rsidRPr="007B7470" w:rsidRDefault="00E26C1C" w:rsidP="00D27093">
            <w:pPr>
              <w:rPr>
                <w:b/>
                <w:bCs/>
                <w:color w:val="000000" w:themeColor="text1"/>
                <w:lang w:eastAsia="sk-SK"/>
              </w:rPr>
            </w:pPr>
            <w:r w:rsidRPr="007B7470">
              <w:rPr>
                <w:b/>
                <w:bCs/>
                <w:color w:val="000000" w:themeColor="text1"/>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r>
      <w:tr w:rsidR="00E26C1C" w:rsidRPr="007B7470" w:rsidTr="00D2709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E26C1C" w:rsidRPr="007B7470" w:rsidRDefault="00E26C1C" w:rsidP="00D27093">
            <w:pPr>
              <w:rPr>
                <w:color w:val="000000" w:themeColor="text1"/>
                <w:lang w:eastAsia="sk-SK"/>
              </w:rPr>
            </w:pPr>
            <w:r w:rsidRPr="007B7470">
              <w:rPr>
                <w:color w:val="000000" w:themeColor="text1"/>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color w:val="000000"/>
                <w:lang w:eastAsia="sk-SK"/>
              </w:rPr>
            </w:pPr>
            <w:r w:rsidRPr="007B7470">
              <w:rPr>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color w:val="000000"/>
                <w:lang w:eastAsia="sk-SK"/>
              </w:rPr>
            </w:pPr>
            <w:r w:rsidRPr="007B7470">
              <w:rPr>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color w:val="000000"/>
                <w:lang w:eastAsia="sk-SK"/>
              </w:rPr>
            </w:pPr>
            <w:r w:rsidRPr="007B7470">
              <w:rPr>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color w:val="000000"/>
                <w:lang w:eastAsia="sk-SK"/>
              </w:rPr>
            </w:pPr>
            <w:r w:rsidRPr="007B7470">
              <w:rPr>
                <w:color w:val="000000"/>
                <w:lang w:eastAsia="sk-SK"/>
              </w:rPr>
              <w:t>0</w:t>
            </w:r>
          </w:p>
        </w:tc>
      </w:tr>
      <w:tr w:rsidR="00E26C1C" w:rsidRPr="007B7470" w:rsidTr="00D2709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E26C1C" w:rsidRPr="007B7470" w:rsidRDefault="00E26C1C" w:rsidP="00D27093">
            <w:pPr>
              <w:rPr>
                <w:b/>
                <w:color w:val="000000" w:themeColor="text1"/>
                <w:lang w:eastAsia="sk-SK"/>
              </w:rPr>
            </w:pPr>
            <w:r w:rsidRPr="007B7470">
              <w:rPr>
                <w:b/>
                <w:color w:val="000000" w:themeColor="text1"/>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rPr>
                <w:color w:val="000000"/>
                <w:lang w:eastAsia="sk-SK"/>
              </w:rPr>
            </w:pPr>
            <w:r w:rsidRPr="007B7470">
              <w:rPr>
                <w:color w:val="000000"/>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rPr>
                <w:color w:val="000000"/>
                <w:lang w:eastAsia="sk-SK"/>
              </w:rPr>
            </w:pPr>
            <w:r w:rsidRPr="007B7470">
              <w:rPr>
                <w:color w:val="000000"/>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rPr>
                <w:color w:val="000000"/>
                <w:lang w:eastAsia="sk-SK"/>
              </w:rPr>
            </w:pPr>
            <w:r w:rsidRPr="007B7470">
              <w:rPr>
                <w:color w:val="000000"/>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rPr>
                <w:color w:val="000000"/>
                <w:lang w:eastAsia="sk-SK"/>
              </w:rPr>
            </w:pPr>
            <w:r w:rsidRPr="007B7470">
              <w:rPr>
                <w:color w:val="000000"/>
                <w:lang w:eastAsia="sk-SK"/>
              </w:rPr>
              <w:t> </w:t>
            </w:r>
          </w:p>
        </w:tc>
      </w:tr>
      <w:tr w:rsidR="00E26C1C" w:rsidRPr="007B7470" w:rsidTr="00D2709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E26C1C" w:rsidRPr="007B7470" w:rsidRDefault="00E26C1C" w:rsidP="00D27093">
            <w:pPr>
              <w:rPr>
                <w:b/>
                <w:bCs/>
                <w:color w:val="000000" w:themeColor="text1"/>
                <w:lang w:eastAsia="sk-SK"/>
              </w:rPr>
            </w:pPr>
            <w:r w:rsidRPr="007B7470">
              <w:rPr>
                <w:b/>
                <w:bCs/>
                <w:color w:val="000000" w:themeColor="text1"/>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r>
      <w:tr w:rsidR="00E26C1C" w:rsidRPr="007B7470" w:rsidTr="00D2709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E26C1C" w:rsidRPr="007B7470" w:rsidRDefault="00E26C1C" w:rsidP="00D27093">
            <w:pPr>
              <w:rPr>
                <w:b/>
                <w:bCs/>
                <w:color w:val="000000" w:themeColor="text1"/>
                <w:lang w:eastAsia="sk-SK"/>
              </w:rPr>
            </w:pPr>
            <w:r w:rsidRPr="007B7470">
              <w:rPr>
                <w:b/>
                <w:bCs/>
                <w:color w:val="000000" w:themeColor="text1"/>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E26C1C" w:rsidRPr="007B7470" w:rsidRDefault="00E26C1C" w:rsidP="00D27093">
            <w:pPr>
              <w:jc w:val="center"/>
              <w:rPr>
                <w:b/>
                <w:color w:val="000000"/>
                <w:lang w:eastAsia="sk-SK"/>
              </w:rPr>
            </w:pPr>
            <w:r w:rsidRPr="007B7470">
              <w:rPr>
                <w:b/>
                <w:color w:val="000000"/>
                <w:lang w:eastAsia="sk-SK"/>
              </w:rPr>
              <w:t>0</w:t>
            </w:r>
          </w:p>
        </w:tc>
      </w:tr>
      <w:tr w:rsidR="00E26C1C" w:rsidRPr="007B7470" w:rsidTr="00D27093">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26C1C" w:rsidRPr="007B7470" w:rsidRDefault="00E26C1C" w:rsidP="00D27093">
            <w:pPr>
              <w:rPr>
                <w:b/>
                <w:bCs/>
                <w:color w:val="000000" w:themeColor="text1"/>
                <w:lang w:eastAsia="sk-SK"/>
              </w:rPr>
            </w:pPr>
            <w:r w:rsidRPr="007B7470">
              <w:rPr>
                <w:b/>
                <w:bCs/>
                <w:color w:val="000000" w:themeColor="text1"/>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6C1C" w:rsidRPr="007B7470" w:rsidRDefault="00E26C1C" w:rsidP="00D27093">
            <w:pPr>
              <w:jc w:val="center"/>
              <w:rPr>
                <w:b/>
                <w:color w:val="000000"/>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26C1C" w:rsidRPr="007B7470" w:rsidRDefault="00E26C1C" w:rsidP="00D27093">
            <w:pPr>
              <w:jc w:val="center"/>
              <w:rPr>
                <w:b/>
                <w:color w:val="000000"/>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26C1C" w:rsidRPr="007B7470" w:rsidRDefault="00E26C1C" w:rsidP="00D27093">
            <w:pPr>
              <w:jc w:val="center"/>
              <w:rPr>
                <w:b/>
                <w:color w:val="000000"/>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26C1C" w:rsidRPr="007B7470" w:rsidRDefault="00E26C1C" w:rsidP="00D27093">
            <w:pPr>
              <w:jc w:val="center"/>
              <w:rPr>
                <w:b/>
                <w:color w:val="000000"/>
                <w:lang w:eastAsia="sk-SK"/>
              </w:rPr>
            </w:pPr>
          </w:p>
        </w:tc>
      </w:tr>
    </w:tbl>
    <w:p w:rsidR="00E26C1C" w:rsidRPr="007B7470" w:rsidRDefault="00E26C1C" w:rsidP="00E26C1C">
      <w:pPr>
        <w:rPr>
          <w:b/>
          <w:bCs/>
          <w:lang w:eastAsia="sk-SK"/>
        </w:rPr>
      </w:pPr>
    </w:p>
    <w:p w:rsidR="00E26C1C" w:rsidRPr="007B7470" w:rsidRDefault="00E26C1C" w:rsidP="00E26C1C">
      <w:pPr>
        <w:rPr>
          <w:b/>
          <w:bCs/>
          <w:lang w:eastAsia="sk-SK"/>
        </w:rPr>
      </w:pPr>
      <w:r w:rsidRPr="007B7470">
        <w:rPr>
          <w:b/>
          <w:bCs/>
          <w:lang w:eastAsia="sk-SK"/>
        </w:rPr>
        <w:t>2.1.1. Financovanie návrhu - Návrh na riešenie úbytku príjmov alebo zvýšených výdavkov podľa § 33 ods. 1 zákona č. 523/2004 Z. z. o rozpočtových pravidlách verejnej správy:</w:t>
      </w:r>
    </w:p>
    <w:p w:rsidR="00E26C1C" w:rsidRPr="007B7470" w:rsidRDefault="00E26C1C" w:rsidP="00E26C1C">
      <w:pPr>
        <w:jc w:val="both"/>
        <w:rPr>
          <w:b/>
          <w:bCs/>
          <w:sz w:val="12"/>
          <w:lang w:eastAsia="sk-SK"/>
        </w:rPr>
      </w:pPr>
    </w:p>
    <w:p w:rsidR="00E26C1C" w:rsidRPr="007D75CC" w:rsidRDefault="00E26C1C" w:rsidP="00E26C1C">
      <w:pPr>
        <w:pBdr>
          <w:top w:val="single" w:sz="4" w:space="1" w:color="auto"/>
          <w:left w:val="single" w:sz="4" w:space="4" w:color="auto"/>
          <w:bottom w:val="single" w:sz="4" w:space="0" w:color="auto"/>
          <w:right w:val="single" w:sz="4" w:space="4" w:color="auto"/>
        </w:pBdr>
        <w:jc w:val="both"/>
        <w:rPr>
          <w:b/>
          <w:bCs/>
          <w:lang w:eastAsia="sk-SK"/>
        </w:rPr>
      </w:pPr>
      <w:r w:rsidRPr="007D75CC">
        <w:t>Plnenie návrhu zákona o niektorých povinnostiach a oprávneniach v</w:t>
      </w:r>
      <w:r w:rsidR="00454637">
        <w:t> </w:t>
      </w:r>
      <w:r w:rsidRPr="007D75CC">
        <w:t>oblasti</w:t>
      </w:r>
      <w:r w:rsidR="00454637">
        <w:t xml:space="preserve"> </w:t>
      </w:r>
      <w:r w:rsidRPr="007D75CC">
        <w:t>kryptoaktív a</w:t>
      </w:r>
      <w:r w:rsidR="00454637">
        <w:t> </w:t>
      </w:r>
      <w:r w:rsidRPr="007D75CC">
        <w:t>o</w:t>
      </w:r>
      <w:r w:rsidR="00454637">
        <w:t> </w:t>
      </w:r>
      <w:r w:rsidRPr="007D75CC">
        <w:t>zmene</w:t>
      </w:r>
      <w:r w:rsidR="00454637">
        <w:t xml:space="preserve"> </w:t>
      </w:r>
      <w:r w:rsidRPr="007D75CC">
        <w:t xml:space="preserve">a doplnení niektorých zákonov je podmienené úpravami informačných systémov Finančného riaditeľstva SR v predpokladanej </w:t>
      </w:r>
      <w:r w:rsidRPr="007D75CC">
        <w:rPr>
          <w:b/>
          <w:bCs/>
        </w:rPr>
        <w:t xml:space="preserve">sume </w:t>
      </w:r>
      <w:r>
        <w:rPr>
          <w:b/>
          <w:bCs/>
        </w:rPr>
        <w:t>198 290</w:t>
      </w:r>
      <w:r w:rsidRPr="007D75CC">
        <w:rPr>
          <w:b/>
          <w:bCs/>
        </w:rPr>
        <w:t xml:space="preserve"> eur</w:t>
      </w:r>
      <w:r w:rsidRPr="007D75CC">
        <w:t>. Ide o:</w:t>
      </w:r>
    </w:p>
    <w:p w:rsidR="00E26C1C" w:rsidRPr="007D75CC" w:rsidRDefault="00E26C1C" w:rsidP="00E26C1C">
      <w:pPr>
        <w:pBdr>
          <w:top w:val="single" w:sz="4" w:space="1" w:color="auto"/>
          <w:left w:val="single" w:sz="4" w:space="4" w:color="auto"/>
          <w:bottom w:val="single" w:sz="4" w:space="0" w:color="auto"/>
          <w:right w:val="single" w:sz="4" w:space="4" w:color="auto"/>
        </w:pBdr>
        <w:ind w:left="284" w:hanging="284"/>
        <w:jc w:val="both"/>
        <w:rPr>
          <w:b/>
          <w:bCs/>
          <w:lang w:eastAsia="sk-SK"/>
        </w:rPr>
      </w:pPr>
      <w:r w:rsidRPr="007D75CC">
        <w:rPr>
          <w:b/>
        </w:rPr>
        <w:t>-</w:t>
      </w:r>
      <w:r w:rsidRPr="007D75CC">
        <w:t xml:space="preserve"> </w:t>
      </w:r>
      <w:r>
        <w:tab/>
      </w:r>
      <w:r w:rsidRPr="007D75CC">
        <w:t>Integrovaný systém Finančnej správy – správa daní (ISFS-SD) v sume 125 28</w:t>
      </w:r>
      <w:r>
        <w:t>4</w:t>
      </w:r>
      <w:r w:rsidRPr="007D75CC">
        <w:t xml:space="preserve"> eur (podprogram medzirezortného programu 0EK 0D Informačné technológie financované zo štátneho rozpočtu – Ministerstvo financií SR, kapitálové výdavky, položka 718 rekonštrukcia a modernizácia),</w:t>
      </w:r>
    </w:p>
    <w:p w:rsidR="00E26C1C" w:rsidRDefault="00E26C1C" w:rsidP="00E26C1C">
      <w:pPr>
        <w:pBdr>
          <w:top w:val="single" w:sz="4" w:space="1" w:color="auto"/>
          <w:left w:val="single" w:sz="4" w:space="4" w:color="auto"/>
          <w:bottom w:val="single" w:sz="4" w:space="0" w:color="auto"/>
          <w:right w:val="single" w:sz="4" w:space="4" w:color="auto"/>
        </w:pBdr>
        <w:ind w:left="284" w:hanging="284"/>
        <w:jc w:val="both"/>
      </w:pPr>
      <w:r w:rsidRPr="007D75CC">
        <w:rPr>
          <w:b/>
        </w:rPr>
        <w:t>-</w:t>
      </w:r>
      <w:r w:rsidRPr="007D75CC">
        <w:t xml:space="preserve"> </w:t>
      </w:r>
      <w:r>
        <w:tab/>
      </w:r>
      <w:r w:rsidRPr="007D75CC">
        <w:t>DR SCAN v sume 50 148 eur (podprogram medzirezortného programu 0EK 0D Informačné technológie financované zo štátneho rozpočtu – Ministerstvo financií SR, kapitálové výdavky, položka 71</w:t>
      </w:r>
      <w:r>
        <w:t>8 rekonštrukcia a modernizácia),</w:t>
      </w:r>
    </w:p>
    <w:p w:rsidR="00E26C1C" w:rsidRDefault="00E26C1C" w:rsidP="00E26C1C">
      <w:pPr>
        <w:pBdr>
          <w:top w:val="single" w:sz="4" w:space="1" w:color="auto"/>
          <w:left w:val="single" w:sz="4" w:space="4" w:color="auto"/>
          <w:bottom w:val="single" w:sz="4" w:space="0" w:color="auto"/>
          <w:right w:val="single" w:sz="4" w:space="4" w:color="auto"/>
        </w:pBdr>
        <w:ind w:left="284" w:hanging="284"/>
        <w:jc w:val="both"/>
      </w:pPr>
      <w:r>
        <w:rPr>
          <w:b/>
        </w:rPr>
        <w:t>-</w:t>
      </w:r>
      <w:r>
        <w:t xml:space="preserve"> </w:t>
      </w:r>
      <w:r>
        <w:tab/>
        <w:t>Portál finančnej správy (PFS) v sume 22 858 eur (podprogram medzirezortného programu 0EK 0D Informačné technológie financované zo štátneho rozpočtu – Ministerstvo financií SR, kapitálové výdavky, položka 710 Obstaranie kapitálových aktív).</w:t>
      </w:r>
    </w:p>
    <w:p w:rsidR="00E26C1C" w:rsidRPr="007D75CC" w:rsidRDefault="00E26C1C" w:rsidP="00E26C1C">
      <w:pPr>
        <w:pBdr>
          <w:top w:val="single" w:sz="4" w:space="1" w:color="auto"/>
          <w:left w:val="single" w:sz="4" w:space="4" w:color="auto"/>
          <w:bottom w:val="single" w:sz="4" w:space="0" w:color="auto"/>
          <w:right w:val="single" w:sz="4" w:space="4" w:color="auto"/>
        </w:pBdr>
        <w:ind w:left="284" w:hanging="284"/>
        <w:jc w:val="both"/>
        <w:rPr>
          <w:b/>
          <w:bCs/>
          <w:lang w:eastAsia="sk-SK"/>
        </w:rPr>
      </w:pPr>
    </w:p>
    <w:p w:rsidR="00E26C1C" w:rsidRPr="007B7470" w:rsidRDefault="00E26C1C" w:rsidP="00E26C1C">
      <w:pPr>
        <w:rPr>
          <w:b/>
          <w:bCs/>
          <w:lang w:eastAsia="sk-SK"/>
        </w:rPr>
      </w:pPr>
      <w:r w:rsidRPr="007B7470">
        <w:rPr>
          <w:b/>
          <w:bCs/>
          <w:lang w:eastAsia="sk-SK"/>
        </w:rPr>
        <w:t>2.2. Popis a charakteristika návrhu</w:t>
      </w:r>
    </w:p>
    <w:p w:rsidR="00E26C1C" w:rsidRPr="007B7470" w:rsidRDefault="00E26C1C" w:rsidP="00E26C1C">
      <w:pPr>
        <w:rPr>
          <w:lang w:eastAsia="sk-SK"/>
        </w:rPr>
      </w:pPr>
    </w:p>
    <w:p w:rsidR="00E26C1C" w:rsidRPr="007B7470" w:rsidRDefault="00E26C1C" w:rsidP="00E26C1C">
      <w:pPr>
        <w:jc w:val="both"/>
        <w:rPr>
          <w:b/>
          <w:bCs/>
          <w:lang w:eastAsia="sk-SK"/>
        </w:rPr>
      </w:pPr>
      <w:r w:rsidRPr="007B7470">
        <w:rPr>
          <w:b/>
          <w:bCs/>
          <w:lang w:eastAsia="sk-SK"/>
        </w:rPr>
        <w:t>2.2.1. Popis návrhu:</w:t>
      </w:r>
    </w:p>
    <w:p w:rsidR="00E26C1C" w:rsidRPr="006A240B" w:rsidRDefault="00E26C1C" w:rsidP="00E26C1C">
      <w:pPr>
        <w:jc w:val="both"/>
        <w:rPr>
          <w:b/>
          <w:bCs/>
          <w:lang w:eastAsia="sk-SK"/>
        </w:rPr>
      </w:pPr>
    </w:p>
    <w:p w:rsidR="00E26C1C" w:rsidRPr="006A240B" w:rsidRDefault="00E26C1C" w:rsidP="00E26C1C">
      <w:pPr>
        <w:ind w:firstLine="708"/>
        <w:jc w:val="both"/>
        <w:rPr>
          <w:lang w:eastAsia="sk-SK"/>
        </w:rPr>
      </w:pPr>
      <w:r w:rsidRPr="006A240B">
        <w:t>Vzhľadom na to, že nariadenie Európskeho parlamentu a Rady (EÚ) 2023/1114 z 31. mája 2023 o trhoch s kryptoaktívami a o zmene nariadení (EÚ) č. 1093/2010 a (EÚ) č.</w:t>
      </w:r>
      <w:r w:rsidR="00454637" w:rsidRPr="006A240B">
        <w:t> </w:t>
      </w:r>
      <w:r w:rsidRPr="006A240B">
        <w:t>1095/2010 a smerníc 2013/36/EÚ a (EÚ) 2019/1937 (ďalej len „nariadenie MiCA“)</w:t>
      </w:r>
      <w:r>
        <w:t xml:space="preserve"> </w:t>
      </w:r>
      <w:r w:rsidRPr="006A240B">
        <w:t xml:space="preserve">obsahuje definíciu kryptoaktíva, </w:t>
      </w:r>
      <w:r>
        <w:t xml:space="preserve">je nutné </w:t>
      </w:r>
      <w:r w:rsidRPr="006A240B">
        <w:t>zohľadniť túto novú definíciu kryptoaktíva, ako aj nahradiť pojem „virtuáln</w:t>
      </w:r>
      <w:r>
        <w:t xml:space="preserve">a mena“ pojmom „kryptoaktívum“. </w:t>
      </w:r>
      <w:r w:rsidRPr="006A240B">
        <w:t xml:space="preserve">Z tohto dôvodu </w:t>
      </w:r>
      <w:r>
        <w:t>je nutné upraviť už existujúce informačné systémy Finančného riaditeľstva SR</w:t>
      </w:r>
      <w:r w:rsidRPr="006A240B">
        <w:t>.</w:t>
      </w:r>
      <w:r>
        <w:t xml:space="preserve"> Je nutné zdôrazniť, že podstata zdaňovania kryptoaktív zostáva rovnaká ako pri zdaňovaní virtuálnej meny, z tohto dôvodu ďalšie vplyvy neočakávame.</w:t>
      </w:r>
    </w:p>
    <w:p w:rsidR="00E26C1C" w:rsidRPr="007B7470" w:rsidRDefault="00E26C1C" w:rsidP="00E26C1C">
      <w:pPr>
        <w:rPr>
          <w:lang w:eastAsia="sk-SK"/>
        </w:rPr>
      </w:pPr>
    </w:p>
    <w:p w:rsidR="00E26C1C" w:rsidRPr="007B7470" w:rsidRDefault="00E26C1C" w:rsidP="00E26C1C">
      <w:pPr>
        <w:rPr>
          <w:b/>
          <w:bCs/>
          <w:lang w:eastAsia="sk-SK"/>
        </w:rPr>
      </w:pPr>
      <w:r w:rsidRPr="007B7470">
        <w:rPr>
          <w:b/>
          <w:bCs/>
          <w:lang w:eastAsia="sk-SK"/>
        </w:rPr>
        <w:t>2.2.2. Charakteristika návrhu:</w:t>
      </w:r>
    </w:p>
    <w:p w:rsidR="00E26C1C" w:rsidRPr="007B7470" w:rsidRDefault="00E26C1C" w:rsidP="00E26C1C">
      <w:pPr>
        <w:rPr>
          <w:lang w:eastAsia="sk-SK"/>
        </w:rPr>
      </w:pPr>
    </w:p>
    <w:p w:rsidR="00E26C1C" w:rsidRPr="007B7470" w:rsidRDefault="00E26C1C" w:rsidP="00E26C1C">
      <w:pPr>
        <w:rPr>
          <w:lang w:eastAsia="sk-SK"/>
        </w:rPr>
      </w:pPr>
      <w:r w:rsidRPr="007B7470">
        <w:rPr>
          <w:b/>
          <w:bdr w:val="single" w:sz="4" w:space="0" w:color="auto"/>
          <w:lang w:eastAsia="sk-SK"/>
        </w:rPr>
        <w:t xml:space="preserve">     </w:t>
      </w:r>
      <w:r w:rsidRPr="007B7470">
        <w:rPr>
          <w:b/>
          <w:lang w:eastAsia="sk-SK"/>
        </w:rPr>
        <w:t xml:space="preserve">  </w:t>
      </w:r>
      <w:r w:rsidRPr="007B7470">
        <w:rPr>
          <w:lang w:eastAsia="sk-SK"/>
        </w:rPr>
        <w:t>zmena sadzby</w:t>
      </w:r>
    </w:p>
    <w:p w:rsidR="00E26C1C" w:rsidRPr="007B7470" w:rsidRDefault="00E26C1C" w:rsidP="00E26C1C">
      <w:pPr>
        <w:rPr>
          <w:lang w:eastAsia="sk-SK"/>
        </w:rPr>
      </w:pPr>
      <w:r w:rsidRPr="007B7470">
        <w:rPr>
          <w:bdr w:val="single" w:sz="4" w:space="0" w:color="auto"/>
          <w:lang w:eastAsia="sk-SK"/>
        </w:rPr>
        <w:t xml:space="preserve">     </w:t>
      </w:r>
      <w:r w:rsidRPr="007B7470">
        <w:rPr>
          <w:lang w:eastAsia="sk-SK"/>
        </w:rPr>
        <w:t xml:space="preserve">  zmena v nároku</w:t>
      </w:r>
    </w:p>
    <w:p w:rsidR="00E26C1C" w:rsidRPr="007B7470" w:rsidRDefault="00E26C1C" w:rsidP="00E26C1C">
      <w:pPr>
        <w:rPr>
          <w:lang w:eastAsia="sk-SK"/>
        </w:rPr>
      </w:pPr>
      <w:r w:rsidRPr="007B7470">
        <w:rPr>
          <w:bdr w:val="single" w:sz="4" w:space="0" w:color="auto"/>
          <w:lang w:eastAsia="sk-SK"/>
        </w:rPr>
        <w:t xml:space="preserve">     </w:t>
      </w:r>
      <w:r w:rsidRPr="007B7470">
        <w:rPr>
          <w:lang w:eastAsia="sk-SK"/>
        </w:rPr>
        <w:t xml:space="preserve">  nová služba alebo nariadenie (alebo ich zrušenie)</w:t>
      </w:r>
    </w:p>
    <w:p w:rsidR="00E26C1C" w:rsidRPr="007B7470" w:rsidRDefault="00E26C1C" w:rsidP="00E26C1C">
      <w:pPr>
        <w:rPr>
          <w:lang w:eastAsia="sk-SK"/>
        </w:rPr>
      </w:pPr>
      <w:r w:rsidRPr="007B7470">
        <w:rPr>
          <w:bdr w:val="single" w:sz="4" w:space="0" w:color="auto"/>
          <w:lang w:eastAsia="sk-SK"/>
        </w:rPr>
        <w:lastRenderedPageBreak/>
        <w:t xml:space="preserve">     </w:t>
      </w:r>
      <w:r w:rsidRPr="007B7470">
        <w:rPr>
          <w:lang w:eastAsia="sk-SK"/>
        </w:rPr>
        <w:t xml:space="preserve">  kombinovaný návrh</w:t>
      </w:r>
    </w:p>
    <w:p w:rsidR="00E26C1C" w:rsidRPr="007B7470" w:rsidRDefault="00E26C1C" w:rsidP="00E26C1C">
      <w:pPr>
        <w:rPr>
          <w:lang w:eastAsia="sk-SK"/>
        </w:rPr>
      </w:pPr>
      <w:r w:rsidRPr="007B7470">
        <w:rPr>
          <w:bdr w:val="single" w:sz="4" w:space="0" w:color="auto"/>
          <w:lang w:eastAsia="sk-SK"/>
        </w:rPr>
        <w:t xml:space="preserve"> </w:t>
      </w:r>
      <w:r>
        <w:rPr>
          <w:bdr w:val="single" w:sz="4" w:space="0" w:color="auto"/>
          <w:lang w:eastAsia="sk-SK"/>
        </w:rPr>
        <w:t>X</w:t>
      </w:r>
      <w:r w:rsidRPr="007B7470">
        <w:rPr>
          <w:bdr w:val="single" w:sz="4" w:space="0" w:color="auto"/>
          <w:lang w:eastAsia="sk-SK"/>
        </w:rPr>
        <w:t xml:space="preserve"> </w:t>
      </w:r>
      <w:r w:rsidRPr="007B7470">
        <w:rPr>
          <w:lang w:eastAsia="sk-SK"/>
        </w:rPr>
        <w:t xml:space="preserve">  iné </w:t>
      </w:r>
    </w:p>
    <w:p w:rsidR="00E26C1C" w:rsidRPr="007B7470" w:rsidRDefault="00E26C1C" w:rsidP="00E26C1C">
      <w:pPr>
        <w:rPr>
          <w:lang w:eastAsia="sk-SK"/>
        </w:rPr>
      </w:pPr>
    </w:p>
    <w:p w:rsidR="00E26C1C" w:rsidRPr="007B7470" w:rsidRDefault="00E26C1C" w:rsidP="00E26C1C">
      <w:pPr>
        <w:rPr>
          <w:lang w:eastAsia="sk-SK"/>
        </w:rPr>
      </w:pPr>
      <w:r w:rsidRPr="007B7470">
        <w:rPr>
          <w:b/>
          <w:bCs/>
          <w:lang w:eastAsia="sk-SK"/>
        </w:rPr>
        <w:t>2.2.3. Predpoklady vývoja objemu aktivít:</w:t>
      </w:r>
    </w:p>
    <w:p w:rsidR="00E26C1C" w:rsidRPr="007B7470" w:rsidRDefault="00E26C1C" w:rsidP="00E26C1C">
      <w:pPr>
        <w:rPr>
          <w:lang w:eastAsia="sk-SK"/>
        </w:rPr>
      </w:pPr>
    </w:p>
    <w:p w:rsidR="00E26C1C" w:rsidRPr="007B7470" w:rsidRDefault="00E26C1C" w:rsidP="00E26C1C">
      <w:pPr>
        <w:ind w:firstLine="708"/>
        <w:jc w:val="both"/>
        <w:rPr>
          <w:lang w:eastAsia="sk-SK"/>
        </w:rPr>
      </w:pPr>
      <w:r w:rsidRPr="007B7470">
        <w:rPr>
          <w:lang w:eastAsia="sk-SK"/>
        </w:rPr>
        <w:t>Jasne popíšte, v prípade potreby použite nižšie uvedenú tabuľku. Uveďte aj odhady základov daní a/alebo poplatkov, ak sa ich táto zmena týka.</w:t>
      </w:r>
    </w:p>
    <w:p w:rsidR="00E26C1C" w:rsidRPr="007B7470" w:rsidRDefault="00E26C1C" w:rsidP="00E26C1C">
      <w:pPr>
        <w:jc w:val="right"/>
        <w:rPr>
          <w:sz w:val="20"/>
          <w:szCs w:val="20"/>
          <w:lang w:eastAsia="sk-SK"/>
        </w:rPr>
      </w:pPr>
      <w:r w:rsidRPr="007B7470">
        <w:rPr>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E26C1C" w:rsidRPr="007B7470" w:rsidTr="00D27093">
        <w:trPr>
          <w:cantSplit/>
          <w:trHeight w:val="70"/>
        </w:trPr>
        <w:tc>
          <w:tcPr>
            <w:tcW w:w="4530" w:type="dxa"/>
            <w:vMerge w:val="restart"/>
            <w:shd w:val="clear" w:color="auto" w:fill="BFBFBF" w:themeFill="background1" w:themeFillShade="BF"/>
            <w:vAlign w:val="center"/>
          </w:tcPr>
          <w:p w:rsidR="00E26C1C" w:rsidRPr="007B7470" w:rsidRDefault="00E26C1C" w:rsidP="00D27093">
            <w:pPr>
              <w:autoSpaceDE w:val="0"/>
              <w:autoSpaceDN w:val="0"/>
              <w:adjustRightInd w:val="0"/>
              <w:jc w:val="center"/>
              <w:rPr>
                <w:b/>
                <w:bCs/>
                <w:lang w:eastAsia="sk-SK"/>
              </w:rPr>
            </w:pPr>
            <w:r w:rsidRPr="007B7470">
              <w:rPr>
                <w:b/>
                <w:bCs/>
                <w:lang w:eastAsia="sk-SK"/>
              </w:rPr>
              <w:t>Objem aktivít</w:t>
            </w:r>
          </w:p>
        </w:tc>
        <w:tc>
          <w:tcPr>
            <w:tcW w:w="4536" w:type="dxa"/>
            <w:gridSpan w:val="4"/>
            <w:shd w:val="clear" w:color="auto" w:fill="BFBFBF" w:themeFill="background1" w:themeFillShade="BF"/>
            <w:vAlign w:val="center"/>
          </w:tcPr>
          <w:p w:rsidR="00E26C1C" w:rsidRPr="007B7470" w:rsidRDefault="00E26C1C" w:rsidP="00D27093">
            <w:pPr>
              <w:autoSpaceDE w:val="0"/>
              <w:autoSpaceDN w:val="0"/>
              <w:adjustRightInd w:val="0"/>
              <w:jc w:val="center"/>
              <w:rPr>
                <w:b/>
                <w:bCs/>
                <w:lang w:eastAsia="sk-SK"/>
              </w:rPr>
            </w:pPr>
            <w:r w:rsidRPr="007B7470">
              <w:rPr>
                <w:b/>
                <w:bCs/>
                <w:lang w:eastAsia="sk-SK"/>
              </w:rPr>
              <w:t>Odhadované objemy</w:t>
            </w:r>
          </w:p>
        </w:tc>
      </w:tr>
      <w:tr w:rsidR="00E26C1C" w:rsidRPr="007B7470" w:rsidTr="00D27093">
        <w:trPr>
          <w:cantSplit/>
          <w:trHeight w:val="70"/>
        </w:trPr>
        <w:tc>
          <w:tcPr>
            <w:tcW w:w="4530" w:type="dxa"/>
            <w:vMerge/>
            <w:shd w:val="clear" w:color="auto" w:fill="BFBFBF" w:themeFill="background1" w:themeFillShade="BF"/>
          </w:tcPr>
          <w:p w:rsidR="00E26C1C" w:rsidRPr="007B7470" w:rsidRDefault="00E26C1C" w:rsidP="00D27093">
            <w:pPr>
              <w:autoSpaceDE w:val="0"/>
              <w:autoSpaceDN w:val="0"/>
              <w:adjustRightInd w:val="0"/>
              <w:jc w:val="center"/>
              <w:rPr>
                <w:b/>
                <w:bCs/>
                <w:lang w:eastAsia="sk-SK"/>
              </w:rPr>
            </w:pPr>
          </w:p>
        </w:tc>
        <w:tc>
          <w:tcPr>
            <w:tcW w:w="1134" w:type="dxa"/>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2024</w:t>
            </w:r>
          </w:p>
        </w:tc>
        <w:tc>
          <w:tcPr>
            <w:tcW w:w="1134" w:type="dxa"/>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2025</w:t>
            </w:r>
          </w:p>
        </w:tc>
        <w:tc>
          <w:tcPr>
            <w:tcW w:w="1134" w:type="dxa"/>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2026</w:t>
            </w:r>
          </w:p>
        </w:tc>
        <w:tc>
          <w:tcPr>
            <w:tcW w:w="1134" w:type="dxa"/>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2027</w:t>
            </w:r>
          </w:p>
        </w:tc>
      </w:tr>
      <w:tr w:rsidR="00E26C1C" w:rsidRPr="007B7470" w:rsidTr="00D27093">
        <w:trPr>
          <w:trHeight w:val="70"/>
        </w:trPr>
        <w:tc>
          <w:tcPr>
            <w:tcW w:w="4530" w:type="dxa"/>
          </w:tcPr>
          <w:p w:rsidR="00E26C1C" w:rsidRPr="007B7470" w:rsidRDefault="00E26C1C" w:rsidP="00D27093">
            <w:pPr>
              <w:autoSpaceDE w:val="0"/>
              <w:autoSpaceDN w:val="0"/>
              <w:adjustRightInd w:val="0"/>
              <w:rPr>
                <w:color w:val="000000"/>
                <w:lang w:eastAsia="sk-SK"/>
              </w:rPr>
            </w:pPr>
            <w:r w:rsidRPr="007B7470">
              <w:rPr>
                <w:color w:val="000000"/>
                <w:lang w:eastAsia="sk-SK"/>
              </w:rPr>
              <w:t>Indikátor ABC</w:t>
            </w:r>
          </w:p>
        </w:tc>
        <w:tc>
          <w:tcPr>
            <w:tcW w:w="1134" w:type="dxa"/>
          </w:tcPr>
          <w:p w:rsidR="00E26C1C" w:rsidRPr="007B7470" w:rsidRDefault="00E26C1C" w:rsidP="00D27093">
            <w:pPr>
              <w:autoSpaceDE w:val="0"/>
              <w:autoSpaceDN w:val="0"/>
              <w:adjustRightInd w:val="0"/>
              <w:jc w:val="right"/>
              <w:rPr>
                <w:color w:val="000000"/>
                <w:lang w:eastAsia="sk-SK"/>
              </w:rPr>
            </w:pPr>
          </w:p>
        </w:tc>
        <w:tc>
          <w:tcPr>
            <w:tcW w:w="1134" w:type="dxa"/>
          </w:tcPr>
          <w:p w:rsidR="00E26C1C" w:rsidRPr="007B7470" w:rsidRDefault="00E26C1C" w:rsidP="00D27093">
            <w:pPr>
              <w:autoSpaceDE w:val="0"/>
              <w:autoSpaceDN w:val="0"/>
              <w:adjustRightInd w:val="0"/>
              <w:jc w:val="right"/>
              <w:rPr>
                <w:color w:val="000000"/>
                <w:lang w:eastAsia="sk-SK"/>
              </w:rPr>
            </w:pPr>
          </w:p>
        </w:tc>
        <w:tc>
          <w:tcPr>
            <w:tcW w:w="1134" w:type="dxa"/>
          </w:tcPr>
          <w:p w:rsidR="00E26C1C" w:rsidRPr="007B7470" w:rsidRDefault="00E26C1C" w:rsidP="00D27093">
            <w:pPr>
              <w:autoSpaceDE w:val="0"/>
              <w:autoSpaceDN w:val="0"/>
              <w:adjustRightInd w:val="0"/>
              <w:jc w:val="right"/>
              <w:rPr>
                <w:color w:val="000000"/>
                <w:lang w:eastAsia="sk-SK"/>
              </w:rPr>
            </w:pPr>
          </w:p>
        </w:tc>
        <w:tc>
          <w:tcPr>
            <w:tcW w:w="1134" w:type="dxa"/>
          </w:tcPr>
          <w:p w:rsidR="00E26C1C" w:rsidRPr="007B7470" w:rsidRDefault="00E26C1C" w:rsidP="00D27093">
            <w:pPr>
              <w:autoSpaceDE w:val="0"/>
              <w:autoSpaceDN w:val="0"/>
              <w:adjustRightInd w:val="0"/>
              <w:jc w:val="right"/>
              <w:rPr>
                <w:color w:val="000000"/>
                <w:lang w:eastAsia="sk-SK"/>
              </w:rPr>
            </w:pPr>
          </w:p>
        </w:tc>
      </w:tr>
      <w:tr w:rsidR="00E26C1C" w:rsidRPr="007B7470" w:rsidTr="00D27093">
        <w:trPr>
          <w:trHeight w:val="70"/>
        </w:trPr>
        <w:tc>
          <w:tcPr>
            <w:tcW w:w="4530" w:type="dxa"/>
          </w:tcPr>
          <w:p w:rsidR="00E26C1C" w:rsidRPr="007B7470" w:rsidRDefault="00E26C1C" w:rsidP="00D27093">
            <w:pPr>
              <w:autoSpaceDE w:val="0"/>
              <w:autoSpaceDN w:val="0"/>
              <w:adjustRightInd w:val="0"/>
              <w:rPr>
                <w:color w:val="000000"/>
                <w:lang w:eastAsia="sk-SK"/>
              </w:rPr>
            </w:pPr>
            <w:r w:rsidRPr="007B7470">
              <w:rPr>
                <w:color w:val="000000"/>
                <w:lang w:eastAsia="sk-SK"/>
              </w:rPr>
              <w:t>Indikátor KLM</w:t>
            </w:r>
          </w:p>
        </w:tc>
        <w:tc>
          <w:tcPr>
            <w:tcW w:w="1134" w:type="dxa"/>
          </w:tcPr>
          <w:p w:rsidR="00E26C1C" w:rsidRPr="007B7470" w:rsidRDefault="00E26C1C" w:rsidP="00D27093">
            <w:pPr>
              <w:autoSpaceDE w:val="0"/>
              <w:autoSpaceDN w:val="0"/>
              <w:adjustRightInd w:val="0"/>
              <w:jc w:val="right"/>
              <w:rPr>
                <w:color w:val="000000"/>
                <w:lang w:eastAsia="sk-SK"/>
              </w:rPr>
            </w:pPr>
          </w:p>
        </w:tc>
        <w:tc>
          <w:tcPr>
            <w:tcW w:w="1134" w:type="dxa"/>
          </w:tcPr>
          <w:p w:rsidR="00E26C1C" w:rsidRPr="007B7470" w:rsidRDefault="00E26C1C" w:rsidP="00D27093">
            <w:pPr>
              <w:autoSpaceDE w:val="0"/>
              <w:autoSpaceDN w:val="0"/>
              <w:adjustRightInd w:val="0"/>
              <w:jc w:val="right"/>
              <w:rPr>
                <w:color w:val="000000"/>
                <w:lang w:eastAsia="sk-SK"/>
              </w:rPr>
            </w:pPr>
          </w:p>
        </w:tc>
        <w:tc>
          <w:tcPr>
            <w:tcW w:w="1134" w:type="dxa"/>
          </w:tcPr>
          <w:p w:rsidR="00E26C1C" w:rsidRPr="007B7470" w:rsidRDefault="00E26C1C" w:rsidP="00D27093">
            <w:pPr>
              <w:autoSpaceDE w:val="0"/>
              <w:autoSpaceDN w:val="0"/>
              <w:adjustRightInd w:val="0"/>
              <w:jc w:val="right"/>
              <w:rPr>
                <w:color w:val="000000"/>
                <w:lang w:eastAsia="sk-SK"/>
              </w:rPr>
            </w:pPr>
          </w:p>
        </w:tc>
        <w:tc>
          <w:tcPr>
            <w:tcW w:w="1134" w:type="dxa"/>
          </w:tcPr>
          <w:p w:rsidR="00E26C1C" w:rsidRPr="007B7470" w:rsidRDefault="00E26C1C" w:rsidP="00D27093">
            <w:pPr>
              <w:autoSpaceDE w:val="0"/>
              <w:autoSpaceDN w:val="0"/>
              <w:adjustRightInd w:val="0"/>
              <w:jc w:val="right"/>
              <w:rPr>
                <w:color w:val="000000"/>
                <w:lang w:eastAsia="sk-SK"/>
              </w:rPr>
            </w:pPr>
          </w:p>
        </w:tc>
      </w:tr>
      <w:tr w:rsidR="00E26C1C" w:rsidRPr="007B7470" w:rsidTr="00D27093">
        <w:trPr>
          <w:trHeight w:val="70"/>
        </w:trPr>
        <w:tc>
          <w:tcPr>
            <w:tcW w:w="4530" w:type="dxa"/>
          </w:tcPr>
          <w:p w:rsidR="00E26C1C" w:rsidRPr="007B7470" w:rsidRDefault="00E26C1C" w:rsidP="00D27093">
            <w:pPr>
              <w:autoSpaceDE w:val="0"/>
              <w:autoSpaceDN w:val="0"/>
              <w:adjustRightInd w:val="0"/>
              <w:rPr>
                <w:color w:val="000000"/>
                <w:lang w:eastAsia="sk-SK"/>
              </w:rPr>
            </w:pPr>
            <w:r w:rsidRPr="007B7470">
              <w:rPr>
                <w:color w:val="000000"/>
                <w:lang w:eastAsia="sk-SK"/>
              </w:rPr>
              <w:t>Indikátor XYZ</w:t>
            </w:r>
          </w:p>
        </w:tc>
        <w:tc>
          <w:tcPr>
            <w:tcW w:w="1134" w:type="dxa"/>
          </w:tcPr>
          <w:p w:rsidR="00E26C1C" w:rsidRPr="007B7470" w:rsidRDefault="00E26C1C" w:rsidP="00D27093">
            <w:pPr>
              <w:autoSpaceDE w:val="0"/>
              <w:autoSpaceDN w:val="0"/>
              <w:adjustRightInd w:val="0"/>
              <w:jc w:val="right"/>
              <w:rPr>
                <w:color w:val="000000"/>
                <w:lang w:eastAsia="sk-SK"/>
              </w:rPr>
            </w:pPr>
          </w:p>
        </w:tc>
        <w:tc>
          <w:tcPr>
            <w:tcW w:w="1134" w:type="dxa"/>
          </w:tcPr>
          <w:p w:rsidR="00E26C1C" w:rsidRPr="007B7470" w:rsidRDefault="00E26C1C" w:rsidP="00D27093">
            <w:pPr>
              <w:autoSpaceDE w:val="0"/>
              <w:autoSpaceDN w:val="0"/>
              <w:adjustRightInd w:val="0"/>
              <w:jc w:val="right"/>
              <w:rPr>
                <w:color w:val="000000"/>
                <w:lang w:eastAsia="sk-SK"/>
              </w:rPr>
            </w:pPr>
          </w:p>
        </w:tc>
        <w:tc>
          <w:tcPr>
            <w:tcW w:w="1134" w:type="dxa"/>
          </w:tcPr>
          <w:p w:rsidR="00E26C1C" w:rsidRPr="007B7470" w:rsidRDefault="00E26C1C" w:rsidP="00D27093">
            <w:pPr>
              <w:autoSpaceDE w:val="0"/>
              <w:autoSpaceDN w:val="0"/>
              <w:adjustRightInd w:val="0"/>
              <w:jc w:val="right"/>
              <w:rPr>
                <w:color w:val="000000"/>
                <w:lang w:eastAsia="sk-SK"/>
              </w:rPr>
            </w:pPr>
          </w:p>
        </w:tc>
        <w:tc>
          <w:tcPr>
            <w:tcW w:w="1134" w:type="dxa"/>
          </w:tcPr>
          <w:p w:rsidR="00E26C1C" w:rsidRPr="007B7470" w:rsidRDefault="00E26C1C" w:rsidP="00D27093">
            <w:pPr>
              <w:autoSpaceDE w:val="0"/>
              <w:autoSpaceDN w:val="0"/>
              <w:adjustRightInd w:val="0"/>
              <w:jc w:val="right"/>
              <w:rPr>
                <w:color w:val="000000"/>
                <w:lang w:eastAsia="sk-SK"/>
              </w:rPr>
            </w:pPr>
          </w:p>
        </w:tc>
      </w:tr>
    </w:tbl>
    <w:p w:rsidR="00E26C1C" w:rsidRPr="007B7470" w:rsidRDefault="00E26C1C" w:rsidP="00E26C1C">
      <w:pPr>
        <w:rPr>
          <w:lang w:eastAsia="sk-SK"/>
        </w:rPr>
      </w:pPr>
    </w:p>
    <w:p w:rsidR="00E26C1C" w:rsidRPr="007B7470" w:rsidRDefault="00E26C1C" w:rsidP="00E26C1C">
      <w:pPr>
        <w:rPr>
          <w:lang w:eastAsia="sk-SK"/>
        </w:rPr>
      </w:pPr>
    </w:p>
    <w:p w:rsidR="00E26C1C" w:rsidRPr="007B7470" w:rsidRDefault="00E26C1C" w:rsidP="00E26C1C">
      <w:pPr>
        <w:rPr>
          <w:b/>
          <w:bCs/>
          <w:lang w:eastAsia="sk-SK"/>
        </w:rPr>
      </w:pPr>
      <w:r w:rsidRPr="007B7470">
        <w:rPr>
          <w:b/>
          <w:bCs/>
          <w:lang w:eastAsia="sk-SK"/>
        </w:rPr>
        <w:t>2.2.4. Výpočty vplyvov na verejné financie</w:t>
      </w:r>
    </w:p>
    <w:p w:rsidR="00E26C1C" w:rsidRPr="007B7470" w:rsidRDefault="00E26C1C" w:rsidP="00E26C1C">
      <w:pPr>
        <w:rPr>
          <w:lang w:eastAsia="sk-SK"/>
        </w:rPr>
      </w:pPr>
    </w:p>
    <w:p w:rsidR="00E26C1C" w:rsidRPr="007B7470" w:rsidRDefault="00E26C1C" w:rsidP="00E26C1C">
      <w:pPr>
        <w:ind w:firstLine="708"/>
        <w:jc w:val="both"/>
        <w:rPr>
          <w:lang w:eastAsia="sk-SK"/>
        </w:rPr>
      </w:pPr>
      <w:r>
        <w:rPr>
          <w:lang w:eastAsia="sk-SK"/>
        </w:rPr>
        <w:t xml:space="preserve">Kvantifikácia opatrenia na úpravu informačných systémov vychádza z údajov, ktoré vyčíslilo a dodalo Finančné riaditeľstvo Slovenskej republiky na základe vlastných údajov a výpočtov. </w:t>
      </w:r>
    </w:p>
    <w:p w:rsidR="00E26C1C" w:rsidRPr="007B7470" w:rsidRDefault="00E26C1C" w:rsidP="00E26C1C">
      <w:pPr>
        <w:jc w:val="both"/>
        <w:rPr>
          <w:lang w:eastAsia="sk-SK"/>
        </w:rPr>
      </w:pPr>
    </w:p>
    <w:p w:rsidR="00E26C1C" w:rsidRPr="007B7470" w:rsidRDefault="00E26C1C" w:rsidP="00E26C1C">
      <w:pPr>
        <w:tabs>
          <w:tab w:val="num" w:pos="1080"/>
        </w:tabs>
        <w:jc w:val="both"/>
        <w:rPr>
          <w:bCs/>
          <w:lang w:eastAsia="sk-SK"/>
        </w:rPr>
      </w:pPr>
    </w:p>
    <w:p w:rsidR="00E26C1C" w:rsidRPr="007B7470" w:rsidRDefault="00E26C1C" w:rsidP="00E26C1C">
      <w:pPr>
        <w:tabs>
          <w:tab w:val="num" w:pos="1080"/>
        </w:tabs>
        <w:jc w:val="both"/>
        <w:rPr>
          <w:bCs/>
          <w:lang w:eastAsia="sk-SK"/>
        </w:rPr>
      </w:pPr>
    </w:p>
    <w:p w:rsidR="00E26C1C" w:rsidRPr="007B7470" w:rsidRDefault="00E26C1C" w:rsidP="00E26C1C">
      <w:pPr>
        <w:tabs>
          <w:tab w:val="num" w:pos="1080"/>
        </w:tabs>
        <w:jc w:val="both"/>
        <w:rPr>
          <w:bCs/>
          <w:lang w:eastAsia="sk-SK"/>
        </w:rPr>
      </w:pPr>
    </w:p>
    <w:p w:rsidR="00E26C1C" w:rsidRPr="007B7470" w:rsidRDefault="00E26C1C" w:rsidP="00E26C1C">
      <w:pPr>
        <w:tabs>
          <w:tab w:val="num" w:pos="1080"/>
        </w:tabs>
        <w:jc w:val="both"/>
        <w:rPr>
          <w:bCs/>
          <w:szCs w:val="20"/>
          <w:lang w:eastAsia="sk-SK"/>
        </w:rPr>
      </w:pPr>
    </w:p>
    <w:p w:rsidR="00E26C1C" w:rsidRPr="007B7470" w:rsidRDefault="00E26C1C" w:rsidP="00E26C1C">
      <w:pPr>
        <w:tabs>
          <w:tab w:val="num" w:pos="1080"/>
        </w:tabs>
        <w:jc w:val="both"/>
        <w:rPr>
          <w:bCs/>
          <w:szCs w:val="20"/>
          <w:lang w:eastAsia="sk-SK"/>
        </w:rPr>
        <w:sectPr w:rsidR="00E26C1C" w:rsidRPr="007B7470" w:rsidSect="00D27093">
          <w:headerReference w:type="even" r:id="rId9"/>
          <w:footerReference w:type="even" r:id="rId10"/>
          <w:footerReference w:type="default" r:id="rId11"/>
          <w:headerReference w:type="first" r:id="rId12"/>
          <w:footerReference w:type="first" r:id="rId13"/>
          <w:pgSz w:w="11906" w:h="16838"/>
          <w:pgMar w:top="1417" w:right="1417" w:bottom="1276" w:left="1417" w:header="708" w:footer="708" w:gutter="0"/>
          <w:pgNumType w:start="1"/>
          <w:cols w:space="708"/>
          <w:docGrid w:linePitch="360"/>
        </w:sectPr>
      </w:pPr>
    </w:p>
    <w:p w:rsidR="00E26C1C" w:rsidRPr="007B7470" w:rsidRDefault="00E26C1C" w:rsidP="00E26C1C">
      <w:pPr>
        <w:tabs>
          <w:tab w:val="num" w:pos="1080"/>
        </w:tabs>
        <w:jc w:val="center"/>
        <w:rPr>
          <w:bCs/>
          <w:sz w:val="20"/>
          <w:szCs w:val="20"/>
          <w:lang w:eastAsia="sk-SK"/>
        </w:rPr>
      </w:pPr>
      <w:r w:rsidRPr="007B7470">
        <w:rPr>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E26C1C" w:rsidRPr="007B7470" w:rsidTr="00D27093">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lang w:eastAsia="sk-SK"/>
              </w:rPr>
            </w:pPr>
            <w:r w:rsidRPr="007B7470">
              <w:rPr>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lang w:eastAsia="sk-SK"/>
              </w:rPr>
            </w:pPr>
            <w:r w:rsidRPr="007B7470">
              <w:rPr>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26C1C" w:rsidRPr="007B7470" w:rsidRDefault="00E26C1C" w:rsidP="00D27093">
            <w:pPr>
              <w:jc w:val="center"/>
              <w:rPr>
                <w:b/>
                <w:bCs/>
                <w:lang w:eastAsia="sk-SK"/>
              </w:rPr>
            </w:pPr>
            <w:r w:rsidRPr="007B7470">
              <w:rPr>
                <w:b/>
                <w:bCs/>
                <w:lang w:eastAsia="sk-SK"/>
              </w:rPr>
              <w:t>poznámka</w:t>
            </w:r>
          </w:p>
        </w:tc>
      </w:tr>
      <w:tr w:rsidR="00E26C1C" w:rsidRPr="007B7470" w:rsidTr="00D27093">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E26C1C" w:rsidRPr="007B7470" w:rsidRDefault="00E26C1C" w:rsidP="00D27093">
            <w:pPr>
              <w:rPr>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E26C1C" w:rsidRPr="007B7470" w:rsidRDefault="00E26C1C" w:rsidP="00D27093">
            <w:pPr>
              <w:rPr>
                <w:b/>
                <w:bCs/>
                <w:color w:val="FFFFFF"/>
                <w:lang w:eastAsia="sk-SK"/>
              </w:rPr>
            </w:pPr>
          </w:p>
        </w:tc>
      </w:tr>
      <w:tr w:rsidR="00E26C1C" w:rsidRPr="007B7470" w:rsidTr="00D27093">
        <w:trPr>
          <w:trHeight w:val="255"/>
        </w:trPr>
        <w:tc>
          <w:tcPr>
            <w:tcW w:w="4950" w:type="dxa"/>
            <w:tcBorders>
              <w:top w:val="nil"/>
              <w:left w:val="single" w:sz="4" w:space="0" w:color="auto"/>
              <w:bottom w:val="single" w:sz="4" w:space="0" w:color="auto"/>
              <w:right w:val="single" w:sz="4" w:space="0" w:color="auto"/>
            </w:tcBorders>
          </w:tcPr>
          <w:p w:rsidR="00E26C1C" w:rsidRPr="007B7470" w:rsidRDefault="00E26C1C" w:rsidP="00D27093">
            <w:pPr>
              <w:rPr>
                <w:b/>
                <w:bCs/>
                <w:vertAlign w:val="superscript"/>
                <w:lang w:eastAsia="sk-SK"/>
              </w:rPr>
            </w:pPr>
            <w:r w:rsidRPr="007B7470">
              <w:rPr>
                <w:b/>
                <w:bCs/>
                <w:lang w:eastAsia="sk-SK"/>
              </w:rPr>
              <w:t>Daňové príjmy (100)</w:t>
            </w:r>
            <w:r w:rsidRPr="007B7470">
              <w:rPr>
                <w:b/>
                <w:bCs/>
                <w:vertAlign w:val="superscript"/>
                <w:lang w:eastAsia="sk-SK"/>
              </w:rPr>
              <w:t>1</w:t>
            </w: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3000"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4950" w:type="dxa"/>
            <w:tcBorders>
              <w:top w:val="nil"/>
              <w:left w:val="single" w:sz="4" w:space="0" w:color="auto"/>
              <w:bottom w:val="single" w:sz="4" w:space="0" w:color="auto"/>
              <w:right w:val="single" w:sz="4" w:space="0" w:color="auto"/>
            </w:tcBorders>
          </w:tcPr>
          <w:p w:rsidR="00E26C1C" w:rsidRPr="007B7470" w:rsidRDefault="00E26C1C" w:rsidP="00D27093">
            <w:pPr>
              <w:rPr>
                <w:b/>
                <w:bCs/>
                <w:lang w:eastAsia="sk-SK"/>
              </w:rPr>
            </w:pPr>
            <w:r w:rsidRPr="007B7470">
              <w:rPr>
                <w:b/>
                <w:bCs/>
                <w:lang w:eastAsia="sk-SK"/>
              </w:rPr>
              <w:t>Nedaňové príjmy (200)</w:t>
            </w:r>
            <w:r w:rsidRPr="007B7470">
              <w:rPr>
                <w:b/>
                <w:bCs/>
                <w:vertAlign w:val="superscript"/>
                <w:lang w:eastAsia="sk-SK"/>
              </w:rPr>
              <w:t>1</w:t>
            </w: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3000"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4950" w:type="dxa"/>
            <w:tcBorders>
              <w:top w:val="nil"/>
              <w:left w:val="single" w:sz="4" w:space="0" w:color="auto"/>
              <w:bottom w:val="single" w:sz="4" w:space="0" w:color="auto"/>
              <w:right w:val="single" w:sz="4" w:space="0" w:color="auto"/>
            </w:tcBorders>
          </w:tcPr>
          <w:p w:rsidR="00E26C1C" w:rsidRPr="007B7470" w:rsidRDefault="00E26C1C" w:rsidP="00D27093">
            <w:pPr>
              <w:rPr>
                <w:b/>
                <w:bCs/>
                <w:lang w:eastAsia="sk-SK"/>
              </w:rPr>
            </w:pPr>
            <w:r w:rsidRPr="007B7470">
              <w:rPr>
                <w:b/>
                <w:bCs/>
                <w:lang w:eastAsia="sk-SK"/>
              </w:rPr>
              <w:t>Granty a transfery (300)</w:t>
            </w:r>
            <w:r w:rsidRPr="007B7470">
              <w:rPr>
                <w:b/>
                <w:bCs/>
                <w:vertAlign w:val="superscript"/>
                <w:lang w:eastAsia="sk-SK"/>
              </w:rPr>
              <w:t>1</w:t>
            </w: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0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3000"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4950" w:type="dxa"/>
            <w:tcBorders>
              <w:top w:val="nil"/>
              <w:left w:val="single" w:sz="4" w:space="0" w:color="auto"/>
              <w:bottom w:val="single" w:sz="4" w:space="0" w:color="auto"/>
              <w:right w:val="single" w:sz="4" w:space="0" w:color="auto"/>
            </w:tcBorders>
          </w:tcPr>
          <w:p w:rsidR="00E26C1C" w:rsidRPr="007B7470" w:rsidRDefault="00E26C1C" w:rsidP="00D27093">
            <w:pPr>
              <w:rPr>
                <w:b/>
                <w:bCs/>
                <w:lang w:eastAsia="sk-SK"/>
              </w:rPr>
            </w:pPr>
            <w:r w:rsidRPr="007B7470">
              <w:rPr>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lang w:eastAsia="sk-SK"/>
              </w:rPr>
            </w:pPr>
            <w:r w:rsidRPr="007B7470">
              <w:rPr>
                <w:b/>
                <w:bCs/>
                <w:lang w:eastAsia="sk-SK"/>
              </w:rPr>
              <w:t> </w:t>
            </w:r>
          </w:p>
        </w:tc>
        <w:tc>
          <w:tcPr>
            <w:tcW w:w="150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lang w:eastAsia="sk-SK"/>
              </w:rPr>
            </w:pPr>
            <w:r w:rsidRPr="007B7470">
              <w:rPr>
                <w:b/>
                <w:bCs/>
                <w:lang w:eastAsia="sk-SK"/>
              </w:rPr>
              <w:t> </w:t>
            </w:r>
          </w:p>
        </w:tc>
        <w:tc>
          <w:tcPr>
            <w:tcW w:w="150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lang w:eastAsia="sk-SK"/>
              </w:rPr>
            </w:pPr>
            <w:r w:rsidRPr="007B7470">
              <w:rPr>
                <w:b/>
                <w:bCs/>
                <w:lang w:eastAsia="sk-SK"/>
              </w:rPr>
              <w:t> </w:t>
            </w:r>
          </w:p>
        </w:tc>
        <w:tc>
          <w:tcPr>
            <w:tcW w:w="150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lang w:eastAsia="sk-SK"/>
              </w:rPr>
            </w:pPr>
            <w:r w:rsidRPr="007B7470">
              <w:rPr>
                <w:b/>
                <w:bCs/>
                <w:lang w:eastAsia="sk-SK"/>
              </w:rPr>
              <w:t> </w:t>
            </w:r>
          </w:p>
        </w:tc>
        <w:tc>
          <w:tcPr>
            <w:tcW w:w="3000"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4950" w:type="dxa"/>
            <w:tcBorders>
              <w:top w:val="nil"/>
              <w:left w:val="single" w:sz="4" w:space="0" w:color="auto"/>
              <w:bottom w:val="single" w:sz="4" w:space="0" w:color="auto"/>
              <w:right w:val="single" w:sz="4" w:space="0" w:color="auto"/>
            </w:tcBorders>
          </w:tcPr>
          <w:p w:rsidR="00E26C1C" w:rsidRPr="007B7470" w:rsidRDefault="00E26C1C" w:rsidP="00D27093">
            <w:pPr>
              <w:rPr>
                <w:b/>
                <w:bCs/>
                <w:lang w:eastAsia="sk-SK"/>
              </w:rPr>
            </w:pPr>
            <w:r w:rsidRPr="007B7470">
              <w:rPr>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lang w:eastAsia="sk-SK"/>
              </w:rPr>
            </w:pPr>
            <w:r w:rsidRPr="007B7470">
              <w:rPr>
                <w:b/>
                <w:bCs/>
                <w:lang w:eastAsia="sk-SK"/>
              </w:rPr>
              <w:t> </w:t>
            </w:r>
          </w:p>
        </w:tc>
        <w:tc>
          <w:tcPr>
            <w:tcW w:w="150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lang w:eastAsia="sk-SK"/>
              </w:rPr>
            </w:pPr>
            <w:r w:rsidRPr="007B7470">
              <w:rPr>
                <w:b/>
                <w:bCs/>
                <w:lang w:eastAsia="sk-SK"/>
              </w:rPr>
              <w:t> </w:t>
            </w:r>
          </w:p>
        </w:tc>
        <w:tc>
          <w:tcPr>
            <w:tcW w:w="150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lang w:eastAsia="sk-SK"/>
              </w:rPr>
            </w:pPr>
            <w:r w:rsidRPr="007B7470">
              <w:rPr>
                <w:b/>
                <w:bCs/>
                <w:lang w:eastAsia="sk-SK"/>
              </w:rPr>
              <w:t> </w:t>
            </w:r>
          </w:p>
        </w:tc>
        <w:tc>
          <w:tcPr>
            <w:tcW w:w="150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lang w:eastAsia="sk-SK"/>
              </w:rPr>
            </w:pPr>
            <w:r w:rsidRPr="007B7470">
              <w:rPr>
                <w:b/>
                <w:bCs/>
                <w:lang w:eastAsia="sk-SK"/>
              </w:rPr>
              <w:t> </w:t>
            </w:r>
          </w:p>
        </w:tc>
        <w:tc>
          <w:tcPr>
            <w:tcW w:w="3000"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E26C1C" w:rsidRPr="007B7470" w:rsidRDefault="00E26C1C" w:rsidP="00D27093">
            <w:pPr>
              <w:rPr>
                <w:b/>
                <w:bCs/>
                <w:lang w:eastAsia="sk-SK"/>
              </w:rPr>
            </w:pPr>
            <w:r w:rsidRPr="007B7470">
              <w:rPr>
                <w:b/>
                <w:bCs/>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lang w:eastAsia="sk-SK"/>
              </w:rPr>
            </w:pPr>
            <w:r w:rsidRPr="007B7470">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lang w:eastAsia="sk-SK"/>
              </w:rPr>
            </w:pPr>
            <w:r w:rsidRPr="007B7470">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lang w:eastAsia="sk-SK"/>
              </w:rPr>
            </w:pPr>
            <w:r w:rsidRPr="007B7470">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lang w:eastAsia="sk-SK"/>
              </w:rPr>
            </w:pPr>
            <w:r w:rsidRPr="007B7470">
              <w:rPr>
                <w:b/>
                <w:bCs/>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E26C1C" w:rsidRPr="007B7470" w:rsidRDefault="00E26C1C" w:rsidP="00D27093">
            <w:pPr>
              <w:rPr>
                <w:lang w:eastAsia="sk-SK"/>
              </w:rPr>
            </w:pPr>
            <w:r w:rsidRPr="007B7470">
              <w:rPr>
                <w:lang w:eastAsia="sk-SK"/>
              </w:rPr>
              <w:t> </w:t>
            </w:r>
          </w:p>
        </w:tc>
      </w:tr>
    </w:tbl>
    <w:p w:rsidR="00E26C1C" w:rsidRPr="007B7470" w:rsidRDefault="00E26C1C" w:rsidP="00E26C1C">
      <w:pPr>
        <w:tabs>
          <w:tab w:val="num" w:pos="1080"/>
        </w:tabs>
        <w:jc w:val="both"/>
        <w:rPr>
          <w:bCs/>
          <w:sz w:val="20"/>
          <w:szCs w:val="20"/>
          <w:lang w:eastAsia="sk-SK"/>
        </w:rPr>
      </w:pPr>
      <w:r w:rsidRPr="007B7470">
        <w:rPr>
          <w:bCs/>
          <w:sz w:val="20"/>
          <w:szCs w:val="20"/>
          <w:lang w:eastAsia="sk-SK"/>
        </w:rPr>
        <w:t>1 –  príjmy rozpísať až do položiek platnej ekonomickej klasifikácie</w:t>
      </w:r>
    </w:p>
    <w:p w:rsidR="00E26C1C" w:rsidRPr="007B7470" w:rsidRDefault="00E26C1C" w:rsidP="00E26C1C">
      <w:pPr>
        <w:tabs>
          <w:tab w:val="num" w:pos="1080"/>
        </w:tabs>
        <w:jc w:val="both"/>
        <w:rPr>
          <w:bCs/>
          <w:szCs w:val="20"/>
          <w:lang w:eastAsia="sk-SK"/>
        </w:rPr>
      </w:pPr>
    </w:p>
    <w:p w:rsidR="00E26C1C" w:rsidRPr="007B7470" w:rsidRDefault="00E26C1C" w:rsidP="00E26C1C">
      <w:pPr>
        <w:tabs>
          <w:tab w:val="num" w:pos="1080"/>
        </w:tabs>
        <w:jc w:val="both"/>
        <w:rPr>
          <w:b/>
          <w:bCs/>
          <w:szCs w:val="20"/>
          <w:lang w:eastAsia="sk-SK"/>
        </w:rPr>
      </w:pPr>
      <w:r w:rsidRPr="007B7470">
        <w:rPr>
          <w:b/>
          <w:bCs/>
          <w:szCs w:val="20"/>
          <w:lang w:eastAsia="sk-SK"/>
        </w:rPr>
        <w:t>Poznámka:</w:t>
      </w:r>
    </w:p>
    <w:p w:rsidR="00E26C1C" w:rsidRPr="007B7470" w:rsidRDefault="00E26C1C" w:rsidP="00E26C1C">
      <w:pPr>
        <w:tabs>
          <w:tab w:val="num" w:pos="1080"/>
        </w:tabs>
        <w:jc w:val="both"/>
        <w:rPr>
          <w:bCs/>
          <w:szCs w:val="20"/>
          <w:lang w:eastAsia="sk-SK"/>
        </w:rPr>
      </w:pPr>
      <w:r w:rsidRPr="007B7470">
        <w:rPr>
          <w:bCs/>
          <w:szCs w:val="20"/>
          <w:lang w:eastAsia="sk-SK"/>
        </w:rPr>
        <w:t>Ak sa vplyv týka viacerých subjektov verejnej správy, vypĺňa sa samostatná tabuľka za každý subjekt.</w:t>
      </w:r>
    </w:p>
    <w:p w:rsidR="00E26C1C" w:rsidRPr="007B7470" w:rsidRDefault="00E26C1C" w:rsidP="00E26C1C">
      <w:pPr>
        <w:tabs>
          <w:tab w:val="num" w:pos="1080"/>
        </w:tabs>
        <w:ind w:right="-578"/>
        <w:jc w:val="right"/>
        <w:rPr>
          <w:bCs/>
          <w:lang w:eastAsia="sk-SK"/>
        </w:rPr>
      </w:pPr>
      <w:r w:rsidRPr="007B7470">
        <w:rPr>
          <w:bCs/>
          <w:lang w:eastAsia="sk-SK"/>
        </w:rPr>
        <w:t xml:space="preserve"> </w:t>
      </w: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ind w:right="-578"/>
        <w:jc w:val="right"/>
        <w:rPr>
          <w:bCs/>
          <w:lang w:eastAsia="sk-SK"/>
        </w:rPr>
      </w:pPr>
    </w:p>
    <w:p w:rsidR="00E26C1C" w:rsidRPr="007B7470" w:rsidRDefault="00E26C1C" w:rsidP="00E26C1C">
      <w:pPr>
        <w:tabs>
          <w:tab w:val="num" w:pos="1080"/>
        </w:tabs>
        <w:jc w:val="both"/>
        <w:rPr>
          <w:bCs/>
          <w:sz w:val="20"/>
          <w:szCs w:val="20"/>
          <w:lang w:eastAsia="sk-SK"/>
        </w:rPr>
      </w:pPr>
      <w:r w:rsidRPr="007B7470">
        <w:rPr>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26C1C" w:rsidRPr="007B7470" w:rsidTr="00D2709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26C1C" w:rsidRPr="007B7470" w:rsidRDefault="00E26C1C" w:rsidP="00D27093">
            <w:pPr>
              <w:jc w:val="center"/>
              <w:rPr>
                <w:b/>
                <w:bCs/>
                <w:sz w:val="20"/>
                <w:szCs w:val="20"/>
                <w:lang w:eastAsia="sk-SK"/>
              </w:rPr>
            </w:pPr>
            <w:r w:rsidRPr="007B7470">
              <w:rPr>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sz w:val="20"/>
                <w:szCs w:val="20"/>
                <w:lang w:eastAsia="sk-SK"/>
              </w:rPr>
            </w:pPr>
            <w:r w:rsidRPr="007B7470">
              <w:rPr>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26C1C" w:rsidRPr="007B7470" w:rsidRDefault="00E26C1C" w:rsidP="00D27093">
            <w:pPr>
              <w:jc w:val="center"/>
              <w:rPr>
                <w:b/>
                <w:bCs/>
                <w:lang w:eastAsia="sk-SK"/>
              </w:rPr>
            </w:pPr>
            <w:r w:rsidRPr="007B7470">
              <w:rPr>
                <w:b/>
                <w:bCs/>
                <w:lang w:eastAsia="sk-SK"/>
              </w:rPr>
              <w:t>poznámka</w:t>
            </w:r>
          </w:p>
        </w:tc>
      </w:tr>
      <w:tr w:rsidR="00E26C1C" w:rsidRPr="007B7470" w:rsidTr="00D2709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E26C1C" w:rsidRPr="007B7470" w:rsidRDefault="00E26C1C" w:rsidP="00D27093">
            <w:pPr>
              <w:rPr>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E26C1C" w:rsidRPr="007B7470" w:rsidRDefault="00E26C1C" w:rsidP="00D27093">
            <w:pPr>
              <w:rPr>
                <w:b/>
                <w:bCs/>
                <w:color w:val="FFFFFF"/>
                <w:lang w:eastAsia="sk-SK"/>
              </w:rPr>
            </w:pP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b/>
                <w:bCs/>
                <w:sz w:val="20"/>
                <w:szCs w:val="20"/>
                <w:lang w:eastAsia="sk-SK"/>
              </w:rPr>
            </w:pPr>
            <w:r w:rsidRPr="007B7470">
              <w:rPr>
                <w:b/>
                <w:bCs/>
                <w:sz w:val="20"/>
                <w:szCs w:val="20"/>
                <w:lang w:eastAsia="sk-SK"/>
              </w:rPr>
              <w:t>Bežné výdavky (600)</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b/>
                <w:bCs/>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b/>
                <w:bCs/>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b/>
                <w:bCs/>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sz w:val="20"/>
                <w:szCs w:val="20"/>
                <w:lang w:eastAsia="sk-SK"/>
              </w:rPr>
            </w:pPr>
            <w:r w:rsidRPr="007B7470">
              <w:rPr>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sz w:val="20"/>
                <w:szCs w:val="20"/>
                <w:vertAlign w:val="superscript"/>
                <w:lang w:eastAsia="sk-SK"/>
              </w:rPr>
            </w:pPr>
            <w:r w:rsidRPr="007B7470">
              <w:rPr>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sz w:val="20"/>
                <w:szCs w:val="20"/>
                <w:vertAlign w:val="superscript"/>
                <w:lang w:eastAsia="sk-SK"/>
              </w:rPr>
            </w:pPr>
            <w:r w:rsidRPr="007B7470">
              <w:rPr>
                <w:sz w:val="20"/>
                <w:szCs w:val="20"/>
                <w:lang w:eastAsia="sk-SK"/>
              </w:rPr>
              <w:t xml:space="preserve">  Tovary a služby (630)</w:t>
            </w:r>
            <w:r w:rsidRPr="007B7470">
              <w:rPr>
                <w:sz w:val="20"/>
                <w:szCs w:val="20"/>
                <w:vertAlign w:val="superscript"/>
                <w:lang w:eastAsia="sk-SK"/>
              </w:rPr>
              <w:t>2</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sz w:val="20"/>
                <w:szCs w:val="20"/>
                <w:lang w:eastAsia="sk-SK"/>
              </w:rPr>
            </w:pPr>
            <w:r w:rsidRPr="007B7470">
              <w:rPr>
                <w:sz w:val="20"/>
                <w:szCs w:val="20"/>
                <w:lang w:eastAsia="sk-SK"/>
              </w:rPr>
              <w:t xml:space="preserve">  Bežné transfery (640)</w:t>
            </w:r>
            <w:r w:rsidRPr="007B7470">
              <w:rPr>
                <w:sz w:val="20"/>
                <w:szCs w:val="20"/>
                <w:vertAlign w:val="superscript"/>
                <w:lang w:eastAsia="sk-SK"/>
              </w:rPr>
              <w:t>2</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vAlign w:val="center"/>
          </w:tcPr>
          <w:p w:rsidR="00E26C1C" w:rsidRPr="007B7470" w:rsidRDefault="00E26C1C" w:rsidP="00D27093">
            <w:pPr>
              <w:rPr>
                <w:sz w:val="20"/>
                <w:szCs w:val="20"/>
                <w:lang w:eastAsia="sk-SK"/>
              </w:rPr>
            </w:pPr>
            <w:r w:rsidRPr="007B7470">
              <w:rPr>
                <w:sz w:val="20"/>
                <w:szCs w:val="20"/>
                <w:lang w:eastAsia="sk-SK"/>
              </w:rPr>
              <w:t xml:space="preserve">  Splácanie úrokov a ostatné platby súvisiace s </w:t>
            </w:r>
            <w:r w:rsidRPr="007B7470">
              <w:t xml:space="preserve"> </w:t>
            </w:r>
            <w:r w:rsidRPr="007B7470">
              <w:rPr>
                <w:sz w:val="20"/>
                <w:szCs w:val="20"/>
                <w:lang w:eastAsia="sk-SK"/>
              </w:rPr>
              <w:t>úverom, pôžičkou, návratnou finančnou výpomocou a finančným prenájmom (650)</w:t>
            </w:r>
            <w:r w:rsidRPr="007B7470">
              <w:rPr>
                <w:sz w:val="20"/>
                <w:szCs w:val="20"/>
                <w:vertAlign w:val="superscript"/>
                <w:lang w:eastAsia="sk-SK"/>
              </w:rPr>
              <w:t>2</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b/>
                <w:bCs/>
                <w:sz w:val="20"/>
                <w:szCs w:val="20"/>
                <w:lang w:eastAsia="sk-SK"/>
              </w:rPr>
            </w:pPr>
            <w:r w:rsidRPr="007B7470">
              <w:rPr>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b/>
                <w:bCs/>
                <w:sz w:val="20"/>
                <w:szCs w:val="20"/>
                <w:lang w:eastAsia="sk-SK"/>
              </w:rPr>
            </w:pPr>
            <w:r>
              <w:rPr>
                <w:b/>
                <w:bCs/>
                <w:lang w:eastAsia="sk-SK"/>
              </w:rPr>
              <w:t>198 290</w:t>
            </w:r>
          </w:p>
        </w:tc>
        <w:tc>
          <w:tcPr>
            <w:tcW w:w="1650" w:type="dxa"/>
            <w:tcBorders>
              <w:top w:val="nil"/>
              <w:left w:val="nil"/>
              <w:bottom w:val="single" w:sz="4" w:space="0" w:color="auto"/>
              <w:right w:val="single" w:sz="4" w:space="0" w:color="auto"/>
            </w:tcBorders>
          </w:tcPr>
          <w:p w:rsidR="00E26C1C" w:rsidRPr="007B7470" w:rsidRDefault="00E26C1C" w:rsidP="00D27093">
            <w:pPr>
              <w:jc w:val="center"/>
              <w:rPr>
                <w:b/>
                <w:bCs/>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b/>
                <w:bCs/>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sz w:val="20"/>
                <w:szCs w:val="20"/>
                <w:lang w:eastAsia="sk-SK"/>
              </w:rPr>
            </w:pPr>
            <w:r>
              <w:rPr>
                <w:sz w:val="20"/>
                <w:szCs w:val="20"/>
                <w:lang w:eastAsia="sk-SK"/>
              </w:rPr>
              <w:t xml:space="preserve">  </w:t>
            </w:r>
            <w:r w:rsidRPr="007B7470">
              <w:rPr>
                <w:sz w:val="20"/>
                <w:szCs w:val="20"/>
                <w:lang w:eastAsia="sk-SK"/>
              </w:rPr>
              <w:t xml:space="preserve"> Obstarávanie kapitálových aktív (</w:t>
            </w:r>
            <w:r>
              <w:rPr>
                <w:sz w:val="20"/>
                <w:szCs w:val="20"/>
                <w:lang w:eastAsia="sk-SK"/>
              </w:rPr>
              <w:t>710) podprogram medzirezortného programu 0EK 0D Informačné technológie financované zo štátneho rozpočtu – Ministerstvo financií SR</w:t>
            </w:r>
            <w:r w:rsidRPr="007B7470">
              <w:rPr>
                <w:sz w:val="20"/>
                <w:szCs w:val="20"/>
                <w:lang w:eastAsia="sk-SK"/>
              </w:rPr>
              <w:t>)</w:t>
            </w:r>
            <w:r w:rsidRPr="007B7470">
              <w:rPr>
                <w:sz w:val="20"/>
                <w:szCs w:val="20"/>
                <w:vertAlign w:val="superscript"/>
                <w:lang w:eastAsia="sk-SK"/>
              </w:rPr>
              <w:t>2</w:t>
            </w:r>
          </w:p>
        </w:tc>
        <w:tc>
          <w:tcPr>
            <w:tcW w:w="1430" w:type="dxa"/>
            <w:tcBorders>
              <w:top w:val="nil"/>
              <w:left w:val="nil"/>
              <w:bottom w:val="single" w:sz="4" w:space="0" w:color="auto"/>
              <w:right w:val="single" w:sz="4" w:space="0" w:color="auto"/>
            </w:tcBorders>
          </w:tcPr>
          <w:p w:rsidR="00E26C1C" w:rsidRDefault="00E26C1C" w:rsidP="00D27093">
            <w:pPr>
              <w:jc w:val="center"/>
              <w:rPr>
                <w:sz w:val="20"/>
                <w:szCs w:val="20"/>
                <w:lang w:eastAsia="sk-SK"/>
              </w:rPr>
            </w:pPr>
            <w:r>
              <w:rPr>
                <w:sz w:val="20"/>
                <w:szCs w:val="20"/>
                <w:lang w:eastAsia="sk-SK"/>
              </w:rPr>
              <w:t>198 290</w:t>
            </w:r>
          </w:p>
        </w:tc>
        <w:tc>
          <w:tcPr>
            <w:tcW w:w="165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Default="00E26C1C" w:rsidP="00D27093">
            <w:pPr>
              <w:rPr>
                <w:sz w:val="20"/>
                <w:szCs w:val="20"/>
                <w:lang w:eastAsia="sk-SK"/>
              </w:rPr>
            </w:pPr>
            <w:r w:rsidRPr="007B7470">
              <w:rPr>
                <w:sz w:val="20"/>
                <w:szCs w:val="20"/>
                <w:lang w:eastAsia="sk-SK"/>
              </w:rPr>
              <w:t xml:space="preserve">  </w:t>
            </w:r>
            <w:r>
              <w:rPr>
                <w:sz w:val="20"/>
                <w:szCs w:val="20"/>
                <w:lang w:eastAsia="sk-SK"/>
              </w:rPr>
              <w:t>Rekonštrukcia a modernizácia</w:t>
            </w:r>
            <w:r w:rsidRPr="007B7470">
              <w:rPr>
                <w:sz w:val="20"/>
                <w:szCs w:val="20"/>
                <w:lang w:eastAsia="sk-SK"/>
              </w:rPr>
              <w:t xml:space="preserve"> (</w:t>
            </w:r>
            <w:r>
              <w:rPr>
                <w:sz w:val="20"/>
                <w:szCs w:val="20"/>
                <w:lang w:eastAsia="sk-SK"/>
              </w:rPr>
              <w:t>718) podprogram medzirezortného programu 0EK 0D Informačné technológie financované zo štátneho rozpočtu – Ministerstvo financií SR</w:t>
            </w:r>
            <w:r w:rsidRPr="007B7470">
              <w:rPr>
                <w:sz w:val="20"/>
                <w:szCs w:val="20"/>
                <w:lang w:eastAsia="sk-SK"/>
              </w:rPr>
              <w:t>)</w:t>
            </w:r>
            <w:r w:rsidRPr="007B7470">
              <w:rPr>
                <w:sz w:val="20"/>
                <w:szCs w:val="20"/>
                <w:vertAlign w:val="superscript"/>
                <w:lang w:eastAsia="sk-SK"/>
              </w:rPr>
              <w:t>2</w:t>
            </w:r>
          </w:p>
        </w:tc>
        <w:tc>
          <w:tcPr>
            <w:tcW w:w="1430" w:type="dxa"/>
            <w:tcBorders>
              <w:top w:val="nil"/>
              <w:left w:val="nil"/>
              <w:bottom w:val="single" w:sz="4" w:space="0" w:color="auto"/>
              <w:right w:val="single" w:sz="4" w:space="0" w:color="auto"/>
            </w:tcBorders>
          </w:tcPr>
          <w:p w:rsidR="00E26C1C" w:rsidRDefault="00E26C1C" w:rsidP="00D27093">
            <w:pPr>
              <w:jc w:val="center"/>
              <w:rPr>
                <w:sz w:val="20"/>
                <w:szCs w:val="20"/>
                <w:lang w:eastAsia="sk-SK"/>
              </w:rPr>
            </w:pPr>
            <w:r>
              <w:rPr>
                <w:sz w:val="20"/>
                <w:szCs w:val="20"/>
                <w:lang w:eastAsia="sk-SK"/>
              </w:rPr>
              <w:t>198 290</w:t>
            </w:r>
          </w:p>
        </w:tc>
        <w:tc>
          <w:tcPr>
            <w:tcW w:w="165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sz w:val="20"/>
                <w:szCs w:val="20"/>
                <w:lang w:eastAsia="sk-SK"/>
              </w:rPr>
            </w:pPr>
            <w:r w:rsidRPr="007B7470">
              <w:rPr>
                <w:sz w:val="20"/>
                <w:szCs w:val="20"/>
                <w:lang w:eastAsia="sk-SK"/>
              </w:rPr>
              <w:t xml:space="preserve">  Kapitálové transfery (720)</w:t>
            </w:r>
            <w:r w:rsidRPr="007B7470">
              <w:rPr>
                <w:sz w:val="20"/>
                <w:szCs w:val="20"/>
                <w:vertAlign w:val="superscript"/>
                <w:lang w:eastAsia="sk-SK"/>
              </w:rPr>
              <w:t>2</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b/>
                <w:bCs/>
                <w:sz w:val="20"/>
                <w:szCs w:val="20"/>
                <w:lang w:eastAsia="sk-SK"/>
              </w:rPr>
            </w:pPr>
            <w:r w:rsidRPr="007B7470">
              <w:rPr>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sz w:val="20"/>
                <w:szCs w:val="20"/>
                <w:lang w:eastAsia="sk-SK"/>
              </w:rPr>
            </w:pPr>
            <w:r w:rsidRPr="007B7470">
              <w:rPr>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sz w:val="20"/>
                <w:szCs w:val="20"/>
                <w:lang w:eastAsia="sk-SK"/>
              </w:rPr>
            </w:pPr>
            <w:r w:rsidRPr="007B7470">
              <w:rPr>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sz w:val="20"/>
                <w:szCs w:val="20"/>
                <w:lang w:eastAsia="sk-SK"/>
              </w:rPr>
            </w:pPr>
            <w:r w:rsidRPr="007B7470">
              <w:rPr>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E26C1C" w:rsidRPr="007B7470" w:rsidRDefault="00E26C1C" w:rsidP="00D27093">
            <w:pPr>
              <w:jc w:val="center"/>
              <w:rPr>
                <w:b/>
                <w:bCs/>
                <w:lang w:eastAsia="sk-SK"/>
              </w:rPr>
            </w:pPr>
            <w:r w:rsidRPr="007B7470">
              <w:rPr>
                <w:b/>
                <w:bCs/>
                <w:lang w:eastAsia="sk-SK"/>
              </w:rPr>
              <w:t> </w:t>
            </w: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26C1C" w:rsidRPr="007B7470" w:rsidRDefault="00E26C1C" w:rsidP="00D27093">
            <w:pPr>
              <w:rPr>
                <w:b/>
                <w:bCs/>
                <w:sz w:val="20"/>
                <w:szCs w:val="20"/>
                <w:lang w:eastAsia="sk-SK"/>
              </w:rPr>
            </w:pPr>
            <w:r w:rsidRPr="007B7470">
              <w:rPr>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sz w:val="20"/>
                <w:szCs w:val="20"/>
                <w:lang w:eastAsia="sk-SK"/>
              </w:rPr>
            </w:pPr>
            <w:r>
              <w:rPr>
                <w:b/>
                <w:bCs/>
                <w:lang w:eastAsia="sk-SK"/>
              </w:rPr>
              <w:t>198 290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sz w:val="20"/>
                <w:szCs w:val="20"/>
                <w:lang w:eastAsia="sk-SK"/>
              </w:rPr>
            </w:pPr>
            <w:r w:rsidRPr="007B7470">
              <w:rPr>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sz w:val="20"/>
                <w:szCs w:val="20"/>
                <w:lang w:eastAsia="sk-SK"/>
              </w:rPr>
            </w:pPr>
            <w:r w:rsidRPr="007B7470">
              <w:rPr>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lang w:eastAsia="sk-SK"/>
              </w:rPr>
            </w:pPr>
            <w:r w:rsidRPr="007B7470">
              <w:rPr>
                <w:b/>
                <w:bCs/>
                <w:sz w:val="20"/>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E26C1C" w:rsidRPr="007B7470" w:rsidRDefault="00E26C1C" w:rsidP="00D27093">
            <w:pPr>
              <w:rPr>
                <w:lang w:eastAsia="sk-SK"/>
              </w:rPr>
            </w:pPr>
            <w:r w:rsidRPr="007B7470">
              <w:rPr>
                <w:lang w:eastAsia="sk-SK"/>
              </w:rPr>
              <w:t> </w:t>
            </w:r>
          </w:p>
        </w:tc>
      </w:tr>
    </w:tbl>
    <w:p w:rsidR="00E26C1C" w:rsidRPr="007B7470" w:rsidRDefault="00E26C1C" w:rsidP="00E26C1C">
      <w:pPr>
        <w:tabs>
          <w:tab w:val="num" w:pos="1080"/>
        </w:tabs>
        <w:ind w:left="-900"/>
        <w:jc w:val="both"/>
        <w:rPr>
          <w:bCs/>
          <w:sz w:val="20"/>
          <w:szCs w:val="20"/>
          <w:lang w:eastAsia="sk-SK"/>
        </w:rPr>
      </w:pPr>
      <w:r w:rsidRPr="007B7470">
        <w:rPr>
          <w:bCs/>
          <w:sz w:val="20"/>
          <w:szCs w:val="20"/>
          <w:lang w:eastAsia="sk-SK"/>
        </w:rPr>
        <w:t xml:space="preserve">  2 –  výdavky rozpísať až do položiek platnej ekonomickej klasifikácie</w:t>
      </w:r>
    </w:p>
    <w:p w:rsidR="00E26C1C" w:rsidRPr="007B7470" w:rsidRDefault="00E26C1C" w:rsidP="00E26C1C">
      <w:pPr>
        <w:tabs>
          <w:tab w:val="num" w:pos="1080"/>
        </w:tabs>
        <w:ind w:left="-900"/>
        <w:jc w:val="both"/>
        <w:rPr>
          <w:bCs/>
          <w:szCs w:val="20"/>
          <w:lang w:eastAsia="sk-SK"/>
        </w:rPr>
      </w:pPr>
    </w:p>
    <w:p w:rsidR="00E26C1C" w:rsidRPr="007B7470" w:rsidRDefault="00E26C1C" w:rsidP="00E26C1C">
      <w:pPr>
        <w:tabs>
          <w:tab w:val="num" w:pos="1080"/>
        </w:tabs>
        <w:ind w:left="-900"/>
        <w:jc w:val="both"/>
        <w:rPr>
          <w:b/>
          <w:bCs/>
          <w:sz w:val="20"/>
          <w:szCs w:val="20"/>
          <w:lang w:eastAsia="sk-SK"/>
        </w:rPr>
      </w:pPr>
      <w:r w:rsidRPr="007B7470">
        <w:rPr>
          <w:b/>
          <w:bCs/>
          <w:szCs w:val="20"/>
          <w:lang w:eastAsia="sk-SK"/>
        </w:rPr>
        <w:t xml:space="preserve">  Poznámka:</w:t>
      </w:r>
    </w:p>
    <w:p w:rsidR="00E26C1C" w:rsidRPr="007B7470" w:rsidRDefault="00E26C1C" w:rsidP="00E26C1C">
      <w:pPr>
        <w:tabs>
          <w:tab w:val="num" w:pos="1080"/>
        </w:tabs>
        <w:ind w:left="-900"/>
        <w:jc w:val="both"/>
        <w:rPr>
          <w:bCs/>
          <w:sz w:val="20"/>
          <w:szCs w:val="20"/>
          <w:lang w:eastAsia="sk-SK"/>
        </w:rPr>
      </w:pPr>
      <w:r w:rsidRPr="007B7470">
        <w:rPr>
          <w:bCs/>
          <w:szCs w:val="20"/>
          <w:lang w:eastAsia="sk-SK"/>
        </w:rPr>
        <w:t xml:space="preserve">  Ak sa vplyv týka viacerých subjektov verejnej správy, vypĺňa sa samostatná tabuľka za každý subjekt.</w:t>
      </w: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r w:rsidRPr="007B7470">
        <w:rPr>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26C1C" w:rsidRPr="007B7470" w:rsidTr="00D2709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themeColor="text1"/>
                <w:sz w:val="20"/>
                <w:szCs w:val="20"/>
                <w:lang w:eastAsia="sk-SK"/>
              </w:rPr>
            </w:pPr>
            <w:r w:rsidRPr="007B7470">
              <w:rPr>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color w:val="000000" w:themeColor="text1"/>
                <w:sz w:val="20"/>
                <w:szCs w:val="20"/>
                <w:lang w:eastAsia="sk-SK"/>
              </w:rPr>
            </w:pPr>
            <w:r w:rsidRPr="007B7470">
              <w:rPr>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26C1C" w:rsidRPr="007B7470" w:rsidRDefault="00E26C1C" w:rsidP="00D27093">
            <w:pPr>
              <w:jc w:val="center"/>
              <w:rPr>
                <w:b/>
                <w:bCs/>
                <w:color w:val="000000" w:themeColor="text1"/>
                <w:lang w:eastAsia="sk-SK"/>
              </w:rPr>
            </w:pPr>
            <w:r w:rsidRPr="007B7470">
              <w:rPr>
                <w:b/>
                <w:bCs/>
                <w:color w:val="000000" w:themeColor="text1"/>
                <w:lang w:eastAsia="sk-SK"/>
              </w:rPr>
              <w:t>poznámka</w:t>
            </w:r>
          </w:p>
        </w:tc>
      </w:tr>
      <w:tr w:rsidR="00E26C1C" w:rsidRPr="007B7470" w:rsidTr="00D2709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E26C1C" w:rsidRPr="007B7470" w:rsidRDefault="00E26C1C" w:rsidP="00D27093">
            <w:pPr>
              <w:rPr>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E26C1C" w:rsidRPr="007B7470" w:rsidRDefault="00E26C1C" w:rsidP="00D27093">
            <w:pPr>
              <w:rPr>
                <w:b/>
                <w:bCs/>
                <w:color w:val="000000" w:themeColor="text1"/>
                <w:lang w:eastAsia="sk-SK"/>
              </w:rPr>
            </w:pP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b/>
                <w:bCs/>
                <w:color w:val="000000" w:themeColor="text1"/>
                <w:sz w:val="20"/>
                <w:szCs w:val="20"/>
                <w:lang w:eastAsia="sk-SK"/>
              </w:rPr>
            </w:pPr>
            <w:r w:rsidRPr="007B7470">
              <w:rPr>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color w:val="000000" w:themeColor="text1"/>
                <w:lang w:eastAsia="sk-SK"/>
              </w:rPr>
            </w:pP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b/>
                <w:bCs/>
                <w:color w:val="000000" w:themeColor="text1"/>
                <w:sz w:val="20"/>
                <w:szCs w:val="20"/>
                <w:lang w:eastAsia="sk-SK"/>
              </w:rPr>
            </w:pPr>
            <w:r w:rsidRPr="007B7470">
              <w:rPr>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color w:val="000000" w:themeColor="text1"/>
                <w:lang w:eastAsia="sk-SK"/>
              </w:rPr>
            </w:pPr>
            <w:r w:rsidRPr="007B7470">
              <w:rPr>
                <w:color w:val="000000" w:themeColor="text1"/>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color w:val="000000" w:themeColor="text1"/>
                <w:sz w:val="20"/>
                <w:szCs w:val="20"/>
                <w:lang w:eastAsia="sk-SK"/>
              </w:rPr>
            </w:pPr>
            <w:r w:rsidRPr="007B7470">
              <w:rPr>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color w:val="000000" w:themeColor="text1"/>
                <w:lang w:eastAsia="sk-SK"/>
              </w:rPr>
            </w:pPr>
            <w:r w:rsidRPr="007B7470">
              <w:rPr>
                <w:color w:val="000000" w:themeColor="text1"/>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color w:val="000000" w:themeColor="text1"/>
                <w:sz w:val="20"/>
                <w:szCs w:val="20"/>
                <w:vertAlign w:val="superscript"/>
                <w:lang w:eastAsia="sk-SK"/>
              </w:rPr>
            </w:pPr>
            <w:r w:rsidRPr="007B7470">
              <w:rPr>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color w:val="000000" w:themeColor="text1"/>
                <w:lang w:eastAsia="sk-SK"/>
              </w:rPr>
            </w:pPr>
            <w:r w:rsidRPr="007B7470">
              <w:rPr>
                <w:color w:val="000000" w:themeColor="text1"/>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color w:val="000000" w:themeColor="text1"/>
                <w:sz w:val="20"/>
                <w:szCs w:val="20"/>
                <w:vertAlign w:val="superscript"/>
                <w:lang w:eastAsia="sk-SK"/>
              </w:rPr>
            </w:pPr>
            <w:r w:rsidRPr="007B7470">
              <w:rPr>
                <w:color w:val="000000" w:themeColor="text1"/>
                <w:sz w:val="20"/>
                <w:szCs w:val="20"/>
                <w:lang w:eastAsia="sk-SK"/>
              </w:rPr>
              <w:t xml:space="preserve">  Tovary a služby (630)</w:t>
            </w:r>
            <w:r w:rsidRPr="007B7470">
              <w:rPr>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color w:val="000000" w:themeColor="text1"/>
                <w:lang w:eastAsia="sk-SK"/>
              </w:rPr>
            </w:pPr>
            <w:r w:rsidRPr="007B7470">
              <w:rPr>
                <w:color w:val="000000" w:themeColor="text1"/>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color w:val="000000" w:themeColor="text1"/>
                <w:sz w:val="20"/>
                <w:szCs w:val="20"/>
                <w:lang w:eastAsia="sk-SK"/>
              </w:rPr>
            </w:pPr>
            <w:r w:rsidRPr="007B7470">
              <w:rPr>
                <w:color w:val="000000" w:themeColor="text1"/>
                <w:sz w:val="20"/>
                <w:szCs w:val="20"/>
                <w:lang w:eastAsia="sk-SK"/>
              </w:rPr>
              <w:t xml:space="preserve">  Bežné transfery (640)</w:t>
            </w:r>
            <w:r w:rsidRPr="007B7470">
              <w:rPr>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color w:val="000000" w:themeColor="text1"/>
                <w:lang w:eastAsia="sk-SK"/>
              </w:rPr>
            </w:pPr>
            <w:r w:rsidRPr="007B7470">
              <w:rPr>
                <w:color w:val="000000" w:themeColor="text1"/>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vAlign w:val="center"/>
          </w:tcPr>
          <w:p w:rsidR="00E26C1C" w:rsidRPr="007B7470" w:rsidRDefault="00E26C1C" w:rsidP="00D27093">
            <w:pPr>
              <w:rPr>
                <w:color w:val="000000" w:themeColor="text1"/>
                <w:sz w:val="20"/>
                <w:szCs w:val="20"/>
                <w:lang w:eastAsia="sk-SK"/>
              </w:rPr>
            </w:pPr>
            <w:r w:rsidRPr="007B7470">
              <w:rPr>
                <w:color w:val="000000" w:themeColor="text1"/>
                <w:sz w:val="20"/>
                <w:szCs w:val="20"/>
                <w:lang w:eastAsia="sk-SK"/>
              </w:rPr>
              <w:t xml:space="preserve">  Splácanie úrokov a ostatné platby súvisiace s </w:t>
            </w:r>
            <w:r w:rsidRPr="007B7470">
              <w:rPr>
                <w:color w:val="000000" w:themeColor="text1"/>
              </w:rPr>
              <w:t xml:space="preserve"> </w:t>
            </w:r>
            <w:r w:rsidRPr="007B7470">
              <w:rPr>
                <w:color w:val="000000" w:themeColor="text1"/>
                <w:sz w:val="20"/>
                <w:szCs w:val="20"/>
                <w:lang w:eastAsia="sk-SK"/>
              </w:rPr>
              <w:t>úverom, pôžičkou, návratnou finančnou výpomocou a finančným prenájmom (650)</w:t>
            </w:r>
            <w:r w:rsidRPr="007B7470">
              <w:rPr>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color w:val="000000" w:themeColor="text1"/>
                <w:lang w:eastAsia="sk-SK"/>
              </w:rPr>
            </w:pP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b/>
                <w:bCs/>
                <w:color w:val="000000" w:themeColor="text1"/>
                <w:sz w:val="20"/>
                <w:szCs w:val="20"/>
                <w:lang w:eastAsia="sk-SK"/>
              </w:rPr>
            </w:pPr>
            <w:r w:rsidRPr="007B7470">
              <w:rPr>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b/>
                <w:bCs/>
                <w:color w:val="000000" w:themeColor="text1"/>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color w:val="000000" w:themeColor="text1"/>
                <w:lang w:eastAsia="sk-SK"/>
              </w:rPr>
            </w:pPr>
            <w:r w:rsidRPr="007B7470">
              <w:rPr>
                <w:color w:val="000000" w:themeColor="text1"/>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color w:val="000000" w:themeColor="text1"/>
                <w:sz w:val="20"/>
                <w:szCs w:val="20"/>
                <w:lang w:eastAsia="sk-SK"/>
              </w:rPr>
            </w:pPr>
            <w:r w:rsidRPr="007B7470">
              <w:rPr>
                <w:color w:val="000000" w:themeColor="text1"/>
                <w:sz w:val="20"/>
                <w:szCs w:val="20"/>
                <w:lang w:eastAsia="sk-SK"/>
              </w:rPr>
              <w:t xml:space="preserve">  Obstarávanie kapitálových aktív (710)</w:t>
            </w:r>
            <w:r w:rsidRPr="007B7470">
              <w:rPr>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color w:val="000000" w:themeColor="text1"/>
                <w:lang w:eastAsia="sk-SK"/>
              </w:rPr>
            </w:pPr>
            <w:r w:rsidRPr="007B7470">
              <w:rPr>
                <w:color w:val="000000" w:themeColor="text1"/>
                <w:lang w:eastAsia="sk-SK"/>
              </w:rPr>
              <w:t> </w:t>
            </w:r>
          </w:p>
        </w:tc>
      </w:tr>
      <w:tr w:rsidR="00E26C1C" w:rsidRPr="007B7470" w:rsidTr="00D27093">
        <w:trPr>
          <w:trHeight w:val="255"/>
        </w:trPr>
        <w:tc>
          <w:tcPr>
            <w:tcW w:w="7070" w:type="dxa"/>
            <w:tcBorders>
              <w:top w:val="nil"/>
              <w:left w:val="single" w:sz="4" w:space="0" w:color="auto"/>
              <w:bottom w:val="single" w:sz="4" w:space="0" w:color="auto"/>
              <w:right w:val="single" w:sz="4" w:space="0" w:color="auto"/>
            </w:tcBorders>
          </w:tcPr>
          <w:p w:rsidR="00E26C1C" w:rsidRPr="007B7470" w:rsidRDefault="00E26C1C" w:rsidP="00D27093">
            <w:pPr>
              <w:rPr>
                <w:color w:val="000000" w:themeColor="text1"/>
                <w:sz w:val="20"/>
                <w:szCs w:val="20"/>
                <w:lang w:eastAsia="sk-SK"/>
              </w:rPr>
            </w:pPr>
            <w:r w:rsidRPr="007B7470">
              <w:rPr>
                <w:color w:val="000000" w:themeColor="text1"/>
                <w:sz w:val="20"/>
                <w:szCs w:val="20"/>
                <w:lang w:eastAsia="sk-SK"/>
              </w:rPr>
              <w:t xml:space="preserve">  Kapitálové transfery (720)</w:t>
            </w:r>
            <w:r w:rsidRPr="007B7470">
              <w:rPr>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65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sz w:val="20"/>
                <w:szCs w:val="20"/>
                <w:lang w:eastAsia="sk-SK"/>
              </w:rPr>
            </w:pPr>
          </w:p>
        </w:tc>
        <w:tc>
          <w:tcPr>
            <w:tcW w:w="1540" w:type="dxa"/>
            <w:tcBorders>
              <w:top w:val="nil"/>
              <w:left w:val="nil"/>
              <w:bottom w:val="single" w:sz="4" w:space="0" w:color="auto"/>
              <w:right w:val="single" w:sz="4" w:space="0" w:color="auto"/>
            </w:tcBorders>
          </w:tcPr>
          <w:p w:rsidR="00E26C1C" w:rsidRPr="007B7470" w:rsidRDefault="00E26C1C" w:rsidP="00D27093">
            <w:pPr>
              <w:jc w:val="center"/>
              <w:rPr>
                <w:color w:val="000000" w:themeColor="text1"/>
                <w:lang w:eastAsia="sk-SK"/>
              </w:rPr>
            </w:pPr>
          </w:p>
        </w:tc>
        <w:tc>
          <w:tcPr>
            <w:tcW w:w="1649" w:type="dxa"/>
            <w:tcBorders>
              <w:top w:val="nil"/>
              <w:left w:val="nil"/>
              <w:bottom w:val="single" w:sz="4" w:space="0" w:color="auto"/>
              <w:right w:val="single" w:sz="4" w:space="0" w:color="auto"/>
            </w:tcBorders>
            <w:noWrap/>
            <w:vAlign w:val="bottom"/>
          </w:tcPr>
          <w:p w:rsidR="00E26C1C" w:rsidRPr="007B7470" w:rsidRDefault="00E26C1C" w:rsidP="00D27093">
            <w:pPr>
              <w:rPr>
                <w:color w:val="000000" w:themeColor="text1"/>
                <w:lang w:eastAsia="sk-SK"/>
              </w:rPr>
            </w:pPr>
            <w:r w:rsidRPr="007B7470">
              <w:rPr>
                <w:color w:val="000000" w:themeColor="text1"/>
                <w:lang w:eastAsia="sk-SK"/>
              </w:rPr>
              <w:t> </w:t>
            </w:r>
          </w:p>
        </w:tc>
      </w:tr>
      <w:tr w:rsidR="00E26C1C" w:rsidRPr="007B7470" w:rsidTr="00D2709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26C1C" w:rsidRPr="007B7470" w:rsidRDefault="00E26C1C" w:rsidP="00D27093">
            <w:pPr>
              <w:rPr>
                <w:b/>
                <w:bCs/>
                <w:color w:val="000000" w:themeColor="text1"/>
                <w:sz w:val="20"/>
                <w:szCs w:val="20"/>
                <w:lang w:eastAsia="sk-SK"/>
              </w:rPr>
            </w:pPr>
            <w:r w:rsidRPr="007B7470">
              <w:rPr>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color w:val="000000" w:themeColor="text1"/>
                <w:sz w:val="20"/>
                <w:szCs w:val="20"/>
                <w:lang w:eastAsia="sk-SK"/>
              </w:rPr>
            </w:pPr>
            <w:r w:rsidRPr="007B7470">
              <w:rPr>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color w:val="000000" w:themeColor="text1"/>
                <w:sz w:val="20"/>
                <w:szCs w:val="20"/>
                <w:lang w:eastAsia="sk-SK"/>
              </w:rPr>
            </w:pPr>
            <w:r w:rsidRPr="007B7470">
              <w:rPr>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color w:val="000000" w:themeColor="text1"/>
                <w:sz w:val="20"/>
                <w:szCs w:val="20"/>
                <w:lang w:eastAsia="sk-SK"/>
              </w:rPr>
            </w:pPr>
            <w:r w:rsidRPr="007B7470">
              <w:rPr>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color w:val="000000" w:themeColor="text1"/>
                <w:lang w:eastAsia="sk-SK"/>
              </w:rPr>
            </w:pPr>
            <w:r w:rsidRPr="007B7470">
              <w:rPr>
                <w:b/>
                <w:bCs/>
                <w:color w:val="000000" w:themeColor="text1"/>
                <w:sz w:val="20"/>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E26C1C" w:rsidRPr="007B7470" w:rsidRDefault="00E26C1C" w:rsidP="00D27093">
            <w:pPr>
              <w:rPr>
                <w:color w:val="000000" w:themeColor="text1"/>
                <w:lang w:eastAsia="sk-SK"/>
              </w:rPr>
            </w:pPr>
            <w:r w:rsidRPr="007B7470">
              <w:rPr>
                <w:color w:val="000000" w:themeColor="text1"/>
                <w:lang w:eastAsia="sk-SK"/>
              </w:rPr>
              <w:t> </w:t>
            </w:r>
          </w:p>
        </w:tc>
      </w:tr>
    </w:tbl>
    <w:p w:rsidR="00E26C1C" w:rsidRPr="007B7470" w:rsidRDefault="00E26C1C" w:rsidP="00E26C1C">
      <w:pPr>
        <w:tabs>
          <w:tab w:val="num" w:pos="1080"/>
        </w:tabs>
        <w:ind w:left="-900"/>
        <w:jc w:val="both"/>
        <w:rPr>
          <w:bCs/>
          <w:sz w:val="20"/>
          <w:szCs w:val="20"/>
          <w:lang w:eastAsia="sk-SK"/>
        </w:rPr>
      </w:pPr>
      <w:r w:rsidRPr="007B7470">
        <w:rPr>
          <w:bCs/>
          <w:color w:val="000000" w:themeColor="text1"/>
          <w:sz w:val="20"/>
          <w:szCs w:val="20"/>
          <w:lang w:eastAsia="sk-SK"/>
        </w:rPr>
        <w:t xml:space="preserve">  2 –  výdavky rozpísať až do podpo</w:t>
      </w:r>
      <w:r w:rsidRPr="007B7470">
        <w:rPr>
          <w:bCs/>
          <w:sz w:val="20"/>
          <w:szCs w:val="20"/>
          <w:lang w:eastAsia="sk-SK"/>
        </w:rPr>
        <w:t>ložiek platnej ekonomickej klasifikácie</w:t>
      </w:r>
    </w:p>
    <w:p w:rsidR="00E26C1C" w:rsidRPr="007B7470" w:rsidRDefault="00E26C1C" w:rsidP="00E26C1C">
      <w:pPr>
        <w:tabs>
          <w:tab w:val="num" w:pos="1080"/>
        </w:tabs>
        <w:ind w:left="-900"/>
        <w:jc w:val="both"/>
        <w:rPr>
          <w:bCs/>
          <w:szCs w:val="20"/>
          <w:lang w:eastAsia="sk-SK"/>
        </w:rPr>
      </w:pPr>
    </w:p>
    <w:p w:rsidR="00E26C1C" w:rsidRPr="007B7470" w:rsidRDefault="00E26C1C" w:rsidP="00E26C1C">
      <w:pPr>
        <w:tabs>
          <w:tab w:val="num" w:pos="1080"/>
        </w:tabs>
        <w:ind w:left="-900"/>
        <w:jc w:val="both"/>
        <w:rPr>
          <w:b/>
          <w:bCs/>
          <w:sz w:val="20"/>
          <w:szCs w:val="20"/>
          <w:lang w:eastAsia="sk-SK"/>
        </w:rPr>
      </w:pPr>
      <w:r w:rsidRPr="007B7470">
        <w:rPr>
          <w:b/>
          <w:bCs/>
          <w:szCs w:val="20"/>
          <w:lang w:eastAsia="sk-SK"/>
        </w:rPr>
        <w:t xml:space="preserve">  Poznámka:</w:t>
      </w:r>
    </w:p>
    <w:p w:rsidR="00E26C1C" w:rsidRPr="007B7470" w:rsidRDefault="00E26C1C" w:rsidP="00E26C1C">
      <w:pPr>
        <w:tabs>
          <w:tab w:val="num" w:pos="1080"/>
        </w:tabs>
        <w:ind w:left="-900"/>
        <w:jc w:val="both"/>
        <w:rPr>
          <w:bCs/>
          <w:sz w:val="20"/>
          <w:szCs w:val="20"/>
          <w:lang w:eastAsia="sk-SK"/>
        </w:rPr>
      </w:pPr>
      <w:r w:rsidRPr="007B7470">
        <w:rPr>
          <w:bCs/>
          <w:szCs w:val="20"/>
          <w:lang w:eastAsia="sk-SK"/>
        </w:rPr>
        <w:t xml:space="preserve">  Ak sa vplyv týka viacerých subjektov verejnej správy, vypĺňa sa samostatná tabuľka za každý subjekt.</w:t>
      </w: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Default="00E26C1C" w:rsidP="00E26C1C">
      <w:pPr>
        <w:tabs>
          <w:tab w:val="num" w:pos="1080"/>
        </w:tabs>
        <w:ind w:left="-900"/>
        <w:jc w:val="both"/>
        <w:rPr>
          <w:bCs/>
          <w:sz w:val="20"/>
          <w:szCs w:val="20"/>
          <w:lang w:eastAsia="sk-SK"/>
        </w:rPr>
      </w:pPr>
    </w:p>
    <w:p w:rsidR="00E26C1C"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jc w:val="both"/>
        <w:rPr>
          <w:bCs/>
          <w:sz w:val="20"/>
          <w:szCs w:val="20"/>
          <w:lang w:eastAsia="sk-SK"/>
        </w:rPr>
      </w:pPr>
    </w:p>
    <w:p w:rsidR="00E26C1C" w:rsidRPr="007B7470" w:rsidRDefault="00E26C1C" w:rsidP="00E26C1C">
      <w:pPr>
        <w:tabs>
          <w:tab w:val="num" w:pos="1080"/>
        </w:tabs>
        <w:ind w:left="-900"/>
        <w:jc w:val="both"/>
        <w:rPr>
          <w:bCs/>
          <w:sz w:val="20"/>
          <w:szCs w:val="20"/>
          <w:lang w:eastAsia="sk-SK"/>
        </w:rPr>
      </w:pPr>
    </w:p>
    <w:p w:rsidR="00E26C1C" w:rsidRPr="007B7470" w:rsidRDefault="00E26C1C" w:rsidP="00E26C1C">
      <w:pPr>
        <w:tabs>
          <w:tab w:val="num" w:pos="1080"/>
        </w:tabs>
        <w:jc w:val="right"/>
        <w:rPr>
          <w:bCs/>
          <w:lang w:eastAsia="sk-SK"/>
        </w:rPr>
      </w:pPr>
      <w:r w:rsidRPr="007B7470">
        <w:rPr>
          <w:bCs/>
          <w:lang w:eastAsia="sk-SK"/>
        </w:rPr>
        <w:t xml:space="preserve">                 </w:t>
      </w:r>
    </w:p>
    <w:p w:rsidR="00E26C1C" w:rsidRPr="007B7470" w:rsidRDefault="00E26C1C" w:rsidP="00E26C1C">
      <w:pPr>
        <w:tabs>
          <w:tab w:val="num" w:pos="1080"/>
        </w:tabs>
        <w:jc w:val="both"/>
        <w:rPr>
          <w:bCs/>
          <w:sz w:val="20"/>
          <w:szCs w:val="20"/>
          <w:lang w:eastAsia="sk-SK"/>
        </w:rPr>
      </w:pPr>
      <w:r w:rsidRPr="007B7470">
        <w:rPr>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E26C1C" w:rsidRPr="007B7470" w:rsidTr="00D27093">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lang w:eastAsia="sk-SK"/>
              </w:rPr>
            </w:pPr>
            <w:r w:rsidRPr="007B7470">
              <w:rPr>
                <w:b/>
                <w:bCs/>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lang w:eastAsia="sk-SK"/>
              </w:rPr>
            </w:pPr>
            <w:r w:rsidRPr="007B7470">
              <w:rPr>
                <w:b/>
                <w:bCs/>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26C1C" w:rsidRPr="007B7470" w:rsidRDefault="00E26C1C" w:rsidP="00D27093">
            <w:pPr>
              <w:jc w:val="center"/>
              <w:rPr>
                <w:b/>
                <w:bCs/>
                <w:lang w:eastAsia="sk-SK"/>
              </w:rPr>
            </w:pPr>
            <w:r w:rsidRPr="007B7470">
              <w:rPr>
                <w:b/>
                <w:bCs/>
                <w:lang w:eastAsia="sk-SK"/>
              </w:rPr>
              <w:t>poznámka</w:t>
            </w:r>
          </w:p>
        </w:tc>
      </w:tr>
      <w:tr w:rsidR="00E26C1C" w:rsidRPr="007B7470" w:rsidTr="00D27093">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26C1C" w:rsidRPr="007B7470" w:rsidRDefault="00E26C1C" w:rsidP="00D27093">
            <w:pPr>
              <w:rPr>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2026</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E26C1C" w:rsidRPr="007B7470" w:rsidRDefault="00E26C1C" w:rsidP="00D27093">
            <w:pPr>
              <w:jc w:val="center"/>
              <w:rPr>
                <w:b/>
                <w:bCs/>
                <w:color w:val="000000"/>
                <w:lang w:eastAsia="sk-SK"/>
              </w:rPr>
            </w:pPr>
            <w:r>
              <w:rPr>
                <w:b/>
                <w:bCs/>
                <w:color w:val="000000"/>
                <w:lang w:eastAsia="sk-SK"/>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26C1C" w:rsidRPr="007B7470" w:rsidRDefault="00E26C1C" w:rsidP="00D27093">
            <w:pPr>
              <w:rPr>
                <w:b/>
                <w:bCs/>
                <w:color w:val="FFFFFF"/>
                <w:lang w:eastAsia="sk-SK"/>
              </w:rPr>
            </w:pPr>
          </w:p>
        </w:tc>
      </w:tr>
      <w:tr w:rsidR="00E26C1C" w:rsidRPr="007B7470" w:rsidTr="00D27093">
        <w:trPr>
          <w:trHeight w:val="255"/>
        </w:trPr>
        <w:tc>
          <w:tcPr>
            <w:tcW w:w="6188" w:type="dxa"/>
            <w:tcBorders>
              <w:top w:val="nil"/>
              <w:left w:val="single" w:sz="4" w:space="0" w:color="auto"/>
              <w:bottom w:val="single" w:sz="4" w:space="0" w:color="auto"/>
              <w:right w:val="single" w:sz="4" w:space="0" w:color="auto"/>
            </w:tcBorders>
          </w:tcPr>
          <w:p w:rsidR="00E26C1C" w:rsidRPr="007B7470" w:rsidRDefault="00E26C1C" w:rsidP="00D27093">
            <w:pPr>
              <w:rPr>
                <w:b/>
                <w:bCs/>
                <w:lang w:eastAsia="sk-SK"/>
              </w:rPr>
            </w:pPr>
            <w:r w:rsidRPr="007B7470">
              <w:rPr>
                <w:b/>
                <w:bCs/>
                <w:lang w:eastAsia="sk-SK"/>
              </w:rPr>
              <w:t>Počet zamestnancov celkom</w:t>
            </w:r>
          </w:p>
        </w:tc>
        <w:tc>
          <w:tcPr>
            <w:tcW w:w="1698"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788"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878" w:type="dxa"/>
            <w:gridSpan w:val="2"/>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6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842" w:type="dxa"/>
            <w:gridSpan w:val="2"/>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6188" w:type="dxa"/>
            <w:tcBorders>
              <w:top w:val="nil"/>
              <w:left w:val="single" w:sz="4" w:space="0" w:color="auto"/>
              <w:bottom w:val="single" w:sz="4" w:space="0" w:color="auto"/>
              <w:right w:val="single" w:sz="4" w:space="0" w:color="auto"/>
            </w:tcBorders>
          </w:tcPr>
          <w:p w:rsidR="00E26C1C" w:rsidRPr="007B7470" w:rsidRDefault="00E26C1C" w:rsidP="00D27093">
            <w:pPr>
              <w:rPr>
                <w:b/>
                <w:bCs/>
                <w:lang w:eastAsia="sk-SK"/>
              </w:rPr>
            </w:pPr>
            <w:r w:rsidRPr="007B7470">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E26C1C" w:rsidRPr="007B7470" w:rsidRDefault="00E26C1C" w:rsidP="00D27093">
            <w:pPr>
              <w:jc w:val="center"/>
              <w:rPr>
                <w:b/>
                <w:bCs/>
                <w:lang w:eastAsia="sk-SK"/>
              </w:rPr>
            </w:pPr>
          </w:p>
        </w:tc>
        <w:tc>
          <w:tcPr>
            <w:tcW w:w="1788" w:type="dxa"/>
            <w:tcBorders>
              <w:top w:val="single" w:sz="4" w:space="0" w:color="auto"/>
              <w:left w:val="nil"/>
              <w:bottom w:val="single" w:sz="4" w:space="0" w:color="auto"/>
              <w:right w:val="single" w:sz="4" w:space="0" w:color="auto"/>
            </w:tcBorders>
          </w:tcPr>
          <w:p w:rsidR="00E26C1C" w:rsidRPr="007B7470" w:rsidRDefault="00E26C1C" w:rsidP="00D27093">
            <w:pPr>
              <w:jc w:val="center"/>
              <w:rPr>
                <w:b/>
                <w:bCs/>
                <w:lang w:eastAsia="sk-SK"/>
              </w:rPr>
            </w:pPr>
          </w:p>
        </w:tc>
        <w:tc>
          <w:tcPr>
            <w:tcW w:w="1878" w:type="dxa"/>
            <w:gridSpan w:val="2"/>
            <w:tcBorders>
              <w:top w:val="single" w:sz="4" w:space="0" w:color="auto"/>
              <w:left w:val="nil"/>
              <w:bottom w:val="single" w:sz="4" w:space="0" w:color="auto"/>
              <w:right w:val="single" w:sz="4" w:space="0" w:color="auto"/>
            </w:tcBorders>
          </w:tcPr>
          <w:p w:rsidR="00E26C1C" w:rsidRPr="007B7470" w:rsidRDefault="00E26C1C" w:rsidP="00D27093">
            <w:pPr>
              <w:jc w:val="center"/>
              <w:rPr>
                <w:b/>
                <w:bCs/>
                <w:lang w:eastAsia="sk-SK"/>
              </w:rPr>
            </w:pPr>
          </w:p>
        </w:tc>
        <w:tc>
          <w:tcPr>
            <w:tcW w:w="1560" w:type="dxa"/>
            <w:tcBorders>
              <w:top w:val="single" w:sz="4" w:space="0" w:color="auto"/>
              <w:left w:val="nil"/>
              <w:bottom w:val="single" w:sz="4" w:space="0" w:color="auto"/>
              <w:right w:val="single" w:sz="4" w:space="0" w:color="auto"/>
            </w:tcBorders>
          </w:tcPr>
          <w:p w:rsidR="00E26C1C" w:rsidRPr="007B7470" w:rsidRDefault="00E26C1C" w:rsidP="00D27093">
            <w:pPr>
              <w:jc w:val="center"/>
              <w:rPr>
                <w:b/>
                <w:bCs/>
                <w:lang w:eastAsia="sk-SK"/>
              </w:rPr>
            </w:pPr>
          </w:p>
        </w:tc>
        <w:tc>
          <w:tcPr>
            <w:tcW w:w="1842" w:type="dxa"/>
            <w:gridSpan w:val="2"/>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p>
        </w:tc>
      </w:tr>
      <w:tr w:rsidR="00E26C1C" w:rsidRPr="007B7470" w:rsidTr="00D27093">
        <w:trPr>
          <w:trHeight w:val="255"/>
        </w:trPr>
        <w:tc>
          <w:tcPr>
            <w:tcW w:w="6188" w:type="dxa"/>
            <w:tcBorders>
              <w:top w:val="nil"/>
              <w:left w:val="single" w:sz="4" w:space="0" w:color="auto"/>
              <w:bottom w:val="single" w:sz="4" w:space="0" w:color="auto"/>
              <w:right w:val="single" w:sz="4" w:space="0" w:color="auto"/>
            </w:tcBorders>
          </w:tcPr>
          <w:p w:rsidR="00E26C1C" w:rsidRPr="007B7470" w:rsidRDefault="00E26C1C" w:rsidP="00D27093">
            <w:pPr>
              <w:rPr>
                <w:b/>
                <w:bCs/>
                <w:lang w:eastAsia="sk-SK"/>
              </w:rPr>
            </w:pPr>
            <w:r w:rsidRPr="007B7470">
              <w:rPr>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E26C1C" w:rsidRPr="007B7470" w:rsidRDefault="00E26C1C" w:rsidP="00D27093">
            <w:pPr>
              <w:jc w:val="center"/>
              <w:rPr>
                <w:b/>
                <w:bCs/>
                <w:lang w:eastAsia="sk-SK"/>
              </w:rPr>
            </w:pPr>
          </w:p>
        </w:tc>
        <w:tc>
          <w:tcPr>
            <w:tcW w:w="1788" w:type="dxa"/>
            <w:tcBorders>
              <w:top w:val="single" w:sz="4" w:space="0" w:color="auto"/>
              <w:left w:val="nil"/>
              <w:bottom w:val="single" w:sz="4" w:space="0" w:color="auto"/>
              <w:right w:val="single" w:sz="4" w:space="0" w:color="auto"/>
            </w:tcBorders>
          </w:tcPr>
          <w:p w:rsidR="00E26C1C" w:rsidRPr="007B7470" w:rsidRDefault="00E26C1C" w:rsidP="00D27093">
            <w:pPr>
              <w:jc w:val="center"/>
              <w:rPr>
                <w:b/>
                <w:bCs/>
                <w:lang w:eastAsia="sk-SK"/>
              </w:rPr>
            </w:pPr>
          </w:p>
        </w:tc>
        <w:tc>
          <w:tcPr>
            <w:tcW w:w="1878" w:type="dxa"/>
            <w:gridSpan w:val="2"/>
            <w:tcBorders>
              <w:top w:val="single" w:sz="4" w:space="0" w:color="auto"/>
              <w:left w:val="nil"/>
              <w:bottom w:val="single" w:sz="4" w:space="0" w:color="auto"/>
              <w:right w:val="single" w:sz="4" w:space="0" w:color="auto"/>
            </w:tcBorders>
          </w:tcPr>
          <w:p w:rsidR="00E26C1C" w:rsidRPr="007B7470" w:rsidRDefault="00E26C1C" w:rsidP="00D27093">
            <w:pPr>
              <w:jc w:val="center"/>
              <w:rPr>
                <w:b/>
                <w:bCs/>
                <w:lang w:eastAsia="sk-SK"/>
              </w:rPr>
            </w:pPr>
          </w:p>
        </w:tc>
        <w:tc>
          <w:tcPr>
            <w:tcW w:w="1560" w:type="dxa"/>
            <w:tcBorders>
              <w:top w:val="single" w:sz="4" w:space="0" w:color="auto"/>
              <w:left w:val="nil"/>
              <w:bottom w:val="single" w:sz="4" w:space="0" w:color="auto"/>
              <w:right w:val="single" w:sz="4" w:space="0" w:color="auto"/>
            </w:tcBorders>
          </w:tcPr>
          <w:p w:rsidR="00E26C1C" w:rsidRPr="007B7470" w:rsidRDefault="00E26C1C" w:rsidP="00D27093">
            <w:pPr>
              <w:jc w:val="center"/>
              <w:rPr>
                <w:b/>
                <w:bCs/>
                <w:lang w:eastAsia="sk-SK"/>
              </w:rPr>
            </w:pPr>
          </w:p>
        </w:tc>
        <w:tc>
          <w:tcPr>
            <w:tcW w:w="1842" w:type="dxa"/>
            <w:gridSpan w:val="2"/>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6188" w:type="dxa"/>
            <w:tcBorders>
              <w:top w:val="nil"/>
              <w:left w:val="single" w:sz="4" w:space="0" w:color="auto"/>
              <w:bottom w:val="single" w:sz="4" w:space="0" w:color="auto"/>
              <w:right w:val="single" w:sz="4" w:space="0" w:color="auto"/>
            </w:tcBorders>
          </w:tcPr>
          <w:p w:rsidR="00E26C1C" w:rsidRPr="007B7470" w:rsidRDefault="00E26C1C" w:rsidP="00D27093">
            <w:pPr>
              <w:rPr>
                <w:lang w:eastAsia="sk-SK"/>
              </w:rPr>
            </w:pPr>
            <w:r w:rsidRPr="007B7470">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E26C1C" w:rsidRPr="007B7470" w:rsidRDefault="00E26C1C" w:rsidP="00D27093">
            <w:pPr>
              <w:jc w:val="center"/>
              <w:rPr>
                <w:lang w:eastAsia="sk-SK"/>
              </w:rPr>
            </w:pPr>
            <w:r w:rsidRPr="007B7470">
              <w:rPr>
                <w:lang w:eastAsia="sk-SK"/>
              </w:rPr>
              <w:t> </w:t>
            </w:r>
          </w:p>
        </w:tc>
        <w:tc>
          <w:tcPr>
            <w:tcW w:w="1788" w:type="dxa"/>
            <w:tcBorders>
              <w:top w:val="single" w:sz="4" w:space="0" w:color="auto"/>
              <w:left w:val="nil"/>
              <w:bottom w:val="single" w:sz="4" w:space="0" w:color="auto"/>
              <w:right w:val="single" w:sz="4" w:space="0" w:color="auto"/>
            </w:tcBorders>
          </w:tcPr>
          <w:p w:rsidR="00E26C1C" w:rsidRPr="007B7470" w:rsidRDefault="00E26C1C" w:rsidP="00D27093">
            <w:pPr>
              <w:jc w:val="center"/>
              <w:rPr>
                <w:lang w:eastAsia="sk-SK"/>
              </w:rPr>
            </w:pPr>
            <w:r w:rsidRPr="007B7470">
              <w:rPr>
                <w:lang w:eastAsia="sk-SK"/>
              </w:rPr>
              <w:t> </w:t>
            </w:r>
          </w:p>
        </w:tc>
        <w:tc>
          <w:tcPr>
            <w:tcW w:w="1878" w:type="dxa"/>
            <w:gridSpan w:val="2"/>
            <w:tcBorders>
              <w:top w:val="single" w:sz="4" w:space="0" w:color="auto"/>
              <w:left w:val="nil"/>
              <w:bottom w:val="single" w:sz="4" w:space="0" w:color="auto"/>
              <w:right w:val="single" w:sz="4" w:space="0" w:color="auto"/>
            </w:tcBorders>
          </w:tcPr>
          <w:p w:rsidR="00E26C1C" w:rsidRPr="007B7470" w:rsidRDefault="00E26C1C" w:rsidP="00D27093">
            <w:pPr>
              <w:jc w:val="center"/>
              <w:rPr>
                <w:lang w:eastAsia="sk-SK"/>
              </w:rPr>
            </w:pPr>
            <w:r w:rsidRPr="007B7470">
              <w:rPr>
                <w:lang w:eastAsia="sk-SK"/>
              </w:rPr>
              <w:t> </w:t>
            </w:r>
          </w:p>
        </w:tc>
        <w:tc>
          <w:tcPr>
            <w:tcW w:w="1560" w:type="dxa"/>
            <w:tcBorders>
              <w:top w:val="single" w:sz="4" w:space="0" w:color="auto"/>
              <w:left w:val="nil"/>
              <w:bottom w:val="single" w:sz="4" w:space="0" w:color="auto"/>
              <w:right w:val="single" w:sz="4" w:space="0" w:color="auto"/>
            </w:tcBorders>
          </w:tcPr>
          <w:p w:rsidR="00E26C1C" w:rsidRPr="007B7470" w:rsidRDefault="00E26C1C" w:rsidP="00D27093">
            <w:pPr>
              <w:jc w:val="center"/>
              <w:rPr>
                <w:lang w:eastAsia="sk-SK"/>
              </w:rPr>
            </w:pPr>
            <w:r w:rsidRPr="007B7470">
              <w:rPr>
                <w:lang w:eastAsia="sk-SK"/>
              </w:rPr>
              <w:t> </w:t>
            </w:r>
          </w:p>
        </w:tc>
        <w:tc>
          <w:tcPr>
            <w:tcW w:w="1842" w:type="dxa"/>
            <w:gridSpan w:val="2"/>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E26C1C" w:rsidRPr="007B7470" w:rsidRDefault="00E26C1C" w:rsidP="00D27093">
            <w:pPr>
              <w:rPr>
                <w:b/>
                <w:bCs/>
                <w:lang w:eastAsia="sk-SK"/>
              </w:rPr>
            </w:pPr>
            <w:r w:rsidRPr="007B7470">
              <w:rPr>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lang w:eastAsia="sk-SK"/>
              </w:rPr>
            </w:pPr>
            <w:r w:rsidRPr="007B7470">
              <w:rPr>
                <w:b/>
                <w:bCs/>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lang w:eastAsia="sk-SK"/>
              </w:rPr>
            </w:pPr>
            <w:r w:rsidRPr="007B7470">
              <w:rPr>
                <w:b/>
                <w:bCs/>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lang w:eastAsia="sk-SK"/>
              </w:rPr>
            </w:pPr>
            <w:r w:rsidRPr="007B7470">
              <w:rPr>
                <w:b/>
                <w:bCs/>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E26C1C" w:rsidRPr="007B7470" w:rsidRDefault="00E26C1C" w:rsidP="00D27093">
            <w:pPr>
              <w:jc w:val="center"/>
              <w:rPr>
                <w:b/>
                <w:bCs/>
                <w:lang w:eastAsia="sk-SK"/>
              </w:rPr>
            </w:pPr>
            <w:r w:rsidRPr="007B7470">
              <w:rPr>
                <w:b/>
                <w:bCs/>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E26C1C" w:rsidRPr="007B7470" w:rsidRDefault="00E26C1C" w:rsidP="00D27093">
            <w:pPr>
              <w:rPr>
                <w:b/>
                <w:bCs/>
                <w:lang w:eastAsia="sk-SK"/>
              </w:rPr>
            </w:pPr>
            <w:r w:rsidRPr="007B7470">
              <w:rPr>
                <w:b/>
                <w:bCs/>
                <w:lang w:eastAsia="sk-SK"/>
              </w:rPr>
              <w:t> </w:t>
            </w:r>
          </w:p>
        </w:tc>
      </w:tr>
      <w:tr w:rsidR="00E26C1C" w:rsidRPr="007B7470" w:rsidTr="00D27093">
        <w:trPr>
          <w:trHeight w:val="255"/>
        </w:trPr>
        <w:tc>
          <w:tcPr>
            <w:tcW w:w="6188" w:type="dxa"/>
            <w:tcBorders>
              <w:top w:val="nil"/>
              <w:left w:val="single" w:sz="4" w:space="0" w:color="auto"/>
              <w:bottom w:val="single" w:sz="4" w:space="0" w:color="auto"/>
              <w:right w:val="single" w:sz="4" w:space="0" w:color="auto"/>
            </w:tcBorders>
          </w:tcPr>
          <w:p w:rsidR="00E26C1C" w:rsidRPr="007B7470" w:rsidRDefault="00E26C1C" w:rsidP="00D27093">
            <w:pPr>
              <w:rPr>
                <w:b/>
                <w:bCs/>
                <w:lang w:eastAsia="sk-SK"/>
              </w:rPr>
            </w:pPr>
            <w:r w:rsidRPr="007B7470">
              <w:rPr>
                <w:b/>
                <w:bCs/>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788"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878" w:type="dxa"/>
            <w:gridSpan w:val="2"/>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6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842" w:type="dxa"/>
            <w:gridSpan w:val="2"/>
            <w:tcBorders>
              <w:top w:val="nil"/>
              <w:left w:val="nil"/>
              <w:bottom w:val="single" w:sz="4" w:space="0" w:color="auto"/>
              <w:right w:val="single" w:sz="4" w:space="0" w:color="auto"/>
            </w:tcBorders>
            <w:noWrap/>
            <w:vAlign w:val="bottom"/>
          </w:tcPr>
          <w:p w:rsidR="00E26C1C" w:rsidRPr="007B7470" w:rsidRDefault="00E26C1C" w:rsidP="00D27093">
            <w:pPr>
              <w:rPr>
                <w:b/>
                <w:bCs/>
                <w:lang w:eastAsia="sk-SK"/>
              </w:rPr>
            </w:pPr>
            <w:r w:rsidRPr="007B7470">
              <w:rPr>
                <w:b/>
                <w:bCs/>
                <w:lang w:eastAsia="sk-SK"/>
              </w:rPr>
              <w:t> </w:t>
            </w:r>
          </w:p>
        </w:tc>
      </w:tr>
      <w:tr w:rsidR="00E26C1C" w:rsidRPr="007B7470" w:rsidTr="00D27093">
        <w:trPr>
          <w:trHeight w:val="255"/>
        </w:trPr>
        <w:tc>
          <w:tcPr>
            <w:tcW w:w="6188" w:type="dxa"/>
            <w:tcBorders>
              <w:top w:val="nil"/>
              <w:left w:val="single" w:sz="4" w:space="0" w:color="auto"/>
              <w:bottom w:val="single" w:sz="4" w:space="0" w:color="auto"/>
              <w:right w:val="single" w:sz="4" w:space="0" w:color="auto"/>
            </w:tcBorders>
          </w:tcPr>
          <w:p w:rsidR="00E26C1C" w:rsidRPr="007B7470" w:rsidRDefault="00E26C1C" w:rsidP="00D27093">
            <w:pPr>
              <w:rPr>
                <w:lang w:eastAsia="sk-SK"/>
              </w:rPr>
            </w:pPr>
            <w:r w:rsidRPr="007B7470">
              <w:rPr>
                <w:b/>
                <w:bCs/>
                <w:lang w:eastAsia="sk-SK"/>
              </w:rPr>
              <w:t xml:space="preserve">   z toho vplyv na ŠR</w:t>
            </w:r>
          </w:p>
        </w:tc>
        <w:tc>
          <w:tcPr>
            <w:tcW w:w="1698"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788"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878" w:type="dxa"/>
            <w:gridSpan w:val="2"/>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560"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842" w:type="dxa"/>
            <w:gridSpan w:val="2"/>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6188" w:type="dxa"/>
            <w:tcBorders>
              <w:top w:val="nil"/>
              <w:left w:val="single" w:sz="4" w:space="0" w:color="auto"/>
              <w:bottom w:val="single" w:sz="4" w:space="0" w:color="auto"/>
              <w:right w:val="single" w:sz="4" w:space="0" w:color="auto"/>
            </w:tcBorders>
          </w:tcPr>
          <w:p w:rsidR="00E26C1C" w:rsidRPr="007B7470" w:rsidRDefault="00E26C1C" w:rsidP="00D27093">
            <w:pPr>
              <w:rPr>
                <w:b/>
                <w:bCs/>
                <w:lang w:eastAsia="sk-SK"/>
              </w:rPr>
            </w:pPr>
            <w:r w:rsidRPr="007B7470">
              <w:rPr>
                <w:b/>
                <w:bCs/>
                <w:lang w:eastAsia="sk-SK"/>
              </w:rPr>
              <w:t>Poistné a príspevok do poisťovní (620)</w:t>
            </w:r>
          </w:p>
        </w:tc>
        <w:tc>
          <w:tcPr>
            <w:tcW w:w="1698"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788"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878" w:type="dxa"/>
            <w:gridSpan w:val="2"/>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560" w:type="dxa"/>
            <w:tcBorders>
              <w:top w:val="nil"/>
              <w:left w:val="nil"/>
              <w:bottom w:val="single" w:sz="4" w:space="0" w:color="auto"/>
              <w:right w:val="single" w:sz="4" w:space="0" w:color="auto"/>
            </w:tcBorders>
          </w:tcPr>
          <w:p w:rsidR="00E26C1C" w:rsidRPr="007B7470" w:rsidRDefault="00E26C1C" w:rsidP="00D27093">
            <w:pPr>
              <w:jc w:val="center"/>
              <w:rPr>
                <w:b/>
                <w:bCs/>
                <w:lang w:eastAsia="sk-SK"/>
              </w:rPr>
            </w:pPr>
          </w:p>
        </w:tc>
        <w:tc>
          <w:tcPr>
            <w:tcW w:w="1842" w:type="dxa"/>
            <w:gridSpan w:val="2"/>
            <w:tcBorders>
              <w:top w:val="nil"/>
              <w:left w:val="nil"/>
              <w:bottom w:val="single" w:sz="4" w:space="0" w:color="auto"/>
              <w:right w:val="single" w:sz="4" w:space="0" w:color="auto"/>
            </w:tcBorders>
            <w:noWrap/>
            <w:vAlign w:val="bottom"/>
          </w:tcPr>
          <w:p w:rsidR="00E26C1C" w:rsidRPr="007B7470" w:rsidRDefault="00E26C1C" w:rsidP="00D27093">
            <w:pPr>
              <w:rPr>
                <w:b/>
                <w:bCs/>
                <w:lang w:eastAsia="sk-SK"/>
              </w:rPr>
            </w:pPr>
            <w:r w:rsidRPr="007B7470">
              <w:rPr>
                <w:b/>
                <w:bCs/>
                <w:lang w:eastAsia="sk-SK"/>
              </w:rPr>
              <w:t> </w:t>
            </w:r>
          </w:p>
        </w:tc>
      </w:tr>
      <w:tr w:rsidR="00E26C1C" w:rsidRPr="007B7470" w:rsidTr="00D27093">
        <w:trPr>
          <w:trHeight w:val="255"/>
        </w:trPr>
        <w:tc>
          <w:tcPr>
            <w:tcW w:w="6188" w:type="dxa"/>
            <w:tcBorders>
              <w:top w:val="nil"/>
              <w:left w:val="single" w:sz="4" w:space="0" w:color="auto"/>
              <w:bottom w:val="single" w:sz="4" w:space="0" w:color="auto"/>
              <w:right w:val="single" w:sz="4" w:space="0" w:color="auto"/>
            </w:tcBorders>
          </w:tcPr>
          <w:p w:rsidR="00E26C1C" w:rsidRPr="007B7470" w:rsidRDefault="00E26C1C" w:rsidP="00D27093">
            <w:pPr>
              <w:rPr>
                <w:lang w:eastAsia="sk-SK"/>
              </w:rPr>
            </w:pPr>
            <w:r w:rsidRPr="007B7470">
              <w:rPr>
                <w:b/>
                <w:bCs/>
                <w:lang w:eastAsia="sk-SK"/>
              </w:rPr>
              <w:t xml:space="preserve">   z toho vplyv na ŠR</w:t>
            </w:r>
          </w:p>
        </w:tc>
        <w:tc>
          <w:tcPr>
            <w:tcW w:w="1698"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788"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878" w:type="dxa"/>
            <w:gridSpan w:val="2"/>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560" w:type="dxa"/>
            <w:tcBorders>
              <w:top w:val="nil"/>
              <w:left w:val="nil"/>
              <w:bottom w:val="single" w:sz="4" w:space="0" w:color="auto"/>
              <w:right w:val="single" w:sz="4" w:space="0" w:color="auto"/>
            </w:tcBorders>
          </w:tcPr>
          <w:p w:rsidR="00E26C1C" w:rsidRPr="007B7470" w:rsidRDefault="00E26C1C" w:rsidP="00D27093">
            <w:pPr>
              <w:jc w:val="center"/>
              <w:rPr>
                <w:lang w:eastAsia="sk-SK"/>
              </w:rPr>
            </w:pPr>
          </w:p>
        </w:tc>
        <w:tc>
          <w:tcPr>
            <w:tcW w:w="1842" w:type="dxa"/>
            <w:gridSpan w:val="2"/>
            <w:tcBorders>
              <w:top w:val="nil"/>
              <w:left w:val="nil"/>
              <w:bottom w:val="single" w:sz="4" w:space="0" w:color="auto"/>
              <w:right w:val="single" w:sz="4" w:space="0" w:color="auto"/>
            </w:tcBorders>
            <w:noWrap/>
            <w:vAlign w:val="bottom"/>
          </w:tcPr>
          <w:p w:rsidR="00E26C1C" w:rsidRPr="007B7470" w:rsidRDefault="00E26C1C" w:rsidP="00D27093">
            <w:pPr>
              <w:rPr>
                <w:lang w:eastAsia="sk-SK"/>
              </w:rPr>
            </w:pPr>
            <w:r w:rsidRPr="007B7470">
              <w:rPr>
                <w:lang w:eastAsia="sk-SK"/>
              </w:rPr>
              <w:t> </w:t>
            </w:r>
          </w:p>
        </w:tc>
      </w:tr>
      <w:tr w:rsidR="00E26C1C" w:rsidRPr="007B7470" w:rsidTr="00D27093">
        <w:trPr>
          <w:trHeight w:val="255"/>
        </w:trPr>
        <w:tc>
          <w:tcPr>
            <w:tcW w:w="6188" w:type="dxa"/>
            <w:tcBorders>
              <w:top w:val="nil"/>
              <w:left w:val="nil"/>
              <w:bottom w:val="nil"/>
              <w:right w:val="nil"/>
            </w:tcBorders>
            <w:noWrap/>
            <w:vAlign w:val="bottom"/>
          </w:tcPr>
          <w:p w:rsidR="00E26C1C" w:rsidRPr="007B7470" w:rsidRDefault="00E26C1C" w:rsidP="00D27093">
            <w:pPr>
              <w:rPr>
                <w:lang w:eastAsia="sk-SK"/>
              </w:rPr>
            </w:pPr>
          </w:p>
        </w:tc>
        <w:tc>
          <w:tcPr>
            <w:tcW w:w="1698" w:type="dxa"/>
            <w:tcBorders>
              <w:top w:val="nil"/>
              <w:left w:val="nil"/>
              <w:bottom w:val="nil"/>
              <w:right w:val="nil"/>
            </w:tcBorders>
            <w:noWrap/>
            <w:vAlign w:val="bottom"/>
          </w:tcPr>
          <w:p w:rsidR="00E26C1C" w:rsidRPr="007B7470" w:rsidRDefault="00E26C1C" w:rsidP="00D27093">
            <w:pPr>
              <w:rPr>
                <w:lang w:eastAsia="sk-SK"/>
              </w:rPr>
            </w:pPr>
          </w:p>
        </w:tc>
        <w:tc>
          <w:tcPr>
            <w:tcW w:w="1788" w:type="dxa"/>
            <w:tcBorders>
              <w:top w:val="nil"/>
              <w:left w:val="nil"/>
              <w:bottom w:val="nil"/>
              <w:right w:val="nil"/>
            </w:tcBorders>
            <w:noWrap/>
            <w:vAlign w:val="bottom"/>
          </w:tcPr>
          <w:p w:rsidR="00E26C1C" w:rsidRPr="007B7470" w:rsidRDefault="00E26C1C" w:rsidP="00D27093">
            <w:pPr>
              <w:rPr>
                <w:lang w:eastAsia="sk-SK"/>
              </w:rPr>
            </w:pPr>
          </w:p>
        </w:tc>
        <w:tc>
          <w:tcPr>
            <w:tcW w:w="1878" w:type="dxa"/>
            <w:gridSpan w:val="2"/>
            <w:tcBorders>
              <w:top w:val="nil"/>
              <w:left w:val="nil"/>
              <w:bottom w:val="nil"/>
              <w:right w:val="nil"/>
            </w:tcBorders>
            <w:noWrap/>
            <w:vAlign w:val="bottom"/>
          </w:tcPr>
          <w:p w:rsidR="00E26C1C" w:rsidRPr="007B7470" w:rsidRDefault="00E26C1C" w:rsidP="00D27093">
            <w:pPr>
              <w:rPr>
                <w:lang w:eastAsia="sk-SK"/>
              </w:rPr>
            </w:pPr>
          </w:p>
        </w:tc>
        <w:tc>
          <w:tcPr>
            <w:tcW w:w="1560" w:type="dxa"/>
            <w:tcBorders>
              <w:top w:val="nil"/>
              <w:left w:val="nil"/>
              <w:bottom w:val="nil"/>
              <w:right w:val="nil"/>
            </w:tcBorders>
            <w:noWrap/>
            <w:vAlign w:val="bottom"/>
          </w:tcPr>
          <w:p w:rsidR="00E26C1C" w:rsidRPr="007B7470" w:rsidRDefault="00E26C1C" w:rsidP="00D27093">
            <w:pPr>
              <w:rPr>
                <w:lang w:eastAsia="sk-SK"/>
              </w:rPr>
            </w:pPr>
          </w:p>
        </w:tc>
        <w:tc>
          <w:tcPr>
            <w:tcW w:w="1842" w:type="dxa"/>
            <w:gridSpan w:val="2"/>
            <w:tcBorders>
              <w:top w:val="nil"/>
              <w:left w:val="nil"/>
              <w:bottom w:val="nil"/>
              <w:right w:val="nil"/>
            </w:tcBorders>
            <w:noWrap/>
            <w:vAlign w:val="bottom"/>
          </w:tcPr>
          <w:p w:rsidR="00E26C1C" w:rsidRPr="007B7470" w:rsidRDefault="00E26C1C" w:rsidP="00D27093">
            <w:pPr>
              <w:rPr>
                <w:lang w:eastAsia="sk-SK"/>
              </w:rPr>
            </w:pPr>
          </w:p>
        </w:tc>
      </w:tr>
      <w:tr w:rsidR="00E26C1C" w:rsidRPr="007B7470" w:rsidTr="00D27093">
        <w:trPr>
          <w:trHeight w:val="255"/>
        </w:trPr>
        <w:tc>
          <w:tcPr>
            <w:tcW w:w="6188" w:type="dxa"/>
            <w:tcBorders>
              <w:top w:val="nil"/>
              <w:left w:val="nil"/>
              <w:bottom w:val="nil"/>
              <w:right w:val="nil"/>
            </w:tcBorders>
          </w:tcPr>
          <w:p w:rsidR="00E26C1C" w:rsidRPr="007B7470" w:rsidRDefault="00E26C1C" w:rsidP="00D27093">
            <w:pPr>
              <w:rPr>
                <w:b/>
                <w:bCs/>
                <w:lang w:eastAsia="sk-SK"/>
              </w:rPr>
            </w:pPr>
            <w:r w:rsidRPr="007B7470">
              <w:rPr>
                <w:b/>
                <w:bCs/>
                <w:lang w:eastAsia="sk-SK"/>
              </w:rPr>
              <w:t>Poznámka:</w:t>
            </w:r>
          </w:p>
        </w:tc>
        <w:tc>
          <w:tcPr>
            <w:tcW w:w="1698" w:type="dxa"/>
            <w:tcBorders>
              <w:top w:val="nil"/>
              <w:left w:val="nil"/>
              <w:bottom w:val="nil"/>
              <w:right w:val="nil"/>
            </w:tcBorders>
            <w:noWrap/>
            <w:vAlign w:val="bottom"/>
          </w:tcPr>
          <w:p w:rsidR="00E26C1C" w:rsidRPr="007B7470" w:rsidRDefault="00E26C1C" w:rsidP="00D27093">
            <w:pPr>
              <w:rPr>
                <w:lang w:eastAsia="sk-SK"/>
              </w:rPr>
            </w:pPr>
          </w:p>
        </w:tc>
        <w:tc>
          <w:tcPr>
            <w:tcW w:w="1788" w:type="dxa"/>
            <w:tcBorders>
              <w:top w:val="nil"/>
              <w:left w:val="nil"/>
              <w:bottom w:val="nil"/>
              <w:right w:val="nil"/>
            </w:tcBorders>
            <w:noWrap/>
            <w:vAlign w:val="bottom"/>
          </w:tcPr>
          <w:p w:rsidR="00E26C1C" w:rsidRPr="007B7470" w:rsidRDefault="00E26C1C" w:rsidP="00D27093">
            <w:pPr>
              <w:rPr>
                <w:lang w:eastAsia="sk-SK"/>
              </w:rPr>
            </w:pPr>
          </w:p>
        </w:tc>
        <w:tc>
          <w:tcPr>
            <w:tcW w:w="1878" w:type="dxa"/>
            <w:gridSpan w:val="2"/>
            <w:tcBorders>
              <w:top w:val="nil"/>
              <w:left w:val="nil"/>
              <w:bottom w:val="nil"/>
              <w:right w:val="nil"/>
            </w:tcBorders>
            <w:noWrap/>
            <w:vAlign w:val="bottom"/>
          </w:tcPr>
          <w:p w:rsidR="00E26C1C" w:rsidRPr="007B7470" w:rsidRDefault="00E26C1C" w:rsidP="00D27093">
            <w:pPr>
              <w:rPr>
                <w:lang w:eastAsia="sk-SK"/>
              </w:rPr>
            </w:pPr>
          </w:p>
        </w:tc>
        <w:tc>
          <w:tcPr>
            <w:tcW w:w="1560" w:type="dxa"/>
            <w:tcBorders>
              <w:top w:val="nil"/>
              <w:left w:val="nil"/>
              <w:bottom w:val="nil"/>
              <w:right w:val="nil"/>
            </w:tcBorders>
            <w:noWrap/>
            <w:vAlign w:val="bottom"/>
          </w:tcPr>
          <w:p w:rsidR="00E26C1C" w:rsidRPr="007B7470" w:rsidRDefault="00E26C1C" w:rsidP="00D27093">
            <w:pPr>
              <w:rPr>
                <w:lang w:eastAsia="sk-SK"/>
              </w:rPr>
            </w:pPr>
          </w:p>
        </w:tc>
        <w:tc>
          <w:tcPr>
            <w:tcW w:w="1842" w:type="dxa"/>
            <w:gridSpan w:val="2"/>
            <w:tcBorders>
              <w:top w:val="nil"/>
              <w:left w:val="nil"/>
              <w:bottom w:val="nil"/>
              <w:right w:val="nil"/>
            </w:tcBorders>
            <w:noWrap/>
            <w:vAlign w:val="bottom"/>
          </w:tcPr>
          <w:p w:rsidR="00E26C1C" w:rsidRPr="007B7470" w:rsidRDefault="00E26C1C" w:rsidP="00D27093">
            <w:pPr>
              <w:rPr>
                <w:lang w:eastAsia="sk-SK"/>
              </w:rPr>
            </w:pPr>
          </w:p>
        </w:tc>
      </w:tr>
      <w:tr w:rsidR="00E26C1C" w:rsidRPr="007B7470" w:rsidTr="00D27093">
        <w:trPr>
          <w:trHeight w:val="255"/>
        </w:trPr>
        <w:tc>
          <w:tcPr>
            <w:tcW w:w="13112" w:type="dxa"/>
            <w:gridSpan w:val="6"/>
            <w:tcBorders>
              <w:top w:val="nil"/>
              <w:left w:val="nil"/>
              <w:bottom w:val="nil"/>
              <w:right w:val="nil"/>
            </w:tcBorders>
            <w:noWrap/>
          </w:tcPr>
          <w:p w:rsidR="00E26C1C" w:rsidRPr="007B7470" w:rsidRDefault="00E26C1C" w:rsidP="00D27093">
            <w:pPr>
              <w:tabs>
                <w:tab w:val="num" w:pos="1080"/>
              </w:tabs>
              <w:jc w:val="both"/>
              <w:rPr>
                <w:bCs/>
                <w:szCs w:val="20"/>
                <w:lang w:eastAsia="sk-SK"/>
              </w:rPr>
            </w:pPr>
            <w:r w:rsidRPr="007B7470">
              <w:rPr>
                <w:bCs/>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E26C1C" w:rsidRPr="007B7470" w:rsidRDefault="00E26C1C" w:rsidP="00D27093">
            <w:pPr>
              <w:rPr>
                <w:lang w:eastAsia="sk-SK"/>
              </w:rPr>
            </w:pPr>
            <w:r w:rsidRPr="007B7470">
              <w:rPr>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E26C1C" w:rsidRPr="007B7470" w:rsidRDefault="00E26C1C" w:rsidP="00D27093">
            <w:pPr>
              <w:rPr>
                <w:lang w:eastAsia="sk-SK"/>
              </w:rPr>
            </w:pPr>
          </w:p>
        </w:tc>
      </w:tr>
      <w:tr w:rsidR="00E26C1C" w:rsidRPr="007B7470" w:rsidTr="00D27093">
        <w:trPr>
          <w:trHeight w:val="255"/>
        </w:trPr>
        <w:tc>
          <w:tcPr>
            <w:tcW w:w="10394" w:type="dxa"/>
            <w:gridSpan w:val="4"/>
            <w:tcBorders>
              <w:top w:val="nil"/>
              <w:left w:val="nil"/>
              <w:bottom w:val="nil"/>
              <w:right w:val="nil"/>
            </w:tcBorders>
            <w:noWrap/>
            <w:vAlign w:val="bottom"/>
          </w:tcPr>
          <w:p w:rsidR="00E26C1C" w:rsidRPr="007B7470" w:rsidRDefault="00E26C1C" w:rsidP="00D27093">
            <w:pPr>
              <w:rPr>
                <w:lang w:eastAsia="sk-SK"/>
              </w:rPr>
            </w:pPr>
            <w:r w:rsidRPr="007B7470">
              <w:rPr>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E26C1C" w:rsidRPr="007B7470" w:rsidRDefault="00E26C1C" w:rsidP="00D27093">
            <w:pPr>
              <w:rPr>
                <w:lang w:eastAsia="sk-SK"/>
              </w:rPr>
            </w:pPr>
          </w:p>
        </w:tc>
        <w:tc>
          <w:tcPr>
            <w:tcW w:w="2892" w:type="dxa"/>
            <w:gridSpan w:val="2"/>
            <w:tcBorders>
              <w:top w:val="nil"/>
              <w:left w:val="nil"/>
              <w:bottom w:val="nil"/>
              <w:right w:val="nil"/>
            </w:tcBorders>
            <w:noWrap/>
            <w:vAlign w:val="bottom"/>
          </w:tcPr>
          <w:p w:rsidR="00E26C1C" w:rsidRPr="007B7470" w:rsidRDefault="00E26C1C" w:rsidP="00D27093">
            <w:pPr>
              <w:rPr>
                <w:lang w:eastAsia="sk-SK"/>
              </w:rPr>
            </w:pPr>
          </w:p>
        </w:tc>
        <w:tc>
          <w:tcPr>
            <w:tcW w:w="510" w:type="dxa"/>
            <w:tcBorders>
              <w:top w:val="nil"/>
              <w:left w:val="nil"/>
              <w:bottom w:val="nil"/>
              <w:right w:val="nil"/>
            </w:tcBorders>
            <w:noWrap/>
            <w:vAlign w:val="bottom"/>
          </w:tcPr>
          <w:p w:rsidR="00E26C1C" w:rsidRPr="007B7470" w:rsidRDefault="00E26C1C" w:rsidP="00D27093">
            <w:pPr>
              <w:rPr>
                <w:lang w:eastAsia="sk-SK"/>
              </w:rPr>
            </w:pPr>
          </w:p>
        </w:tc>
      </w:tr>
    </w:tbl>
    <w:p w:rsidR="00E26C1C" w:rsidRPr="007B7470" w:rsidRDefault="00E26C1C" w:rsidP="00E26C1C">
      <w:pPr>
        <w:rPr>
          <w:b/>
          <w:bCs/>
          <w:lang w:eastAsia="sk-SK"/>
        </w:rPr>
      </w:pPr>
    </w:p>
    <w:p w:rsidR="00E26C1C" w:rsidRPr="007B7470" w:rsidRDefault="00E26C1C" w:rsidP="00E26C1C">
      <w:pPr>
        <w:rPr>
          <w:b/>
          <w:bCs/>
          <w:lang w:eastAsia="sk-SK"/>
        </w:rPr>
      </w:pPr>
    </w:p>
    <w:p w:rsidR="00E26C1C" w:rsidRPr="007B7470" w:rsidRDefault="00E26C1C" w:rsidP="00E26C1C">
      <w:pPr>
        <w:rPr>
          <w:b/>
          <w:bCs/>
          <w:lang w:eastAsia="sk-SK"/>
        </w:rPr>
      </w:pPr>
      <w:r w:rsidRPr="007B7470">
        <w:rPr>
          <w:b/>
          <w:bCs/>
          <w:lang w:eastAsia="sk-SK"/>
        </w:rPr>
        <w:t xml:space="preserve">                                                                </w:t>
      </w:r>
    </w:p>
    <w:p w:rsidR="00E26C1C" w:rsidRPr="007B7470" w:rsidRDefault="00E26C1C" w:rsidP="00E26C1C">
      <w:pPr>
        <w:jc w:val="both"/>
        <w:rPr>
          <w:b/>
          <w:lang w:eastAsia="sk-SK"/>
        </w:rPr>
      </w:pPr>
      <w:r w:rsidRPr="007B7470">
        <w:rPr>
          <w:b/>
          <w:lang w:eastAsia="sk-SK"/>
        </w:rPr>
        <w:t xml:space="preserve">2.2.5. Výpočet vplyvov na dlhodobú udržateľnosť verejných financií </w:t>
      </w:r>
    </w:p>
    <w:p w:rsidR="00E26C1C" w:rsidRPr="007B7470" w:rsidRDefault="00E26C1C" w:rsidP="00E26C1C">
      <w:pPr>
        <w:jc w:val="both"/>
        <w:rPr>
          <w:lang w:eastAsia="sk-SK"/>
        </w:rPr>
      </w:pPr>
    </w:p>
    <w:p w:rsidR="00E26C1C" w:rsidRPr="007B7470" w:rsidRDefault="00E26C1C" w:rsidP="00E26C1C">
      <w:pPr>
        <w:ind w:firstLine="708"/>
        <w:jc w:val="both"/>
        <w:rPr>
          <w:lang w:eastAsia="sk-SK"/>
        </w:rPr>
      </w:pPr>
      <w:r w:rsidRPr="007B7470">
        <w:rPr>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E26C1C" w:rsidRDefault="00E26C1C" w:rsidP="00E26C1C">
      <w:pPr>
        <w:jc w:val="both"/>
        <w:rPr>
          <w:lang w:eastAsia="sk-SK"/>
        </w:rPr>
      </w:pPr>
    </w:p>
    <w:p w:rsidR="00E26C1C" w:rsidRPr="007B7470" w:rsidRDefault="00E26C1C" w:rsidP="00E26C1C">
      <w:pPr>
        <w:jc w:val="both"/>
        <w:rPr>
          <w:lang w:eastAsia="sk-SK"/>
        </w:rPr>
      </w:pPr>
    </w:p>
    <w:p w:rsidR="00E26C1C" w:rsidRPr="007B7470" w:rsidRDefault="00E26C1C" w:rsidP="00E26C1C">
      <w:pPr>
        <w:jc w:val="both"/>
        <w:rPr>
          <w:lang w:eastAsia="sk-SK"/>
        </w:rPr>
      </w:pPr>
      <w:r w:rsidRPr="007B7470">
        <w:rPr>
          <w:lang w:eastAsia="sk-SK"/>
        </w:rPr>
        <w:t xml:space="preserve">                                                                                                                                </w:t>
      </w:r>
      <w:r w:rsidRPr="007B7470">
        <w:rPr>
          <w:lang w:eastAsia="sk-SK"/>
        </w:rPr>
        <w:tab/>
      </w:r>
      <w:r w:rsidRPr="007B7470">
        <w:rPr>
          <w:lang w:eastAsia="sk-SK"/>
        </w:rPr>
        <w:tab/>
      </w:r>
      <w:r w:rsidRPr="007B7470">
        <w:rPr>
          <w:lang w:eastAsia="sk-SK"/>
        </w:rPr>
        <w:tab/>
      </w:r>
      <w:r w:rsidRPr="007B7470">
        <w:rPr>
          <w:lang w:eastAsia="sk-SK"/>
        </w:rPr>
        <w:tab/>
      </w:r>
      <w:r w:rsidRPr="007B7470">
        <w:rPr>
          <w:lang w:eastAsia="sk-SK"/>
        </w:rPr>
        <w:tab/>
      </w:r>
      <w:r w:rsidRPr="007B7470">
        <w:rPr>
          <w:lang w:eastAsia="sk-SK"/>
        </w:rPr>
        <w:tab/>
      </w:r>
      <w:r w:rsidRPr="007B7470">
        <w:rPr>
          <w:lang w:eastAsia="sk-SK"/>
        </w:rPr>
        <w:tab/>
      </w:r>
      <w:r w:rsidRPr="007B7470">
        <w:rPr>
          <w:lang w:eastAsia="sk-SK"/>
        </w:rPr>
        <w:tab/>
      </w:r>
    </w:p>
    <w:p w:rsidR="00E26C1C" w:rsidRPr="007B7470" w:rsidRDefault="00E26C1C" w:rsidP="00E26C1C">
      <w:pPr>
        <w:jc w:val="both"/>
        <w:rPr>
          <w:sz w:val="20"/>
          <w:szCs w:val="20"/>
          <w:lang w:eastAsia="sk-SK"/>
        </w:rPr>
      </w:pPr>
      <w:r w:rsidRPr="007B7470">
        <w:rPr>
          <w:sz w:val="20"/>
          <w:szCs w:val="20"/>
          <w:lang w:eastAsia="sk-SK"/>
        </w:rPr>
        <w:lastRenderedPageBreak/>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E26C1C" w:rsidRPr="007B7470" w:rsidTr="00D27093">
        <w:trPr>
          <w:trHeight w:val="284"/>
        </w:trPr>
        <w:tc>
          <w:tcPr>
            <w:tcW w:w="2943" w:type="dxa"/>
            <w:vMerge w:val="restart"/>
            <w:shd w:val="clear" w:color="auto" w:fill="BFBFBF" w:themeFill="background1" w:themeFillShade="BF"/>
            <w:vAlign w:val="center"/>
          </w:tcPr>
          <w:p w:rsidR="00E26C1C" w:rsidRPr="007B7470" w:rsidRDefault="00E26C1C" w:rsidP="00D27093">
            <w:pPr>
              <w:widowControl w:val="0"/>
              <w:overflowPunct w:val="0"/>
              <w:autoSpaceDE w:val="0"/>
              <w:autoSpaceDN w:val="0"/>
              <w:adjustRightInd w:val="0"/>
              <w:jc w:val="center"/>
              <w:textAlignment w:val="baseline"/>
              <w:rPr>
                <w:b/>
                <w:lang w:eastAsia="sk-SK"/>
              </w:rPr>
            </w:pPr>
            <w:r w:rsidRPr="007B7470">
              <w:rPr>
                <w:b/>
                <w:lang w:eastAsia="sk-SK"/>
              </w:rPr>
              <w:t>Dlhodobá udržateľnosť</w:t>
            </w:r>
          </w:p>
        </w:tc>
        <w:tc>
          <w:tcPr>
            <w:tcW w:w="7967" w:type="dxa"/>
            <w:gridSpan w:val="5"/>
            <w:shd w:val="clear" w:color="auto" w:fill="BFBFBF" w:themeFill="background1" w:themeFillShade="BF"/>
          </w:tcPr>
          <w:p w:rsidR="00E26C1C" w:rsidRPr="007B7470" w:rsidRDefault="00E26C1C" w:rsidP="00D27093">
            <w:pPr>
              <w:widowControl w:val="0"/>
              <w:overflowPunct w:val="0"/>
              <w:autoSpaceDE w:val="0"/>
              <w:autoSpaceDN w:val="0"/>
              <w:adjustRightInd w:val="0"/>
              <w:jc w:val="center"/>
              <w:textAlignment w:val="baseline"/>
              <w:rPr>
                <w:b/>
                <w:lang w:eastAsia="sk-SK"/>
              </w:rPr>
            </w:pPr>
            <w:r w:rsidRPr="007B7470">
              <w:rPr>
                <w:b/>
                <w:lang w:eastAsia="sk-SK"/>
              </w:rPr>
              <w:t>Vplyv na verejné financie</w:t>
            </w:r>
          </w:p>
        </w:tc>
        <w:tc>
          <w:tcPr>
            <w:tcW w:w="3119" w:type="dxa"/>
            <w:vMerge w:val="restart"/>
            <w:shd w:val="clear" w:color="auto" w:fill="BFBFBF" w:themeFill="background1" w:themeFillShade="BF"/>
            <w:vAlign w:val="center"/>
          </w:tcPr>
          <w:p w:rsidR="00E26C1C" w:rsidRPr="007B7470" w:rsidRDefault="00E26C1C" w:rsidP="00D27093">
            <w:pPr>
              <w:widowControl w:val="0"/>
              <w:overflowPunct w:val="0"/>
              <w:autoSpaceDE w:val="0"/>
              <w:autoSpaceDN w:val="0"/>
              <w:adjustRightInd w:val="0"/>
              <w:jc w:val="center"/>
              <w:textAlignment w:val="baseline"/>
              <w:rPr>
                <w:b/>
                <w:lang w:eastAsia="sk-SK"/>
              </w:rPr>
            </w:pPr>
            <w:r w:rsidRPr="007B7470">
              <w:rPr>
                <w:b/>
                <w:lang w:eastAsia="sk-SK"/>
              </w:rPr>
              <w:t>Poznámka</w:t>
            </w:r>
          </w:p>
        </w:tc>
      </w:tr>
      <w:tr w:rsidR="00E26C1C" w:rsidRPr="007B7470" w:rsidTr="00D27093">
        <w:trPr>
          <w:trHeight w:val="284"/>
        </w:trPr>
        <w:tc>
          <w:tcPr>
            <w:tcW w:w="2943" w:type="dxa"/>
            <w:vMerge/>
            <w:shd w:val="clear" w:color="auto" w:fill="BFBFBF" w:themeFill="background1" w:themeFillShade="BF"/>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447" w:type="dxa"/>
            <w:shd w:val="clear" w:color="auto" w:fill="BFBFBF" w:themeFill="background1" w:themeFillShade="BF"/>
          </w:tcPr>
          <w:p w:rsidR="00E26C1C" w:rsidRPr="007B7470" w:rsidRDefault="00E26C1C" w:rsidP="00D27093">
            <w:pPr>
              <w:widowControl w:val="0"/>
              <w:overflowPunct w:val="0"/>
              <w:autoSpaceDE w:val="0"/>
              <w:autoSpaceDN w:val="0"/>
              <w:adjustRightInd w:val="0"/>
              <w:jc w:val="center"/>
              <w:textAlignment w:val="baseline"/>
              <w:rPr>
                <w:lang w:eastAsia="sk-SK"/>
              </w:rPr>
            </w:pPr>
            <w:r w:rsidRPr="007B7470">
              <w:rPr>
                <w:lang w:eastAsia="sk-SK"/>
              </w:rPr>
              <w:t>d</w:t>
            </w:r>
          </w:p>
        </w:tc>
        <w:tc>
          <w:tcPr>
            <w:tcW w:w="1559" w:type="dxa"/>
            <w:shd w:val="clear" w:color="auto" w:fill="BFBFBF" w:themeFill="background1" w:themeFillShade="BF"/>
          </w:tcPr>
          <w:p w:rsidR="00E26C1C" w:rsidRPr="007B7470" w:rsidRDefault="00E26C1C" w:rsidP="00D27093">
            <w:pPr>
              <w:widowControl w:val="0"/>
              <w:overflowPunct w:val="0"/>
              <w:autoSpaceDE w:val="0"/>
              <w:autoSpaceDN w:val="0"/>
              <w:adjustRightInd w:val="0"/>
              <w:jc w:val="center"/>
              <w:textAlignment w:val="baseline"/>
              <w:rPr>
                <w:lang w:eastAsia="sk-SK"/>
              </w:rPr>
            </w:pPr>
            <w:r w:rsidRPr="007B7470">
              <w:rPr>
                <w:lang w:eastAsia="sk-SK"/>
              </w:rPr>
              <w:t>d + 10</w:t>
            </w:r>
          </w:p>
        </w:tc>
        <w:tc>
          <w:tcPr>
            <w:tcW w:w="1559" w:type="dxa"/>
            <w:shd w:val="clear" w:color="auto" w:fill="BFBFBF" w:themeFill="background1" w:themeFillShade="BF"/>
          </w:tcPr>
          <w:p w:rsidR="00E26C1C" w:rsidRPr="007B7470" w:rsidRDefault="00E26C1C" w:rsidP="00D27093">
            <w:pPr>
              <w:widowControl w:val="0"/>
              <w:overflowPunct w:val="0"/>
              <w:autoSpaceDE w:val="0"/>
              <w:autoSpaceDN w:val="0"/>
              <w:adjustRightInd w:val="0"/>
              <w:jc w:val="center"/>
              <w:textAlignment w:val="baseline"/>
              <w:rPr>
                <w:lang w:eastAsia="sk-SK"/>
              </w:rPr>
            </w:pPr>
            <w:r w:rsidRPr="007B7470">
              <w:rPr>
                <w:lang w:eastAsia="sk-SK"/>
              </w:rPr>
              <w:t>d + 20</w:t>
            </w:r>
          </w:p>
        </w:tc>
        <w:tc>
          <w:tcPr>
            <w:tcW w:w="1418" w:type="dxa"/>
            <w:shd w:val="clear" w:color="auto" w:fill="BFBFBF" w:themeFill="background1" w:themeFillShade="BF"/>
          </w:tcPr>
          <w:p w:rsidR="00E26C1C" w:rsidRPr="007B7470" w:rsidRDefault="00E26C1C" w:rsidP="00D27093">
            <w:pPr>
              <w:widowControl w:val="0"/>
              <w:overflowPunct w:val="0"/>
              <w:autoSpaceDE w:val="0"/>
              <w:autoSpaceDN w:val="0"/>
              <w:adjustRightInd w:val="0"/>
              <w:jc w:val="center"/>
              <w:textAlignment w:val="baseline"/>
              <w:rPr>
                <w:lang w:eastAsia="sk-SK"/>
              </w:rPr>
            </w:pPr>
            <w:r w:rsidRPr="007B7470">
              <w:rPr>
                <w:lang w:eastAsia="sk-SK"/>
              </w:rPr>
              <w:t>d + 30</w:t>
            </w:r>
          </w:p>
        </w:tc>
        <w:tc>
          <w:tcPr>
            <w:tcW w:w="1984" w:type="dxa"/>
            <w:shd w:val="clear" w:color="auto" w:fill="BFBFBF" w:themeFill="background1" w:themeFillShade="BF"/>
          </w:tcPr>
          <w:p w:rsidR="00E26C1C" w:rsidRPr="007B7470" w:rsidRDefault="00E26C1C" w:rsidP="00D27093">
            <w:pPr>
              <w:widowControl w:val="0"/>
              <w:overflowPunct w:val="0"/>
              <w:autoSpaceDE w:val="0"/>
              <w:autoSpaceDN w:val="0"/>
              <w:adjustRightInd w:val="0"/>
              <w:jc w:val="center"/>
              <w:textAlignment w:val="baseline"/>
              <w:rPr>
                <w:lang w:eastAsia="sk-SK"/>
              </w:rPr>
            </w:pPr>
            <w:r w:rsidRPr="007B7470">
              <w:rPr>
                <w:lang w:eastAsia="sk-SK"/>
              </w:rPr>
              <w:t>d + 40</w:t>
            </w:r>
          </w:p>
        </w:tc>
        <w:tc>
          <w:tcPr>
            <w:tcW w:w="3119" w:type="dxa"/>
            <w:vMerge/>
            <w:shd w:val="clear" w:color="auto" w:fill="BFBFBF" w:themeFill="background1" w:themeFillShade="BF"/>
          </w:tcPr>
          <w:p w:rsidR="00E26C1C" w:rsidRPr="007B7470" w:rsidRDefault="00E26C1C" w:rsidP="00D27093">
            <w:pPr>
              <w:widowControl w:val="0"/>
              <w:overflowPunct w:val="0"/>
              <w:autoSpaceDE w:val="0"/>
              <w:autoSpaceDN w:val="0"/>
              <w:adjustRightInd w:val="0"/>
              <w:jc w:val="both"/>
              <w:textAlignment w:val="baseline"/>
              <w:rPr>
                <w:lang w:eastAsia="sk-SK"/>
              </w:rPr>
            </w:pPr>
          </w:p>
        </w:tc>
      </w:tr>
      <w:tr w:rsidR="00E26C1C" w:rsidRPr="007B7470" w:rsidTr="00D27093">
        <w:trPr>
          <w:trHeight w:val="284"/>
        </w:trPr>
        <w:tc>
          <w:tcPr>
            <w:tcW w:w="2943" w:type="dxa"/>
            <w:shd w:val="clear" w:color="auto" w:fill="auto"/>
            <w:vAlign w:val="bottom"/>
          </w:tcPr>
          <w:p w:rsidR="00E26C1C" w:rsidRPr="007B7470" w:rsidRDefault="00E26C1C" w:rsidP="00D27093">
            <w:pPr>
              <w:widowControl w:val="0"/>
              <w:overflowPunct w:val="0"/>
              <w:autoSpaceDE w:val="0"/>
              <w:autoSpaceDN w:val="0"/>
              <w:adjustRightInd w:val="0"/>
              <w:textAlignment w:val="baseline"/>
              <w:rPr>
                <w:lang w:eastAsia="sk-SK"/>
              </w:rPr>
            </w:pPr>
            <w:r w:rsidRPr="007B7470">
              <w:rPr>
                <w:lang w:eastAsia="sk-SK"/>
              </w:rPr>
              <w:t>Vplyv na výdavky v p. b. HDP</w:t>
            </w:r>
          </w:p>
        </w:tc>
        <w:tc>
          <w:tcPr>
            <w:tcW w:w="1447"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559"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559"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418"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984"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3119"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r>
      <w:tr w:rsidR="00E26C1C" w:rsidRPr="007B7470" w:rsidTr="00D27093">
        <w:trPr>
          <w:trHeight w:val="284"/>
        </w:trPr>
        <w:tc>
          <w:tcPr>
            <w:tcW w:w="2943" w:type="dxa"/>
            <w:shd w:val="clear" w:color="auto" w:fill="auto"/>
          </w:tcPr>
          <w:p w:rsidR="00E26C1C" w:rsidRPr="007B7470" w:rsidRDefault="00E26C1C" w:rsidP="00D27093">
            <w:pPr>
              <w:widowControl w:val="0"/>
              <w:overflowPunct w:val="0"/>
              <w:autoSpaceDE w:val="0"/>
              <w:autoSpaceDN w:val="0"/>
              <w:adjustRightInd w:val="0"/>
              <w:textAlignment w:val="baseline"/>
              <w:rPr>
                <w:lang w:eastAsia="sk-SK"/>
              </w:rPr>
            </w:pPr>
            <w:r w:rsidRPr="007B7470">
              <w:rPr>
                <w:lang w:eastAsia="sk-SK"/>
              </w:rPr>
              <w:t>Vplyv na príjmy v p. b. HDP</w:t>
            </w:r>
          </w:p>
        </w:tc>
        <w:tc>
          <w:tcPr>
            <w:tcW w:w="1447"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559"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559"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418"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984"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3119"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r>
      <w:tr w:rsidR="00E26C1C" w:rsidRPr="007B7470" w:rsidTr="00D27093">
        <w:trPr>
          <w:trHeight w:val="284"/>
        </w:trPr>
        <w:tc>
          <w:tcPr>
            <w:tcW w:w="2943" w:type="dxa"/>
            <w:shd w:val="clear" w:color="auto" w:fill="auto"/>
          </w:tcPr>
          <w:p w:rsidR="00E26C1C" w:rsidRPr="007B7470" w:rsidRDefault="00E26C1C" w:rsidP="00D27093">
            <w:pPr>
              <w:widowControl w:val="0"/>
              <w:overflowPunct w:val="0"/>
              <w:autoSpaceDE w:val="0"/>
              <w:autoSpaceDN w:val="0"/>
              <w:adjustRightInd w:val="0"/>
              <w:textAlignment w:val="baseline"/>
              <w:rPr>
                <w:lang w:eastAsia="sk-SK"/>
              </w:rPr>
            </w:pPr>
            <w:r w:rsidRPr="007B7470">
              <w:rPr>
                <w:lang w:eastAsia="sk-SK"/>
              </w:rPr>
              <w:t>Vplyv na bilanciu  v p. b. HDP</w:t>
            </w:r>
          </w:p>
        </w:tc>
        <w:tc>
          <w:tcPr>
            <w:tcW w:w="1447"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559"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559"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418"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1984"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c>
          <w:tcPr>
            <w:tcW w:w="3119" w:type="dxa"/>
            <w:shd w:val="clear" w:color="auto" w:fill="auto"/>
          </w:tcPr>
          <w:p w:rsidR="00E26C1C" w:rsidRPr="007B7470" w:rsidRDefault="00E26C1C" w:rsidP="00D27093">
            <w:pPr>
              <w:widowControl w:val="0"/>
              <w:overflowPunct w:val="0"/>
              <w:autoSpaceDE w:val="0"/>
              <w:autoSpaceDN w:val="0"/>
              <w:adjustRightInd w:val="0"/>
              <w:jc w:val="both"/>
              <w:textAlignment w:val="baseline"/>
              <w:rPr>
                <w:lang w:eastAsia="sk-SK"/>
              </w:rPr>
            </w:pPr>
          </w:p>
        </w:tc>
      </w:tr>
    </w:tbl>
    <w:p w:rsidR="00E26C1C" w:rsidRPr="007B7470" w:rsidRDefault="00E26C1C" w:rsidP="00E26C1C">
      <w:pPr>
        <w:jc w:val="both"/>
        <w:rPr>
          <w:lang w:eastAsia="sk-SK"/>
        </w:rPr>
      </w:pPr>
    </w:p>
    <w:p w:rsidR="00E26C1C" w:rsidRPr="007B7470" w:rsidRDefault="00E26C1C" w:rsidP="00E26C1C">
      <w:pPr>
        <w:jc w:val="both"/>
        <w:rPr>
          <w:b/>
          <w:lang w:eastAsia="sk-SK"/>
        </w:rPr>
      </w:pPr>
      <w:r w:rsidRPr="007B7470">
        <w:rPr>
          <w:b/>
          <w:lang w:eastAsia="sk-SK"/>
        </w:rPr>
        <w:t xml:space="preserve">Poznámka: </w:t>
      </w:r>
    </w:p>
    <w:p w:rsidR="00E26C1C" w:rsidRPr="007B7470" w:rsidRDefault="00E26C1C" w:rsidP="00E26C1C">
      <w:pPr>
        <w:jc w:val="both"/>
        <w:rPr>
          <w:lang w:eastAsia="sk-SK"/>
        </w:rPr>
      </w:pPr>
      <w:r w:rsidRPr="007B7470">
        <w:rPr>
          <w:lang w:eastAsia="sk-SK"/>
        </w:rPr>
        <w:t xml:space="preserve">Písmeno „d“ označuje prvý rok nasledujúcej dekády. </w:t>
      </w:r>
    </w:p>
    <w:p w:rsidR="00E26C1C" w:rsidRPr="007B7470" w:rsidRDefault="00E26C1C" w:rsidP="00E26C1C">
      <w:pPr>
        <w:jc w:val="both"/>
        <w:rPr>
          <w:lang w:eastAsia="sk-SK"/>
        </w:rPr>
      </w:pPr>
      <w:r w:rsidRPr="007B7470">
        <w:rPr>
          <w:lang w:eastAsia="sk-SK"/>
        </w:rPr>
        <w:t xml:space="preserve">Tabuľka sa vypĺňa pre každé opatrenie samostatne. V prípade zavádzania viacerých opatrení sa vyplní aj tabuľka obsahujúca aj kumulatívny efekt zavedenia všetkých opatrení súčasne.“  </w:t>
      </w:r>
    </w:p>
    <w:p w:rsidR="00E26C1C" w:rsidRPr="007B7470" w:rsidRDefault="00E26C1C" w:rsidP="00E26C1C">
      <w:pPr>
        <w:rPr>
          <w:b/>
          <w:bCs/>
          <w:lang w:eastAsia="sk-SK"/>
        </w:rPr>
        <w:sectPr w:rsidR="00E26C1C" w:rsidRPr="007B7470">
          <w:pgSz w:w="16838" w:h="11906" w:orient="landscape"/>
          <w:pgMar w:top="1418" w:right="1418" w:bottom="1418" w:left="1418" w:header="709" w:footer="709" w:gutter="0"/>
          <w:cols w:space="708"/>
          <w:docGrid w:linePitch="360"/>
        </w:sectPr>
      </w:pPr>
    </w:p>
    <w:p w:rsidR="00D27093" w:rsidRPr="00895898" w:rsidRDefault="00D27093" w:rsidP="00D27093">
      <w:pPr>
        <w:jc w:val="center"/>
        <w:rPr>
          <w:rFonts w:eastAsia="Calibri"/>
          <w:b/>
          <w:sz w:val="28"/>
          <w:szCs w:val="28"/>
        </w:rPr>
      </w:pPr>
      <w:r w:rsidRPr="00895898">
        <w:rPr>
          <w:rFonts w:eastAsia="Calibri"/>
          <w:b/>
          <w:sz w:val="28"/>
          <w:szCs w:val="28"/>
        </w:rPr>
        <w:lastRenderedPageBreak/>
        <w:t>Analýza vplyvov na podnikateľské prostredie</w:t>
      </w:r>
    </w:p>
    <w:p w:rsidR="00D27093" w:rsidRPr="00895898" w:rsidRDefault="00D27093" w:rsidP="00D27093">
      <w:pPr>
        <w:jc w:val="both"/>
        <w:rPr>
          <w:rFonts w:eastAsia="Calibri"/>
          <w:b/>
        </w:rPr>
      </w:pPr>
    </w:p>
    <w:p w:rsidR="00D27093" w:rsidRPr="001F1B43" w:rsidRDefault="00D27093" w:rsidP="00D27093">
      <w:pPr>
        <w:ind w:left="1985" w:hanging="1985"/>
        <w:jc w:val="both"/>
        <w:rPr>
          <w:rFonts w:eastAsia="Calibri"/>
          <w:b/>
        </w:rPr>
      </w:pPr>
      <w:r w:rsidRPr="001F1B43">
        <w:rPr>
          <w:rFonts w:eastAsia="Calibri"/>
          <w:b/>
        </w:rPr>
        <w:t>Názov materiálu:</w:t>
      </w:r>
      <w:r>
        <w:rPr>
          <w:rFonts w:eastAsia="Calibri"/>
          <w:b/>
        </w:rPr>
        <w:t xml:space="preserve"> Návrh zákona o niektorých povinnostiach a oprávneniach v oblasti kryptoaktív a o zmene a doplnení niektorých zákonov</w:t>
      </w:r>
    </w:p>
    <w:p w:rsidR="00D27093" w:rsidRPr="001F1B43" w:rsidRDefault="00D27093" w:rsidP="00D27093">
      <w:pPr>
        <w:jc w:val="both"/>
        <w:rPr>
          <w:rFonts w:eastAsia="Calibri"/>
          <w:b/>
        </w:rPr>
      </w:pPr>
      <w:r w:rsidRPr="001F1B43">
        <w:rPr>
          <w:rFonts w:eastAsia="Calibri"/>
          <w:b/>
        </w:rPr>
        <w:t>Predkladateľ:</w:t>
      </w:r>
      <w:r>
        <w:rPr>
          <w:rFonts w:eastAsia="Calibri"/>
          <w:b/>
        </w:rPr>
        <w:t xml:space="preserve"> </w:t>
      </w:r>
      <w:r w:rsidR="005D109E">
        <w:rPr>
          <w:rFonts w:eastAsia="Calibri"/>
          <w:b/>
        </w:rPr>
        <w:t>Vláda</w:t>
      </w:r>
      <w:r>
        <w:rPr>
          <w:rFonts w:eastAsia="Calibri"/>
          <w:b/>
        </w:rPr>
        <w:t xml:space="preserve"> Slovenskej republiky</w:t>
      </w:r>
    </w:p>
    <w:p w:rsidR="00D27093" w:rsidRPr="001F1B43" w:rsidRDefault="00D27093" w:rsidP="00D27093">
      <w:pPr>
        <w:jc w:val="both"/>
        <w:rPr>
          <w:rFonts w:eastAsia="Calibri"/>
          <w:b/>
        </w:rPr>
      </w:pPr>
    </w:p>
    <w:p w:rsidR="00D27093" w:rsidRPr="001F1B43" w:rsidRDefault="00D27093" w:rsidP="00D27093">
      <w:pPr>
        <w:jc w:val="both"/>
        <w:rPr>
          <w:rFonts w:eastAsia="Calibri"/>
          <w:b/>
        </w:rPr>
      </w:pPr>
      <w:r w:rsidRPr="001F1B43">
        <w:rPr>
          <w:rFonts w:eastAsia="Calibri"/>
          <w:b/>
        </w:rPr>
        <w:t>3.1 Náklady regulácie</w:t>
      </w:r>
    </w:p>
    <w:p w:rsidR="00D27093" w:rsidRPr="001F1B43" w:rsidRDefault="00D27093" w:rsidP="00D27093">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rsidR="00D27093" w:rsidRPr="007709A3" w:rsidRDefault="00D27093" w:rsidP="00D27093">
      <w:pPr>
        <w:jc w:val="both"/>
        <w:rPr>
          <w:rFonts w:eastAsia="Calibri"/>
          <w:i/>
          <w:sz w:val="20"/>
          <w:szCs w:val="20"/>
        </w:rPr>
      </w:pPr>
      <w:r w:rsidRPr="007709A3">
        <w:rPr>
          <w:rFonts w:eastAsia="Calibri"/>
          <w:i/>
          <w:sz w:val="20"/>
          <w:szCs w:val="20"/>
        </w:rPr>
        <w:t xml:space="preserve">Tabuľka č. 1: Zmeny nákladov (ročne) v prepočte na podnikateľské prostredie (PP), vyhodnotenie mechanizmu znižovania byrokracie a nákladov, náklady </w:t>
      </w:r>
      <w:proofErr w:type="spellStart"/>
      <w:r w:rsidRPr="007709A3">
        <w:rPr>
          <w:rFonts w:eastAsia="Calibri"/>
          <w:i/>
          <w:sz w:val="20"/>
          <w:szCs w:val="20"/>
        </w:rPr>
        <w:t>goldplatingu</w:t>
      </w:r>
      <w:proofErr w:type="spellEnd"/>
      <w:r w:rsidRPr="007709A3">
        <w:rPr>
          <w:rStyle w:val="Odkaznapoznmkupodiarou"/>
          <w:rFonts w:eastAsia="Calibri"/>
          <w:i/>
          <w:sz w:val="20"/>
          <w:szCs w:val="20"/>
        </w:rPr>
        <w:footnoteReference w:id="1"/>
      </w:r>
      <w:r w:rsidRPr="007709A3">
        <w:rPr>
          <w:rFonts w:eastAsia="Calibri"/>
          <w:i/>
          <w:sz w:val="20"/>
          <w:szCs w:val="20"/>
        </w:rPr>
        <w:t xml:space="preserve"> na podnikateľské prostredie. </w:t>
      </w:r>
    </w:p>
    <w:p w:rsidR="00D27093" w:rsidRDefault="00D27093" w:rsidP="00D27093">
      <w:pPr>
        <w:jc w:val="both"/>
        <w:rPr>
          <w:rFonts w:eastAsia="Calibri"/>
          <w:i/>
          <w:sz w:val="20"/>
          <w:szCs w:val="20"/>
        </w:rPr>
      </w:pPr>
      <w:r w:rsidRPr="007709A3">
        <w:rPr>
          <w:rFonts w:eastAsia="Calibri"/>
          <w:i/>
          <w:sz w:val="20"/>
          <w:szCs w:val="20"/>
        </w:rPr>
        <w:t xml:space="preserve">Nahraďte rovnakou tabuľkou po vyplnení Kalkulačky nákladov podnikateľského prostredia, ktorá je povinnou prílohou tejto analýzy a nájdete ju na </w:t>
      </w:r>
      <w:hyperlink r:id="rId14" w:history="1">
        <w:r w:rsidRPr="007709A3">
          <w:rPr>
            <w:rFonts w:eastAsia="Calibri"/>
            <w:i/>
            <w:color w:val="0563C1"/>
            <w:sz w:val="20"/>
            <w:szCs w:val="20"/>
            <w:u w:val="single"/>
          </w:rPr>
          <w:t>webovom sídle MH SR</w:t>
        </w:r>
      </w:hyperlink>
      <w:r w:rsidRPr="007709A3">
        <w:rPr>
          <w:rFonts w:eastAsia="Calibri"/>
          <w:i/>
          <w:sz w:val="20"/>
          <w:szCs w:val="20"/>
        </w:rPr>
        <w:t>, (ďalej len „Kalkulačka nákladov“):</w:t>
      </w:r>
    </w:p>
    <w:p w:rsidR="00D27093" w:rsidRDefault="00D27093" w:rsidP="00D27093">
      <w:pPr>
        <w:jc w:val="both"/>
        <w:rPr>
          <w:rFonts w:eastAsia="Calibri"/>
          <w:i/>
          <w:sz w:val="20"/>
          <w:szCs w:val="20"/>
        </w:rPr>
      </w:pPr>
    </w:p>
    <w:tbl>
      <w:tblPr>
        <w:tblW w:w="8921" w:type="dxa"/>
        <w:tblCellMar>
          <w:left w:w="70" w:type="dxa"/>
          <w:right w:w="70" w:type="dxa"/>
        </w:tblCellMar>
        <w:tblLook w:val="04A0" w:firstRow="1" w:lastRow="0" w:firstColumn="1" w:lastColumn="0" w:noHBand="0" w:noVBand="1"/>
      </w:tblPr>
      <w:tblGrid>
        <w:gridCol w:w="4540"/>
        <w:gridCol w:w="2254"/>
        <w:gridCol w:w="2127"/>
      </w:tblGrid>
      <w:tr w:rsidR="00D27093" w:rsidRPr="007709A3" w:rsidTr="00D27093">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27093" w:rsidRPr="007709A3" w:rsidRDefault="00D27093" w:rsidP="00D27093">
            <w:pPr>
              <w:jc w:val="center"/>
              <w:rPr>
                <w:b/>
                <w:bCs/>
                <w:i/>
                <w:iCs/>
                <w:color w:val="000000"/>
                <w:sz w:val="20"/>
                <w:szCs w:val="20"/>
                <w:lang w:eastAsia="sk-SK"/>
              </w:rPr>
            </w:pPr>
            <w:r w:rsidRPr="007709A3">
              <w:rPr>
                <w:b/>
                <w:bCs/>
                <w:i/>
                <w:iCs/>
                <w:color w:val="000000"/>
                <w:sz w:val="20"/>
                <w:szCs w:val="20"/>
                <w:lang w:eastAsia="sk-SK"/>
              </w:rPr>
              <w:t>TYP NÁKLADOV</w:t>
            </w:r>
          </w:p>
        </w:tc>
        <w:tc>
          <w:tcPr>
            <w:tcW w:w="2254" w:type="dxa"/>
            <w:tcBorders>
              <w:top w:val="single" w:sz="8" w:space="0" w:color="auto"/>
              <w:left w:val="nil"/>
              <w:bottom w:val="single" w:sz="8" w:space="0" w:color="auto"/>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Zvýšenie nákladov v € na PP</w:t>
            </w:r>
          </w:p>
        </w:tc>
        <w:tc>
          <w:tcPr>
            <w:tcW w:w="2127" w:type="dxa"/>
            <w:tcBorders>
              <w:top w:val="single" w:sz="8" w:space="0" w:color="auto"/>
              <w:left w:val="nil"/>
              <w:bottom w:val="single" w:sz="8" w:space="0" w:color="auto"/>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Zníženie nákladov v € na PP</w:t>
            </w:r>
          </w:p>
        </w:tc>
      </w:tr>
      <w:tr w:rsidR="00D27093" w:rsidRPr="007709A3" w:rsidTr="00D27093">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D27093" w:rsidRPr="007709A3" w:rsidRDefault="00D27093" w:rsidP="00D27093">
            <w:pPr>
              <w:rPr>
                <w:b/>
                <w:bCs/>
                <w:i/>
                <w:iCs/>
                <w:color w:val="000000"/>
                <w:sz w:val="20"/>
                <w:szCs w:val="20"/>
                <w:lang w:eastAsia="sk-SK"/>
              </w:rPr>
            </w:pPr>
            <w:proofErr w:type="spellStart"/>
            <w:r w:rsidRPr="007709A3">
              <w:rPr>
                <w:b/>
                <w:bCs/>
                <w:i/>
                <w:iCs/>
                <w:color w:val="000000"/>
                <w:sz w:val="20"/>
                <w:szCs w:val="20"/>
                <w:lang w:eastAsia="sk-SK"/>
              </w:rPr>
              <w:t>A.Dane</w:t>
            </w:r>
            <w:proofErr w:type="spellEnd"/>
            <w:r w:rsidRPr="007709A3">
              <w:rPr>
                <w:b/>
                <w:bCs/>
                <w:i/>
                <w:iCs/>
                <w:color w:val="000000"/>
                <w:sz w:val="20"/>
                <w:szCs w:val="20"/>
                <w:lang w:eastAsia="sk-SK"/>
              </w:rPr>
              <w:t xml:space="preserve">, odvody, clá a poplatky, ktorých cieľom je znižovať negatívne </w:t>
            </w:r>
            <w:proofErr w:type="spellStart"/>
            <w:r w:rsidRPr="007709A3">
              <w:rPr>
                <w:b/>
                <w:bCs/>
                <w:i/>
                <w:iCs/>
                <w:color w:val="000000"/>
                <w:sz w:val="20"/>
                <w:szCs w:val="20"/>
                <w:lang w:eastAsia="sk-SK"/>
              </w:rPr>
              <w:t>externality</w:t>
            </w:r>
            <w:proofErr w:type="spellEnd"/>
          </w:p>
        </w:tc>
        <w:tc>
          <w:tcPr>
            <w:tcW w:w="2254" w:type="dxa"/>
            <w:tcBorders>
              <w:top w:val="nil"/>
              <w:left w:val="nil"/>
              <w:bottom w:val="single" w:sz="4" w:space="0" w:color="auto"/>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0</w:t>
            </w:r>
          </w:p>
        </w:tc>
        <w:tc>
          <w:tcPr>
            <w:tcW w:w="2127" w:type="dxa"/>
            <w:tcBorders>
              <w:top w:val="nil"/>
              <w:left w:val="nil"/>
              <w:bottom w:val="single" w:sz="4" w:space="0" w:color="auto"/>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0</w:t>
            </w:r>
          </w:p>
        </w:tc>
      </w:tr>
      <w:tr w:rsidR="00D27093" w:rsidRPr="007709A3" w:rsidTr="00D27093">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D27093" w:rsidRPr="007709A3" w:rsidRDefault="00D27093" w:rsidP="00D27093">
            <w:pPr>
              <w:rPr>
                <w:b/>
                <w:bCs/>
                <w:i/>
                <w:iCs/>
                <w:color w:val="000000"/>
                <w:sz w:val="20"/>
                <w:szCs w:val="20"/>
                <w:lang w:eastAsia="sk-SK"/>
              </w:rPr>
            </w:pPr>
            <w:r w:rsidRPr="007709A3">
              <w:rPr>
                <w:b/>
                <w:bCs/>
                <w:i/>
                <w:iCs/>
                <w:color w:val="000000"/>
                <w:sz w:val="20"/>
                <w:szCs w:val="20"/>
                <w:lang w:eastAsia="sk-SK"/>
              </w:rPr>
              <w:t>B. Iné poplatky</w:t>
            </w:r>
          </w:p>
        </w:tc>
        <w:tc>
          <w:tcPr>
            <w:tcW w:w="2254" w:type="dxa"/>
            <w:tcBorders>
              <w:top w:val="nil"/>
              <w:left w:val="nil"/>
              <w:bottom w:val="single" w:sz="4" w:space="0" w:color="auto"/>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0</w:t>
            </w:r>
          </w:p>
        </w:tc>
        <w:tc>
          <w:tcPr>
            <w:tcW w:w="2127" w:type="dxa"/>
            <w:tcBorders>
              <w:top w:val="nil"/>
              <w:left w:val="nil"/>
              <w:bottom w:val="single" w:sz="4" w:space="0" w:color="auto"/>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0</w:t>
            </w:r>
          </w:p>
        </w:tc>
      </w:tr>
      <w:tr w:rsidR="00D27093" w:rsidRPr="007709A3" w:rsidTr="00D27093">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D27093" w:rsidRPr="007709A3" w:rsidRDefault="00D27093" w:rsidP="00D27093">
            <w:pPr>
              <w:rPr>
                <w:b/>
                <w:bCs/>
                <w:i/>
                <w:iCs/>
                <w:color w:val="000000"/>
                <w:sz w:val="20"/>
                <w:szCs w:val="20"/>
                <w:lang w:eastAsia="sk-SK"/>
              </w:rPr>
            </w:pPr>
            <w:r w:rsidRPr="007709A3">
              <w:rPr>
                <w:b/>
                <w:bCs/>
                <w:i/>
                <w:iCs/>
                <w:color w:val="000000"/>
                <w:sz w:val="20"/>
                <w:szCs w:val="20"/>
                <w:lang w:eastAsia="sk-SK"/>
              </w:rPr>
              <w:t>C. Sankcie a pokuty</w:t>
            </w:r>
          </w:p>
        </w:tc>
        <w:tc>
          <w:tcPr>
            <w:tcW w:w="2254" w:type="dxa"/>
            <w:tcBorders>
              <w:top w:val="nil"/>
              <w:left w:val="nil"/>
              <w:bottom w:val="single" w:sz="4" w:space="0" w:color="auto"/>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0</w:t>
            </w:r>
          </w:p>
        </w:tc>
        <w:tc>
          <w:tcPr>
            <w:tcW w:w="2127" w:type="dxa"/>
            <w:tcBorders>
              <w:top w:val="nil"/>
              <w:left w:val="nil"/>
              <w:bottom w:val="single" w:sz="4" w:space="0" w:color="auto"/>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0</w:t>
            </w:r>
          </w:p>
        </w:tc>
      </w:tr>
      <w:tr w:rsidR="00D27093" w:rsidRPr="007709A3" w:rsidTr="00D27093">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D27093" w:rsidRPr="007709A3" w:rsidRDefault="00D27093" w:rsidP="00D27093">
            <w:pPr>
              <w:rPr>
                <w:b/>
                <w:bCs/>
                <w:i/>
                <w:iCs/>
                <w:color w:val="000000"/>
                <w:sz w:val="20"/>
                <w:szCs w:val="20"/>
                <w:lang w:eastAsia="sk-SK"/>
              </w:rPr>
            </w:pPr>
            <w:r w:rsidRPr="007709A3">
              <w:rPr>
                <w:b/>
                <w:bCs/>
                <w:i/>
                <w:iCs/>
                <w:color w:val="000000"/>
                <w:sz w:val="20"/>
                <w:szCs w:val="20"/>
                <w:lang w:eastAsia="sk-SK"/>
              </w:rPr>
              <w:t>D. Nepriame finančné náklady</w:t>
            </w:r>
          </w:p>
        </w:tc>
        <w:tc>
          <w:tcPr>
            <w:tcW w:w="2254" w:type="dxa"/>
            <w:tcBorders>
              <w:top w:val="nil"/>
              <w:left w:val="nil"/>
              <w:bottom w:val="single" w:sz="4" w:space="0" w:color="auto"/>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0</w:t>
            </w:r>
          </w:p>
        </w:tc>
        <w:tc>
          <w:tcPr>
            <w:tcW w:w="2127" w:type="dxa"/>
            <w:tcBorders>
              <w:top w:val="nil"/>
              <w:left w:val="nil"/>
              <w:bottom w:val="single" w:sz="4" w:space="0" w:color="auto"/>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0</w:t>
            </w:r>
          </w:p>
        </w:tc>
      </w:tr>
      <w:tr w:rsidR="00D27093" w:rsidRPr="007709A3" w:rsidTr="00D27093">
        <w:trPr>
          <w:trHeight w:val="300"/>
        </w:trPr>
        <w:tc>
          <w:tcPr>
            <w:tcW w:w="4540" w:type="dxa"/>
            <w:tcBorders>
              <w:top w:val="nil"/>
              <w:left w:val="single" w:sz="8" w:space="0" w:color="auto"/>
              <w:bottom w:val="nil"/>
              <w:right w:val="single" w:sz="4" w:space="0" w:color="auto"/>
            </w:tcBorders>
            <w:shd w:val="clear" w:color="auto" w:fill="auto"/>
            <w:vAlign w:val="center"/>
            <w:hideMark/>
          </w:tcPr>
          <w:p w:rsidR="00D27093" w:rsidRPr="007709A3" w:rsidRDefault="00D27093" w:rsidP="00D27093">
            <w:pPr>
              <w:rPr>
                <w:b/>
                <w:bCs/>
                <w:i/>
                <w:iCs/>
                <w:color w:val="000000"/>
                <w:sz w:val="20"/>
                <w:szCs w:val="20"/>
                <w:lang w:eastAsia="sk-SK"/>
              </w:rPr>
            </w:pPr>
            <w:r w:rsidRPr="007709A3">
              <w:rPr>
                <w:b/>
                <w:bCs/>
                <w:i/>
                <w:iCs/>
                <w:color w:val="000000"/>
                <w:sz w:val="20"/>
                <w:szCs w:val="20"/>
                <w:lang w:eastAsia="sk-SK"/>
              </w:rPr>
              <w:t>E. Administratívne náklady</w:t>
            </w:r>
          </w:p>
        </w:tc>
        <w:tc>
          <w:tcPr>
            <w:tcW w:w="2254" w:type="dxa"/>
            <w:tcBorders>
              <w:top w:val="nil"/>
              <w:left w:val="nil"/>
              <w:bottom w:val="nil"/>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33 914</w:t>
            </w:r>
          </w:p>
        </w:tc>
        <w:tc>
          <w:tcPr>
            <w:tcW w:w="2127" w:type="dxa"/>
            <w:tcBorders>
              <w:top w:val="nil"/>
              <w:left w:val="nil"/>
              <w:bottom w:val="nil"/>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51 568</w:t>
            </w:r>
          </w:p>
        </w:tc>
      </w:tr>
      <w:tr w:rsidR="00D27093" w:rsidRPr="007709A3" w:rsidTr="00D27093">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27093" w:rsidRPr="007709A3" w:rsidRDefault="00D27093" w:rsidP="00D27093">
            <w:pPr>
              <w:rPr>
                <w:b/>
                <w:bCs/>
                <w:i/>
                <w:iCs/>
                <w:color w:val="000000"/>
                <w:sz w:val="20"/>
                <w:szCs w:val="20"/>
                <w:lang w:eastAsia="sk-SK"/>
              </w:rPr>
            </w:pPr>
            <w:r w:rsidRPr="007709A3">
              <w:rPr>
                <w:b/>
                <w:bCs/>
                <w:i/>
                <w:iCs/>
                <w:color w:val="000000"/>
                <w:sz w:val="20"/>
                <w:szCs w:val="20"/>
                <w:lang w:eastAsia="sk-SK"/>
              </w:rPr>
              <w:t>Spolu = A+B+C+D+E</w:t>
            </w:r>
          </w:p>
        </w:tc>
        <w:tc>
          <w:tcPr>
            <w:tcW w:w="2254" w:type="dxa"/>
            <w:tcBorders>
              <w:top w:val="single" w:sz="8" w:space="0" w:color="auto"/>
              <w:left w:val="nil"/>
              <w:bottom w:val="single" w:sz="8" w:space="0" w:color="auto"/>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33 914</w:t>
            </w:r>
          </w:p>
        </w:tc>
        <w:tc>
          <w:tcPr>
            <w:tcW w:w="2127" w:type="dxa"/>
            <w:tcBorders>
              <w:top w:val="single" w:sz="8" w:space="0" w:color="auto"/>
              <w:left w:val="nil"/>
              <w:bottom w:val="single" w:sz="8" w:space="0" w:color="auto"/>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51 568</w:t>
            </w:r>
          </w:p>
        </w:tc>
      </w:tr>
      <w:tr w:rsidR="00D27093" w:rsidRPr="007709A3" w:rsidTr="00D27093">
        <w:trPr>
          <w:trHeight w:val="300"/>
        </w:trPr>
        <w:tc>
          <w:tcPr>
            <w:tcW w:w="4540" w:type="dxa"/>
            <w:tcBorders>
              <w:top w:val="nil"/>
              <w:left w:val="nil"/>
              <w:bottom w:val="nil"/>
              <w:right w:val="nil"/>
            </w:tcBorders>
            <w:shd w:val="clear" w:color="auto" w:fill="auto"/>
            <w:vAlign w:val="center"/>
            <w:hideMark/>
          </w:tcPr>
          <w:p w:rsidR="00D27093" w:rsidRPr="007709A3" w:rsidRDefault="00D27093" w:rsidP="00D27093">
            <w:pPr>
              <w:jc w:val="center"/>
              <w:rPr>
                <w:b/>
                <w:bCs/>
                <w:color w:val="000000"/>
                <w:sz w:val="20"/>
                <w:szCs w:val="20"/>
                <w:lang w:eastAsia="sk-SK"/>
              </w:rPr>
            </w:pPr>
          </w:p>
        </w:tc>
        <w:tc>
          <w:tcPr>
            <w:tcW w:w="2254" w:type="dxa"/>
            <w:tcBorders>
              <w:top w:val="nil"/>
              <w:left w:val="nil"/>
              <w:bottom w:val="nil"/>
              <w:right w:val="nil"/>
            </w:tcBorders>
            <w:shd w:val="clear" w:color="auto" w:fill="auto"/>
            <w:vAlign w:val="center"/>
            <w:hideMark/>
          </w:tcPr>
          <w:p w:rsidR="00D27093" w:rsidRPr="007709A3" w:rsidRDefault="00D27093" w:rsidP="00D27093">
            <w:pPr>
              <w:rPr>
                <w:sz w:val="20"/>
                <w:szCs w:val="20"/>
                <w:lang w:eastAsia="sk-SK"/>
              </w:rPr>
            </w:pPr>
          </w:p>
        </w:tc>
        <w:tc>
          <w:tcPr>
            <w:tcW w:w="2127" w:type="dxa"/>
            <w:tcBorders>
              <w:top w:val="nil"/>
              <w:left w:val="nil"/>
              <w:bottom w:val="nil"/>
              <w:right w:val="nil"/>
            </w:tcBorders>
            <w:shd w:val="clear" w:color="auto" w:fill="auto"/>
            <w:vAlign w:val="center"/>
            <w:hideMark/>
          </w:tcPr>
          <w:p w:rsidR="00D27093" w:rsidRPr="007709A3" w:rsidRDefault="00D27093" w:rsidP="00D27093">
            <w:pPr>
              <w:rPr>
                <w:sz w:val="20"/>
                <w:szCs w:val="20"/>
                <w:lang w:eastAsia="sk-SK"/>
              </w:rPr>
            </w:pPr>
          </w:p>
        </w:tc>
      </w:tr>
      <w:tr w:rsidR="00D27093" w:rsidRPr="007709A3" w:rsidTr="00D27093">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27093" w:rsidRPr="007709A3" w:rsidRDefault="00D27093" w:rsidP="00D27093">
            <w:pPr>
              <w:rPr>
                <w:b/>
                <w:bCs/>
                <w:i/>
                <w:iCs/>
                <w:color w:val="000000"/>
                <w:sz w:val="20"/>
                <w:szCs w:val="20"/>
                <w:lang w:eastAsia="sk-SK"/>
              </w:rPr>
            </w:pPr>
            <w:r w:rsidRPr="007709A3">
              <w:rPr>
                <w:b/>
                <w:bCs/>
                <w:i/>
                <w:iCs/>
                <w:color w:val="000000"/>
                <w:sz w:val="20"/>
                <w:szCs w:val="20"/>
                <w:lang w:eastAsia="sk-SK"/>
              </w:rPr>
              <w:t>Harmonizácia práva EÚ</w:t>
            </w:r>
          </w:p>
        </w:tc>
        <w:tc>
          <w:tcPr>
            <w:tcW w:w="2254" w:type="dxa"/>
            <w:tcBorders>
              <w:top w:val="single" w:sz="8" w:space="0" w:color="auto"/>
              <w:left w:val="nil"/>
              <w:bottom w:val="single" w:sz="8" w:space="0" w:color="auto"/>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Zvýšenie nákladov v € na PP</w:t>
            </w:r>
          </w:p>
        </w:tc>
        <w:tc>
          <w:tcPr>
            <w:tcW w:w="2127" w:type="dxa"/>
            <w:tcBorders>
              <w:top w:val="single" w:sz="8" w:space="0" w:color="auto"/>
              <w:left w:val="nil"/>
              <w:bottom w:val="single" w:sz="8" w:space="0" w:color="auto"/>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Zníženie nákladov v € na PP</w:t>
            </w:r>
          </w:p>
        </w:tc>
      </w:tr>
      <w:tr w:rsidR="00D27093" w:rsidRPr="007709A3" w:rsidTr="00D27093">
        <w:trPr>
          <w:trHeight w:val="990"/>
        </w:trPr>
        <w:tc>
          <w:tcPr>
            <w:tcW w:w="4540" w:type="dxa"/>
            <w:tcBorders>
              <w:top w:val="nil"/>
              <w:left w:val="single" w:sz="8" w:space="0" w:color="auto"/>
              <w:bottom w:val="nil"/>
              <w:right w:val="single" w:sz="4" w:space="0" w:color="auto"/>
            </w:tcBorders>
            <w:shd w:val="clear" w:color="auto" w:fill="auto"/>
            <w:vAlign w:val="center"/>
            <w:hideMark/>
          </w:tcPr>
          <w:p w:rsidR="00D27093" w:rsidRPr="007709A3" w:rsidRDefault="00D27093" w:rsidP="00D27093">
            <w:pPr>
              <w:rPr>
                <w:b/>
                <w:bCs/>
                <w:i/>
                <w:iCs/>
                <w:color w:val="000000"/>
                <w:sz w:val="20"/>
                <w:szCs w:val="20"/>
                <w:lang w:eastAsia="sk-SK"/>
              </w:rPr>
            </w:pPr>
            <w:r w:rsidRPr="007709A3">
              <w:rPr>
                <w:b/>
                <w:bCs/>
                <w:i/>
                <w:iCs/>
                <w:color w:val="000000"/>
                <w:sz w:val="20"/>
                <w:szCs w:val="20"/>
                <w:lang w:eastAsia="sk-SK"/>
              </w:rPr>
              <w:t>F. Úplná harmonizácia práva EÚ</w:t>
            </w:r>
            <w:r w:rsidRPr="007709A3">
              <w:rPr>
                <w:b/>
                <w:bCs/>
                <w:i/>
                <w:iCs/>
                <w:color w:val="000000"/>
                <w:sz w:val="20"/>
                <w:szCs w:val="20"/>
                <w:lang w:eastAsia="sk-SK"/>
              </w:rPr>
              <w:br/>
            </w:r>
            <w:r w:rsidRPr="007709A3">
              <w:rPr>
                <w:i/>
                <w:iCs/>
                <w:color w:val="000000"/>
                <w:sz w:val="16"/>
                <w:szCs w:val="16"/>
                <w:lang w:eastAsia="sk-SK"/>
              </w:rPr>
              <w:t xml:space="preserve">(okrem daní, odvodov, ciel a poplatkov, ktorých cieľom je znižovať negatívne </w:t>
            </w:r>
            <w:proofErr w:type="spellStart"/>
            <w:r w:rsidRPr="007709A3">
              <w:rPr>
                <w:i/>
                <w:iCs/>
                <w:color w:val="000000"/>
                <w:sz w:val="16"/>
                <w:szCs w:val="16"/>
                <w:lang w:eastAsia="sk-SK"/>
              </w:rPr>
              <w:t>externality</w:t>
            </w:r>
            <w:proofErr w:type="spellEnd"/>
            <w:r w:rsidRPr="007709A3">
              <w:rPr>
                <w:i/>
                <w:iCs/>
                <w:color w:val="000000"/>
                <w:sz w:val="16"/>
                <w:szCs w:val="16"/>
                <w:lang w:eastAsia="sk-SK"/>
              </w:rPr>
              <w:t>)</w:t>
            </w:r>
          </w:p>
        </w:tc>
        <w:tc>
          <w:tcPr>
            <w:tcW w:w="2254" w:type="dxa"/>
            <w:tcBorders>
              <w:top w:val="nil"/>
              <w:left w:val="nil"/>
              <w:bottom w:val="nil"/>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33 853</w:t>
            </w:r>
          </w:p>
        </w:tc>
        <w:tc>
          <w:tcPr>
            <w:tcW w:w="2127" w:type="dxa"/>
            <w:tcBorders>
              <w:top w:val="nil"/>
              <w:left w:val="nil"/>
              <w:bottom w:val="nil"/>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0</w:t>
            </w:r>
          </w:p>
        </w:tc>
      </w:tr>
      <w:tr w:rsidR="00D27093" w:rsidRPr="007709A3" w:rsidTr="00D27093">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27093" w:rsidRPr="007709A3" w:rsidRDefault="00D27093" w:rsidP="00D27093">
            <w:pPr>
              <w:rPr>
                <w:b/>
                <w:bCs/>
                <w:i/>
                <w:iCs/>
                <w:color w:val="000000"/>
                <w:sz w:val="20"/>
                <w:szCs w:val="20"/>
                <w:lang w:eastAsia="sk-SK"/>
              </w:rPr>
            </w:pPr>
            <w:r w:rsidRPr="007709A3">
              <w:rPr>
                <w:b/>
                <w:bCs/>
                <w:i/>
                <w:iCs/>
                <w:color w:val="000000"/>
                <w:sz w:val="20"/>
                <w:szCs w:val="20"/>
                <w:lang w:eastAsia="sk-SK"/>
              </w:rPr>
              <w:t xml:space="preserve">G. </w:t>
            </w:r>
            <w:proofErr w:type="spellStart"/>
            <w:r w:rsidRPr="007709A3">
              <w:rPr>
                <w:b/>
                <w:bCs/>
                <w:i/>
                <w:iCs/>
                <w:color w:val="000000"/>
                <w:sz w:val="20"/>
                <w:szCs w:val="20"/>
                <w:lang w:eastAsia="sk-SK"/>
              </w:rPr>
              <w:t>Goldplating</w:t>
            </w:r>
            <w:proofErr w:type="spellEnd"/>
          </w:p>
        </w:tc>
        <w:tc>
          <w:tcPr>
            <w:tcW w:w="2254" w:type="dxa"/>
            <w:tcBorders>
              <w:top w:val="single" w:sz="8" w:space="0" w:color="auto"/>
              <w:left w:val="nil"/>
              <w:bottom w:val="single" w:sz="8" w:space="0" w:color="auto"/>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0</w:t>
            </w:r>
          </w:p>
        </w:tc>
        <w:tc>
          <w:tcPr>
            <w:tcW w:w="2127" w:type="dxa"/>
            <w:tcBorders>
              <w:top w:val="single" w:sz="8" w:space="0" w:color="auto"/>
              <w:left w:val="nil"/>
              <w:bottom w:val="single" w:sz="8" w:space="0" w:color="auto"/>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0</w:t>
            </w:r>
          </w:p>
        </w:tc>
      </w:tr>
      <w:tr w:rsidR="00D27093" w:rsidRPr="007709A3" w:rsidTr="00D27093">
        <w:trPr>
          <w:trHeight w:val="270"/>
        </w:trPr>
        <w:tc>
          <w:tcPr>
            <w:tcW w:w="4540" w:type="dxa"/>
            <w:tcBorders>
              <w:top w:val="nil"/>
              <w:left w:val="nil"/>
              <w:bottom w:val="nil"/>
              <w:right w:val="nil"/>
            </w:tcBorders>
            <w:shd w:val="clear" w:color="auto" w:fill="auto"/>
            <w:noWrap/>
            <w:vAlign w:val="bottom"/>
            <w:hideMark/>
          </w:tcPr>
          <w:p w:rsidR="00D27093" w:rsidRPr="007709A3" w:rsidRDefault="00D27093" w:rsidP="00D27093">
            <w:pPr>
              <w:jc w:val="center"/>
              <w:rPr>
                <w:b/>
                <w:bCs/>
                <w:color w:val="000000"/>
                <w:sz w:val="20"/>
                <w:szCs w:val="20"/>
                <w:lang w:eastAsia="sk-SK"/>
              </w:rPr>
            </w:pPr>
          </w:p>
        </w:tc>
        <w:tc>
          <w:tcPr>
            <w:tcW w:w="2254" w:type="dxa"/>
            <w:tcBorders>
              <w:top w:val="nil"/>
              <w:left w:val="nil"/>
              <w:bottom w:val="nil"/>
              <w:right w:val="nil"/>
            </w:tcBorders>
            <w:shd w:val="clear" w:color="auto" w:fill="auto"/>
            <w:vAlign w:val="center"/>
            <w:hideMark/>
          </w:tcPr>
          <w:p w:rsidR="00D27093" w:rsidRPr="007709A3" w:rsidRDefault="00D27093" w:rsidP="00D27093">
            <w:pPr>
              <w:rPr>
                <w:sz w:val="20"/>
                <w:szCs w:val="20"/>
                <w:lang w:eastAsia="sk-SK"/>
              </w:rPr>
            </w:pPr>
          </w:p>
        </w:tc>
        <w:tc>
          <w:tcPr>
            <w:tcW w:w="2127" w:type="dxa"/>
            <w:tcBorders>
              <w:top w:val="nil"/>
              <w:left w:val="nil"/>
              <w:bottom w:val="nil"/>
              <w:right w:val="nil"/>
            </w:tcBorders>
            <w:shd w:val="clear" w:color="auto" w:fill="auto"/>
            <w:vAlign w:val="center"/>
            <w:hideMark/>
          </w:tcPr>
          <w:p w:rsidR="00D27093" w:rsidRPr="007709A3" w:rsidRDefault="00D27093" w:rsidP="00D27093">
            <w:pPr>
              <w:rPr>
                <w:sz w:val="20"/>
                <w:szCs w:val="20"/>
                <w:lang w:eastAsia="sk-SK"/>
              </w:rPr>
            </w:pPr>
          </w:p>
        </w:tc>
      </w:tr>
      <w:tr w:rsidR="00D27093" w:rsidRPr="007709A3" w:rsidTr="00D27093">
        <w:trPr>
          <w:trHeight w:val="270"/>
        </w:trPr>
        <w:tc>
          <w:tcPr>
            <w:tcW w:w="4540" w:type="dxa"/>
            <w:tcBorders>
              <w:top w:val="nil"/>
              <w:left w:val="nil"/>
              <w:bottom w:val="nil"/>
              <w:right w:val="nil"/>
            </w:tcBorders>
            <w:shd w:val="clear" w:color="auto" w:fill="auto"/>
            <w:noWrap/>
            <w:vAlign w:val="bottom"/>
            <w:hideMark/>
          </w:tcPr>
          <w:p w:rsidR="00D27093" w:rsidRPr="007709A3" w:rsidRDefault="00D27093" w:rsidP="00D27093">
            <w:pPr>
              <w:rPr>
                <w:sz w:val="20"/>
                <w:szCs w:val="20"/>
                <w:lang w:eastAsia="sk-SK"/>
              </w:rPr>
            </w:pPr>
          </w:p>
        </w:tc>
        <w:tc>
          <w:tcPr>
            <w:tcW w:w="2254" w:type="dxa"/>
            <w:tcBorders>
              <w:top w:val="nil"/>
              <w:left w:val="nil"/>
              <w:bottom w:val="nil"/>
              <w:right w:val="nil"/>
            </w:tcBorders>
            <w:shd w:val="clear" w:color="auto" w:fill="auto"/>
            <w:vAlign w:val="center"/>
            <w:hideMark/>
          </w:tcPr>
          <w:p w:rsidR="00D27093" w:rsidRPr="007709A3" w:rsidRDefault="00D27093" w:rsidP="00D27093">
            <w:pPr>
              <w:rPr>
                <w:sz w:val="20"/>
                <w:szCs w:val="20"/>
                <w:lang w:eastAsia="sk-SK"/>
              </w:rPr>
            </w:pPr>
          </w:p>
        </w:tc>
        <w:tc>
          <w:tcPr>
            <w:tcW w:w="2127" w:type="dxa"/>
            <w:tcBorders>
              <w:top w:val="nil"/>
              <w:left w:val="nil"/>
              <w:bottom w:val="nil"/>
              <w:right w:val="nil"/>
            </w:tcBorders>
            <w:shd w:val="clear" w:color="auto" w:fill="auto"/>
            <w:vAlign w:val="center"/>
            <w:hideMark/>
          </w:tcPr>
          <w:p w:rsidR="00D27093" w:rsidRPr="007709A3" w:rsidRDefault="00D27093" w:rsidP="00D27093">
            <w:pPr>
              <w:rPr>
                <w:sz w:val="20"/>
                <w:szCs w:val="20"/>
                <w:lang w:eastAsia="sk-SK"/>
              </w:rPr>
            </w:pPr>
          </w:p>
        </w:tc>
      </w:tr>
      <w:tr w:rsidR="00D27093" w:rsidRPr="007709A3" w:rsidTr="00D27093">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27093" w:rsidRPr="007709A3" w:rsidRDefault="00D27093" w:rsidP="00D27093">
            <w:pPr>
              <w:rPr>
                <w:i/>
                <w:iCs/>
                <w:color w:val="000000"/>
                <w:sz w:val="20"/>
                <w:szCs w:val="20"/>
                <w:lang w:eastAsia="sk-SK"/>
              </w:rPr>
            </w:pPr>
            <w:r w:rsidRPr="007709A3">
              <w:rPr>
                <w:i/>
                <w:iCs/>
                <w:color w:val="000000"/>
                <w:sz w:val="20"/>
                <w:szCs w:val="20"/>
                <w:lang w:eastAsia="sk-SK"/>
              </w:rPr>
              <w:t>VÝPOČET PRAVIDLA 1in2out:</w:t>
            </w:r>
          </w:p>
        </w:tc>
        <w:tc>
          <w:tcPr>
            <w:tcW w:w="2254" w:type="dxa"/>
            <w:tcBorders>
              <w:top w:val="single" w:sz="8" w:space="0" w:color="auto"/>
              <w:left w:val="nil"/>
              <w:bottom w:val="single" w:sz="4" w:space="0" w:color="auto"/>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IN</w:t>
            </w:r>
          </w:p>
        </w:tc>
        <w:tc>
          <w:tcPr>
            <w:tcW w:w="2127" w:type="dxa"/>
            <w:tcBorders>
              <w:top w:val="single" w:sz="8" w:space="0" w:color="auto"/>
              <w:left w:val="nil"/>
              <w:bottom w:val="single" w:sz="4" w:space="0" w:color="auto"/>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OUT</w:t>
            </w:r>
          </w:p>
        </w:tc>
      </w:tr>
      <w:tr w:rsidR="00D27093" w:rsidRPr="007709A3" w:rsidTr="00D27093">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rsidR="00D27093" w:rsidRPr="007709A3" w:rsidRDefault="00D27093" w:rsidP="00D27093">
            <w:pPr>
              <w:rPr>
                <w:i/>
                <w:iCs/>
                <w:color w:val="000000"/>
                <w:sz w:val="20"/>
                <w:szCs w:val="20"/>
                <w:lang w:eastAsia="sk-SK"/>
              </w:rPr>
            </w:pPr>
            <w:r w:rsidRPr="007709A3">
              <w:rPr>
                <w:i/>
                <w:iCs/>
                <w:color w:val="000000"/>
                <w:sz w:val="20"/>
                <w:szCs w:val="20"/>
                <w:lang w:eastAsia="sk-SK"/>
              </w:rPr>
              <w:t>H</w:t>
            </w:r>
            <w:r w:rsidRPr="007709A3">
              <w:rPr>
                <w:b/>
                <w:bCs/>
                <w:i/>
                <w:iCs/>
                <w:color w:val="000000"/>
                <w:sz w:val="20"/>
                <w:szCs w:val="20"/>
                <w:lang w:eastAsia="sk-SK"/>
              </w:rPr>
              <w:t>.</w:t>
            </w:r>
            <w:r w:rsidRPr="007709A3">
              <w:rPr>
                <w:i/>
                <w:iCs/>
                <w:color w:val="000000"/>
                <w:sz w:val="20"/>
                <w:szCs w:val="20"/>
                <w:lang w:eastAsia="sk-SK"/>
              </w:rPr>
              <w:t xml:space="preserve"> Náklady okrem výnimiek = B+D+E-F</w:t>
            </w:r>
          </w:p>
        </w:tc>
        <w:tc>
          <w:tcPr>
            <w:tcW w:w="2254" w:type="dxa"/>
            <w:tcBorders>
              <w:top w:val="nil"/>
              <w:left w:val="nil"/>
              <w:bottom w:val="single" w:sz="8" w:space="0" w:color="auto"/>
              <w:right w:val="single" w:sz="4" w:space="0" w:color="auto"/>
            </w:tcBorders>
            <w:shd w:val="clear" w:color="000000" w:fill="FFC00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61</w:t>
            </w:r>
          </w:p>
        </w:tc>
        <w:tc>
          <w:tcPr>
            <w:tcW w:w="2127" w:type="dxa"/>
            <w:tcBorders>
              <w:top w:val="nil"/>
              <w:left w:val="nil"/>
              <w:bottom w:val="single" w:sz="8" w:space="0" w:color="auto"/>
              <w:right w:val="single" w:sz="8" w:space="0" w:color="auto"/>
            </w:tcBorders>
            <w:shd w:val="clear" w:color="000000" w:fill="92D050"/>
            <w:vAlign w:val="center"/>
            <w:hideMark/>
          </w:tcPr>
          <w:p w:rsidR="00D27093" w:rsidRPr="007709A3" w:rsidRDefault="00D27093" w:rsidP="00D27093">
            <w:pPr>
              <w:jc w:val="center"/>
              <w:rPr>
                <w:b/>
                <w:bCs/>
                <w:color w:val="000000"/>
                <w:sz w:val="20"/>
                <w:szCs w:val="20"/>
                <w:lang w:eastAsia="sk-SK"/>
              </w:rPr>
            </w:pPr>
            <w:r w:rsidRPr="007709A3">
              <w:rPr>
                <w:b/>
                <w:bCs/>
                <w:color w:val="000000"/>
                <w:sz w:val="20"/>
                <w:szCs w:val="20"/>
                <w:lang w:eastAsia="sk-SK"/>
              </w:rPr>
              <w:t>51 568</w:t>
            </w:r>
          </w:p>
        </w:tc>
      </w:tr>
    </w:tbl>
    <w:p w:rsidR="00D27093" w:rsidRDefault="00D27093" w:rsidP="00D27093">
      <w:pPr>
        <w:jc w:val="both"/>
        <w:rPr>
          <w:rFonts w:eastAsia="Calibri"/>
          <w:i/>
          <w:sz w:val="20"/>
          <w:szCs w:val="20"/>
        </w:rPr>
      </w:pPr>
    </w:p>
    <w:p w:rsidR="00D27093" w:rsidRPr="00895898" w:rsidRDefault="00D27093" w:rsidP="00D27093">
      <w:pPr>
        <w:rPr>
          <w:rFonts w:eastAsia="Calibri"/>
          <w:b/>
        </w:rPr>
        <w:sectPr w:rsidR="00D27093" w:rsidRPr="00895898" w:rsidSect="00D27093">
          <w:headerReference w:type="default" r:id="rId15"/>
          <w:footerReference w:type="default" r:id="rId16"/>
          <w:pgSz w:w="11906" w:h="16838"/>
          <w:pgMar w:top="993" w:right="1417" w:bottom="1417" w:left="1417" w:header="708" w:footer="708" w:gutter="0"/>
          <w:cols w:space="708"/>
          <w:docGrid w:linePitch="360"/>
        </w:sectPr>
      </w:pPr>
    </w:p>
    <w:p w:rsidR="00D27093" w:rsidRPr="001F1B43" w:rsidRDefault="00D27093" w:rsidP="00D27093">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rsidR="00D27093" w:rsidRDefault="00D27093" w:rsidP="00D27093">
      <w:pPr>
        <w:jc w:val="both"/>
        <w:rPr>
          <w:rFonts w:eastAsia="Calibri"/>
          <w:i/>
        </w:rPr>
      </w:pPr>
      <w:r w:rsidRPr="00D8247C">
        <w:rPr>
          <w:rFonts w:eastAsia="Calibri"/>
          <w:i/>
        </w:rPr>
        <w:t>Tabuľka č. 2: Výpočet vplyvov jednotlivých regulácií (nahraďte rovnakou tabuľkou po vyplnení Kalkulačky nákladov):</w:t>
      </w:r>
    </w:p>
    <w:p w:rsidR="00D27093" w:rsidRDefault="00D27093" w:rsidP="00D27093">
      <w:pPr>
        <w:jc w:val="both"/>
        <w:rPr>
          <w:rFonts w:eastAsia="Calibri"/>
          <w:i/>
        </w:rPr>
      </w:pPr>
    </w:p>
    <w:p w:rsidR="00D27093" w:rsidRDefault="00D27093" w:rsidP="00D27093">
      <w:pPr>
        <w:jc w:val="both"/>
        <w:rPr>
          <w:rFonts w:eastAsia="Calibri"/>
          <w:i/>
        </w:rPr>
      </w:pP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484"/>
        <w:gridCol w:w="992"/>
        <w:gridCol w:w="1519"/>
        <w:gridCol w:w="1108"/>
        <w:gridCol w:w="851"/>
        <w:gridCol w:w="843"/>
        <w:gridCol w:w="1000"/>
        <w:gridCol w:w="708"/>
        <w:gridCol w:w="1134"/>
      </w:tblGrid>
      <w:tr w:rsidR="00D27093" w:rsidRPr="006A757E"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20"/>
                <w:szCs w:val="20"/>
                <w:lang w:eastAsia="sk-SK"/>
              </w:rPr>
            </w:pPr>
            <w:proofErr w:type="spellStart"/>
            <w:r w:rsidRPr="006A757E">
              <w:rPr>
                <w:b/>
                <w:bCs/>
                <w:color w:val="000000"/>
                <w:sz w:val="20"/>
                <w:szCs w:val="20"/>
                <w:lang w:eastAsia="sk-SK"/>
              </w:rPr>
              <w:t>P.č</w:t>
            </w:r>
            <w:proofErr w:type="spellEnd"/>
            <w:r w:rsidRPr="006A757E">
              <w:rPr>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20"/>
                <w:szCs w:val="20"/>
                <w:lang w:eastAsia="sk-SK"/>
              </w:rPr>
            </w:pPr>
            <w:r w:rsidRPr="006A757E">
              <w:rPr>
                <w:b/>
                <w:bCs/>
                <w:color w:val="000000"/>
                <w:sz w:val="20"/>
                <w:szCs w:val="20"/>
                <w:lang w:eastAsia="sk-SK"/>
              </w:rPr>
              <w:t xml:space="preserve">Zrozumiteľný a stručný opis regulácie </w:t>
            </w:r>
            <w:r w:rsidRPr="006A757E">
              <w:rPr>
                <w:b/>
                <w:bCs/>
                <w:color w:val="000000"/>
                <w:sz w:val="20"/>
                <w:szCs w:val="20"/>
                <w:lang w:eastAsia="sk-SK"/>
              </w:rPr>
              <w:br/>
              <w:t xml:space="preserve">(dôvod zvýšenia/zníženia nákladov na PP a dôvod ponechania nákladov na PP, ktoré </w:t>
            </w:r>
            <w:proofErr w:type="spellStart"/>
            <w:r w:rsidRPr="006A757E">
              <w:rPr>
                <w:b/>
                <w:bCs/>
                <w:color w:val="000000"/>
                <w:sz w:val="20"/>
                <w:szCs w:val="20"/>
                <w:lang w:eastAsia="sk-SK"/>
              </w:rPr>
              <w:t>su</w:t>
            </w:r>
            <w:proofErr w:type="spellEnd"/>
            <w:r w:rsidRPr="006A757E">
              <w:rPr>
                <w:b/>
                <w:bCs/>
                <w:color w:val="000000"/>
                <w:sz w:val="20"/>
                <w:szCs w:val="20"/>
                <w:lang w:eastAsia="sk-SK"/>
              </w:rPr>
              <w:t xml:space="preserve"> </w:t>
            </w:r>
            <w:proofErr w:type="spellStart"/>
            <w:r w:rsidRPr="006A757E">
              <w:rPr>
                <w:b/>
                <w:bCs/>
                <w:color w:val="000000"/>
                <w:sz w:val="20"/>
                <w:szCs w:val="20"/>
                <w:lang w:eastAsia="sk-SK"/>
              </w:rPr>
              <w:t>goldplatingom</w:t>
            </w:r>
            <w:proofErr w:type="spellEnd"/>
            <w:r w:rsidRPr="006A757E">
              <w:rPr>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20"/>
                <w:szCs w:val="20"/>
                <w:lang w:eastAsia="sk-SK"/>
              </w:rPr>
            </w:pPr>
            <w:r w:rsidRPr="006A757E">
              <w:rPr>
                <w:b/>
                <w:bCs/>
                <w:color w:val="000000"/>
                <w:sz w:val="20"/>
                <w:szCs w:val="20"/>
                <w:lang w:eastAsia="sk-SK"/>
              </w:rPr>
              <w:t>Číslo normy</w:t>
            </w:r>
            <w:r w:rsidRPr="006A757E">
              <w:rPr>
                <w:b/>
                <w:bCs/>
                <w:color w:val="000000"/>
                <w:sz w:val="20"/>
                <w:szCs w:val="20"/>
                <w:lang w:eastAsia="sk-SK"/>
              </w:rPr>
              <w:b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20"/>
                <w:szCs w:val="20"/>
                <w:lang w:eastAsia="sk-SK"/>
              </w:rPr>
            </w:pPr>
            <w:r w:rsidRPr="006A757E">
              <w:rPr>
                <w:b/>
                <w:bCs/>
                <w:color w:val="000000"/>
                <w:sz w:val="20"/>
                <w:szCs w:val="20"/>
                <w:lang w:eastAsia="sk-SK"/>
              </w:rPr>
              <w:t>Lokalizácia</w:t>
            </w:r>
            <w:r w:rsidRPr="006A757E">
              <w:rPr>
                <w:b/>
                <w:bCs/>
                <w:color w:val="000000"/>
                <w:sz w:val="20"/>
                <w:szCs w:val="20"/>
                <w:lang w:eastAsia="sk-SK"/>
              </w:rPr>
              <w:br/>
              <w:t>(§, ods., čl.,...)</w:t>
            </w:r>
          </w:p>
        </w:tc>
        <w:tc>
          <w:tcPr>
            <w:tcW w:w="14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20"/>
                <w:szCs w:val="20"/>
                <w:lang w:eastAsia="sk-SK"/>
              </w:rPr>
            </w:pPr>
            <w:r w:rsidRPr="006A757E">
              <w:rPr>
                <w:b/>
                <w:bCs/>
                <w:color w:val="000000"/>
                <w:sz w:val="20"/>
                <w:szCs w:val="20"/>
                <w:lang w:eastAsia="sk-SK"/>
              </w:rPr>
              <w:t xml:space="preserve">Pôvod regulácie: </w:t>
            </w:r>
            <w:r w:rsidRPr="006A757E">
              <w:rPr>
                <w:b/>
                <w:bCs/>
                <w:color w:val="000000"/>
                <w:sz w:val="20"/>
                <w:szCs w:val="20"/>
                <w:lang w:eastAsia="sk-SK"/>
              </w:rPr>
              <w:br/>
              <w:t xml:space="preserve">SK/EÚ úplná </w:t>
            </w:r>
            <w:proofErr w:type="spellStart"/>
            <w:r w:rsidRPr="006A757E">
              <w:rPr>
                <w:b/>
                <w:bCs/>
                <w:color w:val="000000"/>
                <w:sz w:val="20"/>
                <w:szCs w:val="20"/>
                <w:lang w:eastAsia="sk-SK"/>
              </w:rPr>
              <w:t>harm</w:t>
            </w:r>
            <w:proofErr w:type="spellEnd"/>
            <w:r w:rsidRPr="006A757E">
              <w:rPr>
                <w:b/>
                <w:bCs/>
                <w:color w:val="000000"/>
                <w:sz w:val="20"/>
                <w:szCs w:val="20"/>
                <w:lang w:eastAsia="sk-SK"/>
              </w:rPr>
              <w:t>./</w:t>
            </w:r>
            <w:r w:rsidRPr="006A757E">
              <w:rPr>
                <w:b/>
                <w:bCs/>
                <w:color w:val="000000"/>
                <w:sz w:val="20"/>
                <w:szCs w:val="20"/>
                <w:lang w:eastAsia="sk-SK"/>
              </w:rPr>
              <w:br/>
            </w:r>
            <w:proofErr w:type="spellStart"/>
            <w:r w:rsidRPr="006A757E">
              <w:rPr>
                <w:b/>
                <w:bCs/>
                <w:color w:val="000000"/>
                <w:sz w:val="20"/>
                <w:szCs w:val="20"/>
                <w:lang w:eastAsia="sk-SK"/>
              </w:rPr>
              <w:t>goldplating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20"/>
                <w:szCs w:val="20"/>
                <w:lang w:eastAsia="sk-SK"/>
              </w:rPr>
            </w:pPr>
            <w:r w:rsidRPr="006A757E">
              <w:rPr>
                <w:b/>
                <w:bCs/>
                <w:color w:val="000000"/>
                <w:sz w:val="20"/>
                <w:szCs w:val="20"/>
                <w:lang w:eastAsia="sk-SK"/>
              </w:rPr>
              <w:t>Účinnosť regulácie</w:t>
            </w:r>
          </w:p>
        </w:tc>
        <w:tc>
          <w:tcPr>
            <w:tcW w:w="15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20"/>
                <w:szCs w:val="20"/>
                <w:lang w:eastAsia="sk-SK"/>
              </w:rPr>
            </w:pPr>
            <w:r w:rsidRPr="006A757E">
              <w:rPr>
                <w:b/>
                <w:bCs/>
                <w:color w:val="000000"/>
                <w:sz w:val="20"/>
                <w:szCs w:val="20"/>
                <w:lang w:eastAsia="sk-SK"/>
              </w:rPr>
              <w:t xml:space="preserve">Kategória </w:t>
            </w:r>
            <w:proofErr w:type="spellStart"/>
            <w:r w:rsidRPr="006A757E">
              <w:rPr>
                <w:b/>
                <w:bCs/>
                <w:color w:val="000000"/>
                <w:sz w:val="20"/>
                <w:szCs w:val="20"/>
                <w:lang w:eastAsia="sk-SK"/>
              </w:rPr>
              <w:t>dotk</w:t>
            </w:r>
            <w:proofErr w:type="spellEnd"/>
            <w:r w:rsidRPr="006A757E">
              <w:rPr>
                <w:b/>
                <w:bCs/>
                <w:color w:val="000000"/>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D27093" w:rsidRPr="006A757E" w:rsidRDefault="00D27093" w:rsidP="00D27093">
            <w:pPr>
              <w:jc w:val="center"/>
              <w:rPr>
                <w:b/>
                <w:bCs/>
                <w:color w:val="000000"/>
                <w:sz w:val="20"/>
                <w:szCs w:val="20"/>
                <w:lang w:eastAsia="sk-SK"/>
              </w:rPr>
            </w:pPr>
            <w:r w:rsidRPr="006A757E">
              <w:rPr>
                <w:b/>
                <w:bCs/>
                <w:color w:val="000000"/>
                <w:sz w:val="20"/>
                <w:szCs w:val="20"/>
                <w:lang w:eastAsia="sk-SK"/>
              </w:rPr>
              <w:t xml:space="preserve">Počet </w:t>
            </w:r>
            <w:proofErr w:type="spellStart"/>
            <w:r w:rsidRPr="006A757E">
              <w:rPr>
                <w:b/>
                <w:bCs/>
                <w:color w:val="000000"/>
                <w:sz w:val="20"/>
                <w:szCs w:val="20"/>
                <w:lang w:eastAsia="sk-SK"/>
              </w:rPr>
              <w:t>dotk</w:t>
            </w:r>
            <w:proofErr w:type="spellEnd"/>
            <w:r w:rsidRPr="006A757E">
              <w:rPr>
                <w:b/>
                <w:bCs/>
                <w:color w:val="000000"/>
                <w:sz w:val="20"/>
                <w:szCs w:val="20"/>
                <w:lang w:eastAsia="sk-SK"/>
              </w:rPr>
              <w:t xml:space="preserve">.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20"/>
                <w:szCs w:val="20"/>
                <w:lang w:eastAsia="sk-SK"/>
              </w:rPr>
            </w:pPr>
            <w:r w:rsidRPr="006A757E">
              <w:rPr>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20"/>
                <w:szCs w:val="20"/>
                <w:lang w:eastAsia="sk-SK"/>
              </w:rPr>
            </w:pPr>
            <w:r w:rsidRPr="006A757E">
              <w:rPr>
                <w:b/>
                <w:bCs/>
                <w:color w:val="000000"/>
                <w:sz w:val="20"/>
                <w:szCs w:val="20"/>
                <w:lang w:eastAsia="sk-SK"/>
              </w:rPr>
              <w:t xml:space="preserve">Vplyv na kategóriu </w:t>
            </w:r>
            <w:proofErr w:type="spellStart"/>
            <w:r w:rsidRPr="006A757E">
              <w:rPr>
                <w:b/>
                <w:bCs/>
                <w:color w:val="000000"/>
                <w:sz w:val="20"/>
                <w:szCs w:val="20"/>
                <w:lang w:eastAsia="sk-SK"/>
              </w:rPr>
              <w:t>dotk</w:t>
            </w:r>
            <w:proofErr w:type="spellEnd"/>
            <w:r w:rsidRPr="006A757E">
              <w:rPr>
                <w:b/>
                <w:bCs/>
                <w:color w:val="000000"/>
                <w:sz w:val="20"/>
                <w:szCs w:val="20"/>
                <w:lang w:eastAsia="sk-SK"/>
              </w:rPr>
              <w:t>. subjektov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20"/>
                <w:szCs w:val="20"/>
                <w:lang w:eastAsia="sk-SK"/>
              </w:rPr>
            </w:pPr>
            <w:r w:rsidRPr="006A757E">
              <w:rPr>
                <w:b/>
                <w:bCs/>
                <w:color w:val="000000"/>
                <w:sz w:val="20"/>
                <w:szCs w:val="20"/>
                <w:lang w:eastAsia="sk-SK"/>
              </w:rPr>
              <w:t>Druh vplyvu</w:t>
            </w:r>
            <w:r w:rsidRPr="006A757E">
              <w:rPr>
                <w:b/>
                <w:bCs/>
                <w:color w:val="000000"/>
                <w:sz w:val="20"/>
                <w:szCs w:val="20"/>
                <w:lang w:eastAsia="sk-SK"/>
              </w:rPr>
              <w:br/>
              <w:t xml:space="preserve">In (zvyšuje náklady) / </w:t>
            </w:r>
            <w:r w:rsidRPr="006A757E">
              <w:rPr>
                <w:b/>
                <w:bCs/>
                <w:color w:val="000000"/>
                <w:sz w:val="20"/>
                <w:szCs w:val="20"/>
                <w:lang w:eastAsia="sk-SK"/>
              </w:rPr>
              <w:br/>
            </w:r>
            <w:proofErr w:type="spellStart"/>
            <w:r w:rsidRPr="006A757E">
              <w:rPr>
                <w:b/>
                <w:bCs/>
                <w:color w:val="000000"/>
                <w:sz w:val="20"/>
                <w:szCs w:val="20"/>
                <w:lang w:eastAsia="sk-SK"/>
              </w:rPr>
              <w:t>Out</w:t>
            </w:r>
            <w:proofErr w:type="spellEnd"/>
            <w:r w:rsidRPr="006A757E">
              <w:rPr>
                <w:b/>
                <w:bCs/>
                <w:color w:val="000000"/>
                <w:sz w:val="20"/>
                <w:szCs w:val="20"/>
                <w:lang w:eastAsia="sk-SK"/>
              </w:rPr>
              <w:t xml:space="preserve"> (znižuje náklady) /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18"/>
                <w:szCs w:val="18"/>
                <w:lang w:eastAsia="sk-SK"/>
              </w:rPr>
            </w:pPr>
            <w:r w:rsidRPr="006A757E">
              <w:rPr>
                <w:b/>
                <w:bCs/>
                <w:color w:val="000000"/>
                <w:sz w:val="18"/>
                <w:szCs w:val="18"/>
                <w:lang w:eastAsia="sk-SK"/>
              </w:rPr>
              <w:t xml:space="preserve">1in2out </w:t>
            </w:r>
            <w:r w:rsidRPr="006A757E">
              <w:rPr>
                <w:b/>
                <w:bCs/>
                <w:color w:val="000000"/>
                <w:sz w:val="18"/>
                <w:szCs w:val="18"/>
                <w:lang w:eastAsia="sk-SK"/>
              </w:rPr>
              <w:br/>
              <w:t>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27093" w:rsidRPr="006A757E" w:rsidRDefault="00D27093" w:rsidP="00D27093">
            <w:pPr>
              <w:jc w:val="center"/>
              <w:rPr>
                <w:b/>
                <w:bCs/>
                <w:color w:val="000000"/>
                <w:sz w:val="18"/>
                <w:szCs w:val="18"/>
                <w:lang w:eastAsia="sk-SK"/>
              </w:rPr>
            </w:pPr>
            <w:proofErr w:type="spellStart"/>
            <w:r w:rsidRPr="006A757E">
              <w:rPr>
                <w:b/>
                <w:bCs/>
                <w:color w:val="000000"/>
                <w:sz w:val="18"/>
                <w:szCs w:val="18"/>
                <w:lang w:eastAsia="sk-SK"/>
              </w:rPr>
              <w:t>Goldplating</w:t>
            </w:r>
            <w:proofErr w:type="spellEnd"/>
            <w:r w:rsidRPr="006A757E">
              <w:rPr>
                <w:b/>
                <w:bCs/>
                <w:color w:val="000000"/>
                <w:sz w:val="18"/>
                <w:szCs w:val="18"/>
                <w:lang w:eastAsia="sk-SK"/>
              </w:rPr>
              <w:t xml:space="preserve"> celkom</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oboznámenie sa s legislatívou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.../2024</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čl. 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30.12.24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Pr>
                <w:bCs/>
                <w:color w:val="000000"/>
                <w:sz w:val="20"/>
                <w:szCs w:val="20"/>
                <w:lang w:eastAsia="sk-SK"/>
              </w:rPr>
              <w:t>p</w:t>
            </w:r>
            <w:r w:rsidRPr="006A757E">
              <w:rPr>
                <w:bCs/>
                <w:color w:val="000000"/>
                <w:sz w:val="20"/>
                <w:szCs w:val="20"/>
                <w:lang w:eastAsia="sk-SK"/>
              </w:rPr>
              <w:t xml:space="preserve">oskytovateľ služby zmenárne virtuálnej meny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xml:space="preserve">556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16</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8 807</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oboznámenie sa s legislatívou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.../2024</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čl. 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30.12.24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Pr>
                <w:bCs/>
                <w:color w:val="000000"/>
                <w:sz w:val="20"/>
                <w:szCs w:val="20"/>
                <w:lang w:eastAsia="sk-SK"/>
              </w:rPr>
              <w:t>p</w:t>
            </w:r>
            <w:r w:rsidRPr="006A757E">
              <w:rPr>
                <w:bCs/>
                <w:color w:val="000000"/>
                <w:sz w:val="20"/>
                <w:szCs w:val="20"/>
                <w:lang w:eastAsia="sk-SK"/>
              </w:rPr>
              <w:t xml:space="preserve">oskytovateľ služby peňaženky virtuálnej meny </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xml:space="preserve">477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16</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7 555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oboznámenie sa s legislatívou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.../2024</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čl. V</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30.12.24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Pr>
                <w:bCs/>
                <w:color w:val="000000"/>
                <w:sz w:val="20"/>
                <w:szCs w:val="20"/>
                <w:lang w:eastAsia="sk-SK"/>
              </w:rPr>
              <w:t>b</w:t>
            </w:r>
            <w:r w:rsidRPr="006A757E">
              <w:rPr>
                <w:bCs/>
                <w:color w:val="000000"/>
                <w:sz w:val="20"/>
                <w:szCs w:val="20"/>
                <w:lang w:eastAsia="sk-SK"/>
              </w:rPr>
              <w:t>anky a pobočky zahraničných bánk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116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súhlas na výkon funkcie osoby podľa osobitného predpisu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483/2001</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122yg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30.06.24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banky a pobočky zahraničných bánk</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xml:space="preserve">24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11</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264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oboznámenie sa s legislatívou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.../2024</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čl. VI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01.01.25</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Pr>
                <w:bCs/>
                <w:color w:val="000000"/>
                <w:sz w:val="20"/>
                <w:szCs w:val="20"/>
                <w:lang w:eastAsia="sk-SK"/>
              </w:rPr>
              <w:t>p</w:t>
            </w:r>
            <w:r w:rsidRPr="006A757E">
              <w:rPr>
                <w:bCs/>
                <w:color w:val="000000"/>
                <w:sz w:val="20"/>
                <w:szCs w:val="20"/>
                <w:lang w:eastAsia="sk-SK"/>
              </w:rPr>
              <w:t>oskytovateľ služby zmenárne virtuálnej meny</w:t>
            </w:r>
            <w:r>
              <w:rPr>
                <w:bCs/>
                <w:color w:val="000000"/>
                <w:sz w:val="20"/>
                <w:szCs w:val="20"/>
                <w:lang w:eastAsia="sk-SK"/>
              </w:rPr>
              <w:t xml:space="preserve"> a p</w:t>
            </w:r>
            <w:r w:rsidRPr="006A757E">
              <w:rPr>
                <w:bCs/>
                <w:color w:val="000000"/>
                <w:sz w:val="20"/>
                <w:szCs w:val="20"/>
                <w:lang w:eastAsia="sk-SK"/>
              </w:rPr>
              <w:t>oskytovateľ služby peňaženky virtuálnej meny</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xml:space="preserve">1 033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8 537</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lastRenderedPageBreak/>
              <w:t>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oboznámenie sa s legislatívou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.../2024</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čl. VII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01.01.25</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Pr>
                <w:bCs/>
                <w:color w:val="000000"/>
                <w:sz w:val="20"/>
                <w:szCs w:val="20"/>
                <w:lang w:eastAsia="sk-SK"/>
              </w:rPr>
              <w:t>p</w:t>
            </w:r>
            <w:r w:rsidRPr="006A757E">
              <w:rPr>
                <w:bCs/>
                <w:color w:val="000000"/>
                <w:sz w:val="20"/>
                <w:szCs w:val="20"/>
                <w:lang w:eastAsia="sk-SK"/>
              </w:rPr>
              <w:t>oskytovateľ služby zmenárne virtuálnej meny</w:t>
            </w:r>
            <w:r>
              <w:rPr>
                <w:bCs/>
                <w:color w:val="000000"/>
                <w:sz w:val="20"/>
                <w:szCs w:val="20"/>
                <w:lang w:eastAsia="sk-SK"/>
              </w:rPr>
              <w:t xml:space="preserve"> a p</w:t>
            </w:r>
            <w:r w:rsidRPr="006A757E">
              <w:rPr>
                <w:bCs/>
                <w:color w:val="000000"/>
                <w:sz w:val="20"/>
                <w:szCs w:val="20"/>
                <w:lang w:eastAsia="sk-SK"/>
              </w:rPr>
              <w:t>oskytovateľ služby peňaženky virtuálnej meny</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xml:space="preserve">1 033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8 537</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Zamestnanec zodpovedný za výkon vnútornej kontroly je povinný predkladať Národnej banke Slovenska do 30. júna kalendárneho roka písomnú správu o plnení plánu kontrolnej činnosti za predchádzajúci kalendárny rok.</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492/2009</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70 ods. 5</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30.06.24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Pr>
                <w:bCs/>
                <w:color w:val="000000"/>
                <w:sz w:val="20"/>
                <w:szCs w:val="20"/>
                <w:lang w:eastAsia="sk-SK"/>
              </w:rPr>
              <w:t>p</w:t>
            </w:r>
            <w:r w:rsidRPr="006A757E">
              <w:rPr>
                <w:bCs/>
                <w:color w:val="000000"/>
                <w:sz w:val="20"/>
                <w:szCs w:val="20"/>
                <w:lang w:eastAsia="sk-SK"/>
              </w:rPr>
              <w:t>latobná inštitúcia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xml:space="preserve">10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5,509375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55,09375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55,09375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xml:space="preserve">Navrhuje sa spresnenie, že ustanovenia §72 ods. 1 až 5 sa nevzťahujú na platobnú inštitúciu, ktorá poskytuje výlučne platobné služby podľa § 2 ods. 1 písm. g) alebo h), tzn. aj len jednu z daných platobných služieb alebo obe zároveň. </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492/2009</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72 ods. 6</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30.06.24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Pr>
                <w:bCs/>
                <w:color w:val="000000"/>
                <w:sz w:val="20"/>
                <w:szCs w:val="20"/>
                <w:lang w:eastAsia="sk-SK"/>
              </w:rPr>
              <w:t>pl</w:t>
            </w:r>
            <w:r w:rsidRPr="006A757E">
              <w:rPr>
                <w:bCs/>
                <w:color w:val="000000"/>
                <w:sz w:val="20"/>
                <w:szCs w:val="20"/>
                <w:lang w:eastAsia="sk-SK"/>
              </w:rPr>
              <w:t>atobná inštitúcia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xml:space="preserve">10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5 157</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51 568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proofErr w:type="spellStart"/>
            <w:r w:rsidRPr="006A757E">
              <w:rPr>
                <w:bCs/>
                <w:color w:val="000000"/>
                <w:sz w:val="20"/>
                <w:szCs w:val="20"/>
                <w:lang w:eastAsia="sk-SK"/>
              </w:rPr>
              <w:t>Out</w:t>
            </w:r>
            <w:proofErr w:type="spellEnd"/>
            <w:r w:rsidRPr="006A757E">
              <w:rPr>
                <w:bCs/>
                <w:color w:val="000000"/>
                <w:sz w:val="20"/>
                <w:szCs w:val="20"/>
                <w:lang w:eastAsia="sk-SK"/>
              </w:rPr>
              <w:t xml:space="preserve">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51 568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9</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xml:space="preserve">Navrhuje sa spresnenie výšky základného imania pre poskytovateľov </w:t>
            </w:r>
            <w:r w:rsidRPr="006A757E">
              <w:rPr>
                <w:bCs/>
                <w:color w:val="000000"/>
                <w:sz w:val="20"/>
                <w:szCs w:val="20"/>
                <w:lang w:eastAsia="sk-SK"/>
              </w:rPr>
              <w:lastRenderedPageBreak/>
              <w:t>platobných služieb v obmedzenom rozsahu pre jednotlivé druhy platobných služieb.</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lastRenderedPageBreak/>
              <w:t>492/2009</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79a ods. 2</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30.06.24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Pr>
                <w:bCs/>
                <w:color w:val="000000"/>
                <w:sz w:val="20"/>
                <w:szCs w:val="20"/>
                <w:lang w:eastAsia="sk-SK"/>
              </w:rPr>
              <w:t>p</w:t>
            </w:r>
            <w:r w:rsidRPr="006A757E">
              <w:rPr>
                <w:bCs/>
                <w:color w:val="000000"/>
                <w:sz w:val="20"/>
                <w:szCs w:val="20"/>
                <w:lang w:eastAsia="sk-SK"/>
              </w:rPr>
              <w:t xml:space="preserve">oskytovatelia platobných služieb v </w:t>
            </w:r>
            <w:r w:rsidRPr="006A757E">
              <w:rPr>
                <w:bCs/>
                <w:color w:val="000000"/>
                <w:sz w:val="20"/>
                <w:szCs w:val="20"/>
                <w:lang w:eastAsia="sk-SK"/>
              </w:rPr>
              <w:lastRenderedPageBreak/>
              <w:t>obmedzenom rozsahu</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lastRenderedPageBreak/>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proofErr w:type="spellStart"/>
            <w:r w:rsidRPr="006A757E">
              <w:rPr>
                <w:bCs/>
                <w:color w:val="000000"/>
                <w:sz w:val="20"/>
                <w:szCs w:val="20"/>
                <w:lang w:eastAsia="sk-SK"/>
              </w:rPr>
              <w:t>Out</w:t>
            </w:r>
            <w:proofErr w:type="spellEnd"/>
            <w:r w:rsidRPr="006A757E">
              <w:rPr>
                <w:bCs/>
                <w:color w:val="000000"/>
                <w:sz w:val="20"/>
                <w:szCs w:val="20"/>
                <w:lang w:eastAsia="sk-SK"/>
              </w:rPr>
              <w:t xml:space="preserve">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10</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Zamestnanec zodpovedný za výkon vnútornej kontroly je povinný predkladať Národnej banke Slovenska do 30. júna kalendárneho roka písomnú správu o plnení plánu kontrolnej činnosti za predchádzajúci kalendárny rok.</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492/2009</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85g ods. 5</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30.06.24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Pr>
                <w:bCs/>
                <w:color w:val="000000"/>
                <w:sz w:val="20"/>
                <w:szCs w:val="20"/>
                <w:lang w:eastAsia="sk-SK"/>
              </w:rPr>
              <w:t>i</w:t>
            </w:r>
            <w:r w:rsidRPr="006A757E">
              <w:rPr>
                <w:bCs/>
                <w:color w:val="000000"/>
                <w:sz w:val="20"/>
                <w:szCs w:val="20"/>
                <w:lang w:eastAsia="sk-SK"/>
              </w:rPr>
              <w:t>nštitúcie elektronických peňazí</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6</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Navrhuje sa spresnenie výšky základného imania pre inštitúciu elektronických peňazí v obmedzenom rozsahu.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492/2009</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87 ods. 2</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30.06.24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Pr>
                <w:bCs/>
                <w:color w:val="000000"/>
                <w:sz w:val="20"/>
                <w:szCs w:val="20"/>
                <w:lang w:eastAsia="sk-SK"/>
              </w:rPr>
              <w:t>i</w:t>
            </w:r>
            <w:r w:rsidRPr="006A757E">
              <w:rPr>
                <w:bCs/>
                <w:color w:val="000000"/>
                <w:sz w:val="20"/>
                <w:szCs w:val="20"/>
                <w:lang w:eastAsia="sk-SK"/>
              </w:rPr>
              <w:t>nštitúcie elektronických peňazí v obmedzenom rozsahu</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proofErr w:type="spellStart"/>
            <w:r w:rsidRPr="006A757E">
              <w:rPr>
                <w:bCs/>
                <w:color w:val="000000"/>
                <w:sz w:val="20"/>
                <w:szCs w:val="20"/>
                <w:lang w:eastAsia="sk-SK"/>
              </w:rPr>
              <w:t>Out</w:t>
            </w:r>
            <w:proofErr w:type="spellEnd"/>
            <w:r w:rsidRPr="006A757E">
              <w:rPr>
                <w:bCs/>
                <w:color w:val="000000"/>
                <w:sz w:val="20"/>
                <w:szCs w:val="20"/>
                <w:lang w:eastAsia="sk-SK"/>
              </w:rPr>
              <w:t xml:space="preserve"> (znižuje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Limitovaný poskytovateľ je povinný bezodkladne oznámiť Národnej banke Slovenska skončenie poskytovania služieb podľa § 1 ods. 3 písm. k) prvého bodu alebo druhého bodu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492/2009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 97a ods. 3</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30.06.24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Pr>
                <w:bCs/>
                <w:color w:val="000000"/>
                <w:sz w:val="20"/>
                <w:szCs w:val="20"/>
                <w:lang w:eastAsia="sk-SK"/>
              </w:rPr>
              <w:t>l</w:t>
            </w:r>
            <w:r w:rsidRPr="006A757E">
              <w:rPr>
                <w:bCs/>
                <w:color w:val="000000"/>
                <w:sz w:val="20"/>
                <w:szCs w:val="20"/>
                <w:lang w:eastAsia="sk-SK"/>
              </w:rPr>
              <w:t>imitovaní poskytovatelia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1</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37</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Pr>
                <w:bCs/>
                <w:color w:val="000000"/>
                <w:sz w:val="20"/>
                <w:szCs w:val="20"/>
                <w:lang w:eastAsia="sk-SK"/>
              </w:rPr>
              <w:lastRenderedPageBreak/>
              <w:t>13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Pr>
                <w:bCs/>
                <w:color w:val="000000"/>
                <w:sz w:val="20"/>
                <w:szCs w:val="20"/>
                <w:lang w:eastAsia="sk-SK"/>
              </w:rPr>
              <w:t>Žiadosť o výnimku podľa § 20aa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Pr>
                <w:bCs/>
                <w:color w:val="000000"/>
                <w:sz w:val="20"/>
                <w:szCs w:val="20"/>
                <w:lang w:eastAsia="sk-SK"/>
              </w:rPr>
              <w:t>483/2001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Pr>
                <w:bCs/>
                <w:color w:val="000000"/>
                <w:sz w:val="20"/>
                <w:szCs w:val="20"/>
                <w:lang w:eastAsia="sk-SK"/>
              </w:rPr>
              <w:t>§ 20aa ods. 1</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30.06.24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Default="00D27093" w:rsidP="00D27093">
            <w:pPr>
              <w:jc w:val="center"/>
              <w:rPr>
                <w:bCs/>
                <w:color w:val="000000"/>
                <w:sz w:val="20"/>
                <w:szCs w:val="20"/>
                <w:lang w:eastAsia="sk-SK"/>
              </w:rPr>
            </w:pPr>
            <w:r>
              <w:rPr>
                <w:bCs/>
                <w:color w:val="000000"/>
                <w:sz w:val="20"/>
                <w:szCs w:val="20"/>
                <w:lang w:eastAsia="sk-SK"/>
              </w:rPr>
              <w:t>finančná holdingová spoločnosť, zmiešaná finančná holdingová spoločnosť</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Pr>
                <w:bCs/>
                <w:color w:val="000000"/>
                <w:sz w:val="20"/>
                <w:szCs w:val="20"/>
                <w:lang w:eastAsia="sk-SK"/>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Pr>
                <w:bCs/>
                <w:color w:val="000000"/>
                <w:sz w:val="20"/>
                <w:szCs w:val="20"/>
                <w:lang w:eastAsia="sk-SK"/>
              </w:rPr>
              <w:t>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Pr>
                <w:bCs/>
                <w:color w:val="000000"/>
                <w:sz w:val="20"/>
                <w:szCs w:val="20"/>
                <w:lang w:eastAsia="sk-SK"/>
              </w:rPr>
              <w:t>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20"/>
                <w:szCs w:val="20"/>
                <w:lang w:eastAsia="sk-SK"/>
              </w:rPr>
            </w:pPr>
            <w:r w:rsidRPr="006A757E">
              <w:rPr>
                <w:bCs/>
                <w:color w:val="000000"/>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18"/>
                <w:szCs w:val="18"/>
                <w:lang w:eastAsia="sk-SK"/>
              </w:rPr>
            </w:pPr>
            <w:r w:rsidRPr="006A757E">
              <w:rPr>
                <w:bCs/>
                <w:color w:val="000000"/>
                <w:sz w:val="18"/>
                <w:szCs w:val="18"/>
                <w:lang w:eastAsia="sk-SK"/>
              </w:rPr>
              <w:t>0</w:t>
            </w:r>
          </w:p>
        </w:tc>
      </w:tr>
      <w:tr w:rsidR="00D27093" w:rsidRPr="00262D8D" w:rsidTr="00D2709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281786" w:rsidRDefault="00D27093" w:rsidP="00D27093">
            <w:pPr>
              <w:jc w:val="center"/>
              <w:rPr>
                <w:bCs/>
                <w:color w:val="000000"/>
                <w:sz w:val="20"/>
                <w:szCs w:val="20"/>
                <w:lang w:eastAsia="sk-SK"/>
              </w:rPr>
            </w:pPr>
            <w:r w:rsidRPr="00281786">
              <w:rPr>
                <w:color w:val="000000"/>
                <w:sz w:val="20"/>
                <w:szCs w:val="20"/>
                <w:lang w:eastAsia="sk-SK"/>
              </w:rPr>
              <w:t>14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281786" w:rsidRDefault="00D27093" w:rsidP="00D27093">
            <w:pPr>
              <w:jc w:val="center"/>
              <w:rPr>
                <w:bCs/>
                <w:color w:val="000000"/>
                <w:sz w:val="20"/>
                <w:szCs w:val="20"/>
                <w:lang w:eastAsia="sk-SK"/>
              </w:rPr>
            </w:pPr>
            <w:r w:rsidRPr="00281786">
              <w:rPr>
                <w:color w:val="000000"/>
                <w:sz w:val="20"/>
                <w:szCs w:val="20"/>
                <w:lang w:eastAsia="sk-SK"/>
              </w:rPr>
              <w:t>Žiadosť Národnej banky Slovenska o poskytnutie informácií</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rsidR="00D27093" w:rsidRPr="00281786" w:rsidRDefault="00D27093" w:rsidP="00D27093">
            <w:pPr>
              <w:jc w:val="center"/>
              <w:rPr>
                <w:bCs/>
                <w:color w:val="000000"/>
                <w:sz w:val="20"/>
                <w:szCs w:val="20"/>
                <w:lang w:eastAsia="sk-SK"/>
              </w:rPr>
            </w:pPr>
            <w:r w:rsidRPr="00281786">
              <w:rPr>
                <w:color w:val="000000"/>
                <w:sz w:val="20"/>
                <w:szCs w:val="20"/>
                <w:lang w:eastAsia="sk-SK"/>
              </w:rPr>
              <w:t>483/2001</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D27093" w:rsidRPr="00281786" w:rsidRDefault="00D27093" w:rsidP="00D27093">
            <w:pPr>
              <w:jc w:val="center"/>
              <w:rPr>
                <w:bCs/>
                <w:color w:val="000000"/>
                <w:sz w:val="20"/>
                <w:szCs w:val="20"/>
                <w:lang w:eastAsia="sk-SK"/>
              </w:rPr>
            </w:pPr>
            <w:r w:rsidRPr="00281786">
              <w:rPr>
                <w:color w:val="000000"/>
                <w:sz w:val="20"/>
                <w:szCs w:val="20"/>
                <w:lang w:eastAsia="sk-SK"/>
              </w:rPr>
              <w:t>§ 20ab ods. 8</w:t>
            </w:r>
            <w:r>
              <w:rPr>
                <w:color w:val="000000"/>
                <w:sz w:val="20"/>
                <w:szCs w:val="20"/>
                <w:lang w:eastAsia="sk-SK"/>
              </w:rPr>
              <w:t xml:space="preserve"> a 9</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281786" w:rsidRDefault="00D27093" w:rsidP="00D27093">
            <w:pPr>
              <w:jc w:val="center"/>
              <w:rPr>
                <w:bCs/>
                <w:color w:val="000000"/>
                <w:sz w:val="20"/>
                <w:szCs w:val="20"/>
                <w:lang w:eastAsia="sk-SK"/>
              </w:rPr>
            </w:pPr>
            <w:r w:rsidRPr="00281786">
              <w:rPr>
                <w:color w:val="000000"/>
                <w:sz w:val="20"/>
                <w:szCs w:val="20"/>
                <w:lang w:eastAsia="sk-SK"/>
              </w:rPr>
              <w:t>2. EÚ úplná harmonizácia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281786" w:rsidRDefault="00D27093" w:rsidP="00D27093">
            <w:pPr>
              <w:jc w:val="center"/>
              <w:rPr>
                <w:bCs/>
                <w:color w:val="000000"/>
                <w:sz w:val="20"/>
                <w:szCs w:val="20"/>
                <w:lang w:eastAsia="sk-SK"/>
              </w:rPr>
            </w:pPr>
            <w:r w:rsidRPr="00281786">
              <w:rPr>
                <w:color w:val="000000"/>
                <w:sz w:val="20"/>
                <w:szCs w:val="20"/>
                <w:lang w:eastAsia="sk-SK"/>
              </w:rPr>
              <w:t>30.06.24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281786" w:rsidRDefault="00D27093" w:rsidP="00D27093">
            <w:pPr>
              <w:jc w:val="center"/>
              <w:rPr>
                <w:bCs/>
                <w:color w:val="000000"/>
                <w:sz w:val="20"/>
                <w:szCs w:val="20"/>
                <w:lang w:eastAsia="sk-SK"/>
              </w:rPr>
            </w:pPr>
            <w:r w:rsidRPr="00281786">
              <w:rPr>
                <w:color w:val="000000"/>
                <w:sz w:val="20"/>
                <w:szCs w:val="20"/>
                <w:lang w:eastAsia="sk-SK"/>
              </w:rPr>
              <w:t>finančná holdingová spoločnosť, zmiešaná finančná holdingová spoločnosť</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281786" w:rsidRDefault="00D27093" w:rsidP="00D27093">
            <w:pPr>
              <w:jc w:val="center"/>
              <w:rPr>
                <w:bCs/>
                <w:color w:val="000000"/>
                <w:sz w:val="20"/>
                <w:szCs w:val="20"/>
                <w:lang w:eastAsia="sk-SK"/>
              </w:rPr>
            </w:pPr>
            <w:r w:rsidRPr="00281786">
              <w:rPr>
                <w:color w:val="000000"/>
                <w:sz w:val="20"/>
                <w:szCs w:val="20"/>
                <w:lang w:eastAsia="sk-SK"/>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281786" w:rsidRDefault="00D27093" w:rsidP="00D27093">
            <w:pPr>
              <w:jc w:val="center"/>
              <w:rPr>
                <w:bCs/>
                <w:color w:val="000000"/>
                <w:sz w:val="20"/>
                <w:szCs w:val="20"/>
                <w:lang w:eastAsia="sk-SK"/>
              </w:rPr>
            </w:pPr>
            <w:r w:rsidRPr="00281786">
              <w:rPr>
                <w:color w:val="000000"/>
                <w:sz w:val="20"/>
                <w:szCs w:val="20"/>
                <w:lang w:eastAsia="sk-SK"/>
              </w:rPr>
              <w:t>0</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281786" w:rsidRDefault="00D27093" w:rsidP="00D27093">
            <w:pPr>
              <w:jc w:val="center"/>
              <w:rPr>
                <w:bCs/>
                <w:color w:val="000000"/>
                <w:sz w:val="20"/>
                <w:szCs w:val="20"/>
                <w:lang w:eastAsia="sk-SK"/>
              </w:rPr>
            </w:pPr>
            <w:r w:rsidRPr="00281786">
              <w:rPr>
                <w:color w:val="000000"/>
                <w:sz w:val="20"/>
                <w:szCs w:val="20"/>
                <w:lang w:eastAsia="sk-SK"/>
              </w:rPr>
              <w:t>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281786" w:rsidRDefault="00D27093" w:rsidP="00D27093">
            <w:pPr>
              <w:jc w:val="center"/>
              <w:rPr>
                <w:bCs/>
                <w:color w:val="000000"/>
                <w:sz w:val="20"/>
                <w:szCs w:val="20"/>
                <w:lang w:eastAsia="sk-SK"/>
              </w:rPr>
            </w:pPr>
            <w:r w:rsidRPr="00281786">
              <w:rPr>
                <w:color w:val="000000"/>
                <w:sz w:val="20"/>
                <w:szCs w:val="20"/>
                <w:lang w:eastAsia="sk-SK"/>
              </w:rPr>
              <w:t>In (zvyšuje náklady)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281786" w:rsidRDefault="00D27093" w:rsidP="00D27093">
            <w:pPr>
              <w:jc w:val="center"/>
              <w:rPr>
                <w:bCs/>
                <w:color w:val="000000"/>
                <w:sz w:val="18"/>
                <w:szCs w:val="18"/>
                <w:lang w:eastAsia="sk-SK"/>
              </w:rPr>
            </w:pPr>
            <w:r w:rsidRPr="00281786">
              <w:rPr>
                <w:sz w:val="20"/>
                <w:szCs w:val="20"/>
                <w:lang w:eastAsia="sk-SK"/>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093" w:rsidRPr="006A757E" w:rsidRDefault="00D27093" w:rsidP="00D27093">
            <w:pPr>
              <w:jc w:val="center"/>
              <w:rPr>
                <w:bCs/>
                <w:color w:val="000000"/>
                <w:sz w:val="18"/>
                <w:szCs w:val="18"/>
                <w:lang w:eastAsia="sk-SK"/>
              </w:rPr>
            </w:pPr>
            <w:r w:rsidRPr="00281786">
              <w:rPr>
                <w:color w:val="000000"/>
                <w:sz w:val="20"/>
                <w:szCs w:val="20"/>
                <w:lang w:eastAsia="sk-SK"/>
              </w:rPr>
              <w:t>0</w:t>
            </w:r>
          </w:p>
        </w:tc>
      </w:tr>
    </w:tbl>
    <w:p w:rsidR="00D27093" w:rsidRDefault="00D27093" w:rsidP="00D27093">
      <w:pPr>
        <w:jc w:val="both"/>
        <w:rPr>
          <w:rFonts w:eastAsia="Calibri"/>
          <w:i/>
        </w:rPr>
      </w:pPr>
    </w:p>
    <w:p w:rsidR="00D27093" w:rsidRDefault="00D27093" w:rsidP="00D27093">
      <w:pPr>
        <w:jc w:val="both"/>
        <w:rPr>
          <w:rFonts w:eastAsia="Calibri"/>
          <w:i/>
        </w:rPr>
      </w:pPr>
    </w:p>
    <w:p w:rsidR="00D27093" w:rsidRPr="00895898" w:rsidRDefault="00D27093" w:rsidP="00D27093">
      <w:pPr>
        <w:jc w:val="both"/>
        <w:rPr>
          <w:rFonts w:eastAsia="Calibri"/>
          <w:i/>
        </w:rPr>
      </w:pPr>
    </w:p>
    <w:p w:rsidR="00D27093" w:rsidRPr="00895898" w:rsidRDefault="00D27093" w:rsidP="00D27093">
      <w:pPr>
        <w:jc w:val="both"/>
        <w:rPr>
          <w:rFonts w:eastAsia="Calibri"/>
          <w:b/>
          <w:bCs/>
          <w:i/>
        </w:rPr>
        <w:sectPr w:rsidR="00D27093" w:rsidRPr="00895898" w:rsidSect="00D27093">
          <w:pgSz w:w="16838" w:h="11906" w:orient="landscape"/>
          <w:pgMar w:top="1417" w:right="1417" w:bottom="1417" w:left="1417" w:header="708" w:footer="708" w:gutter="0"/>
          <w:cols w:space="708"/>
          <w:docGrid w:linePitch="360"/>
        </w:sectPr>
      </w:pPr>
    </w:p>
    <w:p w:rsidR="00D27093" w:rsidRPr="001F1B43" w:rsidRDefault="00D27093" w:rsidP="00D27093">
      <w:pPr>
        <w:jc w:val="both"/>
        <w:rPr>
          <w:rFonts w:eastAsia="Calibri"/>
          <w:b/>
          <w:bCs/>
          <w:i/>
          <w:u w:val="single"/>
        </w:rPr>
      </w:pPr>
      <w:r>
        <w:rPr>
          <w:rFonts w:eastAsia="Calibri"/>
          <w:b/>
          <w:bCs/>
          <w:i/>
          <w:u w:val="single"/>
        </w:rPr>
        <w:lastRenderedPageBreak/>
        <w:t xml:space="preserve">3.1.3 </w:t>
      </w:r>
      <w:r w:rsidRPr="001F1B43">
        <w:rPr>
          <w:rFonts w:eastAsia="Calibri"/>
          <w:b/>
          <w:bCs/>
          <w:i/>
          <w:u w:val="single"/>
        </w:rPr>
        <w:t xml:space="preserve">Doplňujúce informácie k spôsobu výpočtu vplyvov jednotlivých regulácií na zmenu nákladov </w:t>
      </w:r>
    </w:p>
    <w:p w:rsidR="00D27093" w:rsidRPr="0076370B" w:rsidRDefault="00D27093" w:rsidP="00D27093">
      <w:pPr>
        <w:jc w:val="both"/>
        <w:rPr>
          <w:rFonts w:eastAsia="Calibri"/>
          <w:bCs/>
          <w:i/>
          <w:iCs/>
          <w:color w:val="000000"/>
          <w:sz w:val="20"/>
          <w:szCs w:val="20"/>
        </w:rPr>
      </w:pPr>
      <w:r w:rsidRPr="0076370B">
        <w:rPr>
          <w:rFonts w:eastAsia="Calibri"/>
          <w:bCs/>
          <w:i/>
          <w:iCs/>
          <w:color w:val="000000"/>
          <w:sz w:val="20"/>
          <w:szCs w:val="2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76370B">
        <w:rPr>
          <w:rFonts w:eastAsia="Calibri"/>
          <w:bCs/>
          <w:i/>
          <w:iCs/>
          <w:color w:val="000000"/>
          <w:sz w:val="20"/>
          <w:szCs w:val="20"/>
        </w:rPr>
        <w:t>link</w:t>
      </w:r>
      <w:proofErr w:type="spellEnd"/>
      <w:r w:rsidRPr="0076370B">
        <w:rPr>
          <w:rFonts w:eastAsia="Calibri"/>
          <w:bCs/>
          <w:i/>
          <w:iCs/>
          <w:color w:val="000000"/>
          <w:sz w:val="20"/>
          <w:szCs w:val="20"/>
        </w:rPr>
        <w:t xml:space="preserve"> na konkrétne štatistiky, ak sú dostupné na internete). Jednotlivé regulácie môžu mať jeden alebo viac typov nákladov (A. Dane, odvody, clá a poplatky, ktorých cieľom je znižovať negatívne </w:t>
      </w:r>
      <w:proofErr w:type="spellStart"/>
      <w:r w:rsidRPr="0076370B">
        <w:rPr>
          <w:rFonts w:eastAsia="Calibri"/>
          <w:bCs/>
          <w:i/>
          <w:iCs/>
          <w:color w:val="000000"/>
          <w:sz w:val="20"/>
          <w:szCs w:val="20"/>
        </w:rPr>
        <w:t>externality</w:t>
      </w:r>
      <w:proofErr w:type="spellEnd"/>
      <w:r w:rsidRPr="0076370B">
        <w:rPr>
          <w:rFonts w:eastAsia="Calibri"/>
          <w:bCs/>
          <w:i/>
          <w:iCs/>
          <w:color w:val="000000"/>
          <w:sz w:val="20"/>
          <w:szCs w:val="20"/>
        </w:rPr>
        <w:t xml:space="preserve">, B. Iné poplatky, C. Sankcie, D. Nepriame finančné náklady, E. Administratívne náklady). Rozčleňte ich a vypočítajte v súlade s metodickým postupom. </w:t>
      </w:r>
    </w:p>
    <w:p w:rsidR="00D27093" w:rsidRPr="00281786" w:rsidRDefault="00D27093" w:rsidP="00D27093">
      <w:pPr>
        <w:spacing w:after="120"/>
        <w:jc w:val="both"/>
      </w:pPr>
      <w:r w:rsidRPr="00281786">
        <w:t>Nariadenie MiCA je prvým európskym komplexným harmonizovaným rámcom pre trhy s kryptoaktívami, ktorým sa upravuje ponúkanie kryptoaktív verejnosti, stanovujú sa osobitné pravidlá pre kryptoaktíva a súvisiace služby a činnosti. Poskytovatelia služieb súvisiacich s kryptoaktívami budú po novom licencovanými subjektami. Verejná ponuka kryptoaktív a ich prijatie na obchodovanie na obchodnej platforme nie sú v súčasnosti v slovenskom právnom poriadku špeciálne regulované. Takisto je to aj v prípade poskytovania služieb súvisiacich s kryptoaktívami. Z tohto dôvodu nie sú dostupné potrebné údaje, štatistiky pre spracovanie relevantných analýz.</w:t>
      </w:r>
    </w:p>
    <w:p w:rsidR="00D27093" w:rsidRPr="00281786" w:rsidRDefault="00D27093" w:rsidP="00D27093">
      <w:pPr>
        <w:pStyle w:val="Odsekzoznamu"/>
        <w:spacing w:after="120"/>
        <w:ind w:left="0"/>
        <w:contextualSpacing w:val="0"/>
        <w:jc w:val="both"/>
      </w:pPr>
      <w:r w:rsidRPr="00281786">
        <w:t>Pri určení počtu dotknutých subjektov sme vychádzali z týchto údajov:</w:t>
      </w:r>
    </w:p>
    <w:p w:rsidR="00D27093" w:rsidRPr="00281786" w:rsidRDefault="00D27093" w:rsidP="00D27093">
      <w:pPr>
        <w:pStyle w:val="Odsekzoznamu"/>
        <w:numPr>
          <w:ilvl w:val="0"/>
          <w:numId w:val="8"/>
        </w:numPr>
        <w:spacing w:after="120" w:line="259" w:lineRule="auto"/>
        <w:contextualSpacing w:val="0"/>
        <w:jc w:val="both"/>
      </w:pPr>
      <w:r w:rsidRPr="00281786">
        <w:t>údajov poskytnutých MV SR – o počte podnikateľských subjektov (za obdobie do 24.11.2023), ktoré majú živnostenské oprávnenie (vrátane pozastavených živnostenských oprávnení) na prevádzkovanie živnosti s predmetom podnikania – poskytovanie služieb peňaženky virtuálnej meny (82a) a poskytovanie služieb zmenárne virtuálnej meny (82b),</w:t>
      </w:r>
    </w:p>
    <w:p w:rsidR="00D27093" w:rsidRPr="00281786" w:rsidRDefault="00D27093" w:rsidP="00D27093">
      <w:pPr>
        <w:pStyle w:val="Odsekzoznamu"/>
        <w:numPr>
          <w:ilvl w:val="0"/>
          <w:numId w:val="8"/>
        </w:numPr>
        <w:spacing w:after="120" w:line="259" w:lineRule="auto"/>
        <w:ind w:left="709"/>
        <w:contextualSpacing w:val="0"/>
        <w:jc w:val="both"/>
      </w:pPr>
      <w:r w:rsidRPr="00281786">
        <w:t>verejne dostupných údajov Národnej banky Slovenska o subjektoch finančného trhu (banky, pobočky zahraničných bánk),</w:t>
      </w:r>
    </w:p>
    <w:p w:rsidR="00D27093" w:rsidRPr="00281786" w:rsidRDefault="00D27093" w:rsidP="00D27093">
      <w:pPr>
        <w:pStyle w:val="Odsekzoznamu"/>
        <w:numPr>
          <w:ilvl w:val="0"/>
          <w:numId w:val="8"/>
        </w:numPr>
        <w:spacing w:after="160" w:line="259" w:lineRule="auto"/>
        <w:jc w:val="both"/>
        <w:rPr>
          <w:i/>
          <w:lang w:eastAsia="sk-SK"/>
        </w:rPr>
      </w:pPr>
      <w:r w:rsidRPr="00281786">
        <w:t>čo sa týka vplyvov na štátny rozpočet, k</w:t>
      </w:r>
      <w:r w:rsidRPr="00281786">
        <w:rPr>
          <w:lang w:eastAsia="sk-SK"/>
        </w:rPr>
        <w:t xml:space="preserve">vantifikácia opatrenia na úpravu informačných systémov vychádza z údajov, ktoré vyčíslilo a dodalo Finančné riaditeľstvo Slovenskej republiky na základe vlastných údajov a výpočtov. </w:t>
      </w:r>
    </w:p>
    <w:p w:rsidR="00D27093" w:rsidRPr="00281786" w:rsidRDefault="00D27093" w:rsidP="00D27093">
      <w:pPr>
        <w:jc w:val="both"/>
        <w:rPr>
          <w:rFonts w:eastAsia="Calibri"/>
          <w:bCs/>
          <w:iCs/>
          <w:color w:val="000000"/>
        </w:rPr>
      </w:pPr>
      <w:r w:rsidRPr="00281786">
        <w:rPr>
          <w:rFonts w:eastAsia="Calibri"/>
          <w:bCs/>
          <w:iCs/>
          <w:color w:val="000000"/>
        </w:rPr>
        <w:t>V predkladanom návrhu zákona bolo identifikovaných 14 regulácií s vplyvom na podnikateľské prostredie. Predmetom kalkulačky nákladov sú regulácie, ktoré zvyšujú/znižujú administratívnu záťaž subjektov finančného trhu v oblasti kryptoaktív.</w:t>
      </w:r>
    </w:p>
    <w:p w:rsidR="00454637" w:rsidRDefault="00454637" w:rsidP="00D27093">
      <w:pPr>
        <w:jc w:val="both"/>
        <w:rPr>
          <w:rFonts w:eastAsia="Calibri"/>
          <w:bCs/>
          <w:iCs/>
          <w:color w:val="000000"/>
          <w:u w:val="single"/>
        </w:rPr>
      </w:pPr>
    </w:p>
    <w:p w:rsidR="00D27093" w:rsidRPr="00281786" w:rsidRDefault="00D27093" w:rsidP="00D27093">
      <w:pPr>
        <w:jc w:val="both"/>
        <w:rPr>
          <w:rFonts w:eastAsia="Calibri"/>
          <w:bCs/>
          <w:iCs/>
          <w:color w:val="000000"/>
          <w:u w:val="single"/>
        </w:rPr>
      </w:pPr>
      <w:r w:rsidRPr="00281786">
        <w:rPr>
          <w:rFonts w:eastAsia="Calibri"/>
          <w:bCs/>
          <w:iCs/>
          <w:color w:val="000000"/>
          <w:u w:val="single"/>
        </w:rPr>
        <w:t>Opatrenia (opis regulácií) č. 1 – 14:</w:t>
      </w:r>
    </w:p>
    <w:p w:rsidR="00D27093" w:rsidRPr="00281786" w:rsidRDefault="00D27093" w:rsidP="00D27093">
      <w:pPr>
        <w:pStyle w:val="Odsekzoznamu"/>
        <w:numPr>
          <w:ilvl w:val="0"/>
          <w:numId w:val="7"/>
        </w:numPr>
        <w:spacing w:after="160" w:line="259" w:lineRule="auto"/>
        <w:ind w:left="426" w:hanging="426"/>
        <w:jc w:val="both"/>
        <w:rPr>
          <w:rFonts w:eastAsia="Calibri"/>
          <w:bCs/>
          <w:i/>
          <w:iCs/>
          <w:color w:val="000000"/>
        </w:rPr>
      </w:pPr>
      <w:r w:rsidRPr="00281786">
        <w:rPr>
          <w:rFonts w:eastAsia="Calibri"/>
          <w:bCs/>
          <w:i/>
          <w:iCs/>
          <w:color w:val="000000"/>
        </w:rPr>
        <w:t>Oboznámenie sa s legislatívou (regulácie č. 1, 2, 3, 5, 6)</w:t>
      </w:r>
    </w:p>
    <w:p w:rsidR="00D27093" w:rsidRPr="00281786" w:rsidRDefault="00D27093" w:rsidP="00D27093">
      <w:pPr>
        <w:jc w:val="both"/>
        <w:rPr>
          <w:rFonts w:eastAsia="Calibri"/>
          <w:bCs/>
          <w:iCs/>
          <w:color w:val="000000"/>
        </w:rPr>
      </w:pPr>
      <w:r w:rsidRPr="00281786">
        <w:rPr>
          <w:rFonts w:eastAsia="Calibri"/>
          <w:bCs/>
          <w:iCs/>
          <w:color w:val="000000"/>
        </w:rPr>
        <w:t>Zavedenie novej regulácie a novelizácia už existujúcej legislatívy v súvislosti s nariadením MiCA sa dotkne podnikateľov, ktorí majú platné živnostenské oprávnenie na poskytovanie služby zmenárne virtuálnej meny (556) a služby peňaženky virtuálnej meny (477). Vzhľadom na rozsah návrhu zákona predpokladáme malú časovú náročnosť. Obdobne sa oboznámenie so znením čl. V týka aj bánk a pobočiek zahraničných bánk (24).</w:t>
      </w:r>
    </w:p>
    <w:p w:rsidR="00D27093" w:rsidRPr="00281786" w:rsidRDefault="00D27093" w:rsidP="00D27093">
      <w:pPr>
        <w:jc w:val="both"/>
        <w:rPr>
          <w:rFonts w:eastAsia="Calibri"/>
          <w:bCs/>
          <w:iCs/>
          <w:color w:val="000000"/>
        </w:rPr>
      </w:pPr>
    </w:p>
    <w:p w:rsidR="00D27093" w:rsidRPr="00281786" w:rsidRDefault="00D27093" w:rsidP="00D27093">
      <w:pPr>
        <w:pStyle w:val="Odsekzoznamu"/>
        <w:numPr>
          <w:ilvl w:val="0"/>
          <w:numId w:val="7"/>
        </w:numPr>
        <w:spacing w:after="160" w:line="259" w:lineRule="auto"/>
        <w:ind w:left="426" w:hanging="426"/>
        <w:jc w:val="both"/>
        <w:rPr>
          <w:rFonts w:eastAsia="Calibri"/>
          <w:bCs/>
          <w:i/>
          <w:iCs/>
          <w:color w:val="000000"/>
        </w:rPr>
      </w:pPr>
      <w:r w:rsidRPr="00281786">
        <w:rPr>
          <w:rFonts w:eastAsia="Calibri"/>
          <w:bCs/>
          <w:i/>
          <w:iCs/>
          <w:color w:val="000000"/>
        </w:rPr>
        <w:t>Povinnosť získať súhlas Národnej banky Slovenska na výkon funkcie osoby podľa osobitného predpisu (regulácia č. 4)</w:t>
      </w:r>
    </w:p>
    <w:p w:rsidR="00D27093" w:rsidRPr="00281786" w:rsidRDefault="00D27093" w:rsidP="00D27093">
      <w:pPr>
        <w:jc w:val="both"/>
      </w:pPr>
      <w:r w:rsidRPr="00281786">
        <w:rPr>
          <w:rFonts w:eastAsia="Calibri"/>
          <w:bCs/>
          <w:iCs/>
          <w:color w:val="000000"/>
        </w:rPr>
        <w:t>Novelou zákona o bankách sa rozširuje zoznam funkcií, ktoré podliehajú schvaľovaniu Národnou bankou Slovenska/Európskou centrálnou bankou, o osobu podľa osobitných predpisov (podľa § 20 ods. 2 písm. h) zákona č.</w:t>
      </w:r>
      <w:r w:rsidRPr="00281786">
        <w:t xml:space="preserve"> 297/2008 Z. z. o ochrane pred legalizáciou príjmov z trestnej činnosti a o ochrane pred financovaním terorizmu a o zmene a doplnení niektorých zákonov), ktorá zabezpečuje plnenie úloh pri ochrane pred legalizáciou príjmov z trestnej činnosti a financovaním terorizmu. Príslušná banka bude povinná podať Národnej </w:t>
      </w:r>
      <w:r w:rsidRPr="00281786">
        <w:lastRenderedPageBreak/>
        <w:t xml:space="preserve">banke Slovenska žiadosť o schválenie. </w:t>
      </w:r>
      <w:r w:rsidRPr="00281786">
        <w:rPr>
          <w:bCs/>
          <w:color w:val="000000"/>
          <w:lang w:eastAsia="sk-SK"/>
        </w:rPr>
        <w:t>Ide o jednorazový administratívny náklad so štandardnou časovou náročnosťou.</w:t>
      </w:r>
    </w:p>
    <w:p w:rsidR="00D27093" w:rsidRPr="00281786" w:rsidRDefault="00D27093" w:rsidP="00D27093">
      <w:pPr>
        <w:jc w:val="both"/>
      </w:pPr>
    </w:p>
    <w:p w:rsidR="00D27093" w:rsidRPr="00281786" w:rsidRDefault="00D27093" w:rsidP="00D27093">
      <w:pPr>
        <w:pStyle w:val="Odsekzoznamu"/>
        <w:numPr>
          <w:ilvl w:val="0"/>
          <w:numId w:val="7"/>
        </w:numPr>
        <w:spacing w:after="160" w:line="259" w:lineRule="auto"/>
        <w:ind w:left="426" w:hanging="426"/>
        <w:jc w:val="both"/>
        <w:rPr>
          <w:rFonts w:eastAsia="Calibri"/>
          <w:bCs/>
          <w:i/>
          <w:iCs/>
          <w:color w:val="000000"/>
        </w:rPr>
      </w:pPr>
      <w:r w:rsidRPr="00281786">
        <w:rPr>
          <w:rFonts w:eastAsia="Calibri"/>
          <w:bCs/>
          <w:i/>
          <w:iCs/>
          <w:color w:val="000000"/>
        </w:rPr>
        <w:t>Povinnosť predkladať písomnú správu o plnení plánu kontrolnej činnosti (regulácia č. 7 a</w:t>
      </w:r>
      <w:r w:rsidR="00454637">
        <w:rPr>
          <w:rFonts w:eastAsia="Calibri"/>
          <w:bCs/>
          <w:i/>
          <w:iCs/>
          <w:color w:val="000000"/>
        </w:rPr>
        <w:t> </w:t>
      </w:r>
      <w:r w:rsidRPr="00281786">
        <w:rPr>
          <w:rFonts w:eastAsia="Calibri"/>
          <w:bCs/>
          <w:i/>
          <w:iCs/>
          <w:color w:val="000000"/>
        </w:rPr>
        <w:t>10)</w:t>
      </w:r>
    </w:p>
    <w:p w:rsidR="00D27093" w:rsidRPr="00281786" w:rsidRDefault="00D27093" w:rsidP="00D27093">
      <w:pPr>
        <w:jc w:val="both"/>
        <w:rPr>
          <w:bCs/>
          <w:color w:val="000000"/>
          <w:lang w:eastAsia="sk-SK"/>
        </w:rPr>
      </w:pPr>
      <w:r w:rsidRPr="00281786">
        <w:t xml:space="preserve">Navrhuje sa spresnenie povinnosti zamestnanca zodpovedného za výkon vnútornej kontroly predkladať správu o plnení kontrolnej činnosti. </w:t>
      </w:r>
      <w:r w:rsidRPr="00281786">
        <w:rPr>
          <w:bCs/>
          <w:color w:val="000000"/>
          <w:lang w:eastAsia="sk-SK"/>
        </w:rPr>
        <w:t>Zamestnanec zodpovedný za výkon vnútornej kontroly je povinný predkladať Národnej banke Slovenska do 30. júna kalendárneho roka písomnú správu o plnení plánu kontrolnej činnosti za predchádzajúci kalendárny rok. Doteraz sa táto správa predkladala len dozornej rade a štatutárnemu orgánu. Ide o každoročný administratívny náklad s malou časovou náročnosťou, pričom správa sa môže predkladať elektronicky.</w:t>
      </w:r>
    </w:p>
    <w:p w:rsidR="00D27093" w:rsidRPr="00281786" w:rsidRDefault="00D27093" w:rsidP="00D27093">
      <w:pPr>
        <w:jc w:val="both"/>
        <w:rPr>
          <w:bCs/>
          <w:color w:val="000000"/>
          <w:lang w:eastAsia="sk-SK"/>
        </w:rPr>
      </w:pPr>
    </w:p>
    <w:p w:rsidR="00D27093" w:rsidRPr="00281786" w:rsidRDefault="00D27093" w:rsidP="00D27093">
      <w:pPr>
        <w:pStyle w:val="Odsekzoznamu"/>
        <w:keepNext/>
        <w:numPr>
          <w:ilvl w:val="0"/>
          <w:numId w:val="7"/>
        </w:numPr>
        <w:spacing w:after="160" w:line="259" w:lineRule="auto"/>
        <w:ind w:left="426" w:hanging="426"/>
        <w:jc w:val="both"/>
        <w:rPr>
          <w:rFonts w:eastAsia="Calibri"/>
          <w:bCs/>
          <w:i/>
          <w:iCs/>
          <w:color w:val="000000"/>
        </w:rPr>
      </w:pPr>
      <w:r w:rsidRPr="00281786">
        <w:rPr>
          <w:rFonts w:eastAsia="Calibri"/>
          <w:bCs/>
          <w:i/>
          <w:iCs/>
          <w:color w:val="000000"/>
        </w:rPr>
        <w:t>Spresnenie ustanovenia § 72 ods. 6 zákona č. 492/2009 Z. z. (regulácia č. 8)</w:t>
      </w:r>
    </w:p>
    <w:p w:rsidR="00D27093" w:rsidRPr="005249CA" w:rsidRDefault="00D27093" w:rsidP="00D27093">
      <w:pPr>
        <w:keepNext/>
        <w:jc w:val="both"/>
      </w:pPr>
      <w:r w:rsidRPr="00281786">
        <w:t>Na základe aplikačnej praxe sa navrhuje sa spresnenie, že ustanovenia odsekov 1 až 5 sa nevzťahujú na platobnú inštitúciu, ktorá poskytuje výlučne platobné služby podľa § 2 ods. 1 písm. g) alebo h), tzn. aj len jednu z daných platobných služieb alebo obe zároveň. Regulácia si vyžiada štandardnú zmenu vnútorných procesov v platobných inštitúciách. Keďže v tomto prípade ide o kontinuálny proces, tak sa pri výpočte nákladov zvolila najčastejšia frekvencia plnenia, ktorú je možné v kalkulačke nákladov použiť.</w:t>
      </w:r>
    </w:p>
    <w:p w:rsidR="00D27093" w:rsidRDefault="00D27093" w:rsidP="00D27093">
      <w:pPr>
        <w:jc w:val="both"/>
        <w:rPr>
          <w:rFonts w:eastAsia="Calibri"/>
          <w:bCs/>
          <w:iCs/>
          <w:color w:val="000000"/>
        </w:rPr>
      </w:pPr>
    </w:p>
    <w:p w:rsidR="00D27093" w:rsidRPr="00824DB6" w:rsidRDefault="00D27093" w:rsidP="00D27093">
      <w:pPr>
        <w:pStyle w:val="Odsekzoznamu"/>
        <w:numPr>
          <w:ilvl w:val="0"/>
          <w:numId w:val="7"/>
        </w:numPr>
        <w:spacing w:after="160" w:line="259" w:lineRule="auto"/>
        <w:ind w:left="426" w:hanging="426"/>
        <w:jc w:val="both"/>
        <w:rPr>
          <w:rFonts w:eastAsia="Calibri"/>
          <w:bCs/>
          <w:i/>
          <w:iCs/>
          <w:color w:val="000000"/>
        </w:rPr>
      </w:pPr>
      <w:r>
        <w:rPr>
          <w:rFonts w:eastAsia="Calibri"/>
          <w:bCs/>
          <w:i/>
          <w:iCs/>
          <w:color w:val="000000"/>
        </w:rPr>
        <w:t>Spresnenie výšky základného imania (regulácia č. 9 a 11)</w:t>
      </w:r>
    </w:p>
    <w:p w:rsidR="00D27093" w:rsidRDefault="00D27093" w:rsidP="00D27093">
      <w:pPr>
        <w:jc w:val="both"/>
        <w:rPr>
          <w:bCs/>
          <w:color w:val="000000"/>
          <w:lang w:eastAsia="sk-SK"/>
        </w:rPr>
      </w:pPr>
      <w:r w:rsidRPr="006A757E">
        <w:rPr>
          <w:bCs/>
          <w:color w:val="000000"/>
          <w:lang w:eastAsia="sk-SK"/>
        </w:rPr>
        <w:t xml:space="preserve">Navrhuje sa </w:t>
      </w:r>
      <w:r>
        <w:rPr>
          <w:bCs/>
          <w:color w:val="000000"/>
          <w:lang w:eastAsia="sk-SK"/>
        </w:rPr>
        <w:t xml:space="preserve">zníženie na polovicu </w:t>
      </w:r>
      <w:r w:rsidRPr="006A757E">
        <w:rPr>
          <w:bCs/>
          <w:color w:val="000000"/>
          <w:lang w:eastAsia="sk-SK"/>
        </w:rPr>
        <w:t>výšky základného imania pre poskytovateľov platobných služieb v obmedzenom rozsahu pre jednotlivé druhy platobných služieb</w:t>
      </w:r>
      <w:r w:rsidRPr="005249CA">
        <w:rPr>
          <w:bCs/>
          <w:color w:val="000000"/>
          <w:lang w:eastAsia="sk-SK"/>
        </w:rPr>
        <w:t xml:space="preserve"> a pre inštitúciu elektronických peňazí v obmedzenom rozsahu.</w:t>
      </w:r>
      <w:r>
        <w:rPr>
          <w:bCs/>
          <w:color w:val="000000"/>
          <w:lang w:eastAsia="sk-SK"/>
        </w:rPr>
        <w:t xml:space="preserve"> V súčasnosti v Slovenskej republike nepôsobia žiadne inštitúcie elektronických peňazí v obmedzenom rozsahu, ani poskytovatelia platobných služieb v obmedzenom rozsahu.</w:t>
      </w:r>
    </w:p>
    <w:p w:rsidR="00D27093" w:rsidRDefault="00D27093" w:rsidP="00D27093">
      <w:pPr>
        <w:pStyle w:val="Default"/>
        <w:jc w:val="both"/>
        <w:rPr>
          <w:color w:val="auto"/>
        </w:rPr>
      </w:pPr>
      <w:r w:rsidRPr="008A1704">
        <w:rPr>
          <w:color w:val="auto"/>
        </w:rPr>
        <w:t xml:space="preserve">Je potrebné uviesť, že navrhovaným znením § 79a ods. 2 a § 87 ods. 2 zákona č. 492/2009 Z. z. o platobných službách a o zmene a doplnení niektorých zákonov v znení neskorších predpisov dochádza k zníženiu požiadavky na počiatočný kapitál na polovicu súčasného stavu. Smernica (EÚ) 2015/2366 a smernica 2009/110/ES síce umožňujú neuplatňovať túto požiadavku, </w:t>
      </w:r>
      <w:r>
        <w:rPr>
          <w:color w:val="auto"/>
        </w:rPr>
        <w:t>t</w:t>
      </w:r>
      <w:r w:rsidRPr="008A1704">
        <w:rPr>
          <w:color w:val="auto"/>
        </w:rPr>
        <w:t xml:space="preserve">akýto stav by však z </w:t>
      </w:r>
      <w:proofErr w:type="spellStart"/>
      <w:r w:rsidRPr="008A1704">
        <w:rPr>
          <w:color w:val="auto"/>
        </w:rPr>
        <w:t>prudenciálneho</w:t>
      </w:r>
      <w:proofErr w:type="spellEnd"/>
      <w:r w:rsidRPr="008A1704">
        <w:rPr>
          <w:color w:val="auto"/>
        </w:rPr>
        <w:t xml:space="preserve"> hľadiska nebol žiaduci a nebol by ani v súlade s aplikačnou praxou NBS.</w:t>
      </w:r>
    </w:p>
    <w:p w:rsidR="00D27093" w:rsidRDefault="00D27093" w:rsidP="00D27093">
      <w:pPr>
        <w:jc w:val="both"/>
        <w:rPr>
          <w:rFonts w:eastAsia="Calibri"/>
          <w:bCs/>
          <w:iCs/>
          <w:color w:val="000000"/>
        </w:rPr>
      </w:pPr>
    </w:p>
    <w:p w:rsidR="00D27093" w:rsidRPr="00824DB6" w:rsidRDefault="00D27093" w:rsidP="00D27093">
      <w:pPr>
        <w:pStyle w:val="Odsekzoznamu"/>
        <w:keepNext/>
        <w:numPr>
          <w:ilvl w:val="0"/>
          <w:numId w:val="7"/>
        </w:numPr>
        <w:spacing w:after="160" w:line="259" w:lineRule="auto"/>
        <w:ind w:left="426" w:hanging="426"/>
        <w:jc w:val="both"/>
        <w:rPr>
          <w:rFonts w:eastAsia="Calibri"/>
          <w:bCs/>
          <w:i/>
          <w:iCs/>
          <w:color w:val="000000"/>
        </w:rPr>
      </w:pPr>
      <w:r>
        <w:rPr>
          <w:rFonts w:eastAsia="Calibri"/>
          <w:bCs/>
          <w:i/>
          <w:iCs/>
          <w:color w:val="000000"/>
        </w:rPr>
        <w:t>Povinnosť informovať Národnú banku Slovenska (regulácia č. 12)</w:t>
      </w:r>
    </w:p>
    <w:p w:rsidR="00D27093" w:rsidRDefault="00D27093" w:rsidP="00D27093">
      <w:pPr>
        <w:keepNext/>
        <w:jc w:val="both"/>
        <w:rPr>
          <w:bCs/>
          <w:color w:val="000000"/>
          <w:lang w:eastAsia="sk-SK"/>
        </w:rPr>
      </w:pPr>
      <w:r w:rsidRPr="006A757E">
        <w:rPr>
          <w:bCs/>
          <w:color w:val="000000"/>
          <w:lang w:eastAsia="sk-SK"/>
        </w:rPr>
        <w:t xml:space="preserve">Limitovaný poskytovateľ je povinný bezodkladne </w:t>
      </w:r>
      <w:r>
        <w:rPr>
          <w:bCs/>
          <w:color w:val="000000"/>
          <w:lang w:eastAsia="sk-SK"/>
        </w:rPr>
        <w:t xml:space="preserve">elektronicky </w:t>
      </w:r>
      <w:r w:rsidRPr="006A757E">
        <w:rPr>
          <w:bCs/>
          <w:color w:val="000000"/>
          <w:lang w:eastAsia="sk-SK"/>
        </w:rPr>
        <w:t>oznámiť Národnej banke Slovenska skončenie poskytovania služieb podľa § 1 ods. 3 písm. k) prvého bodu alebo druhého bodu</w:t>
      </w:r>
      <w:r>
        <w:rPr>
          <w:bCs/>
          <w:color w:val="000000"/>
          <w:lang w:eastAsia="sk-SK"/>
        </w:rPr>
        <w:t xml:space="preserve"> zákona č. 492/2009 Z. z. Účelom opatrenia je, aby Národná banka Slovenska na účely dohľadu nad finančným trhom disponovala všetkými relevantnými informáciami. Ide o jednorazový administratívny náklad s malou časovou náročnosťou.</w:t>
      </w:r>
    </w:p>
    <w:p w:rsidR="00D27093" w:rsidRDefault="00D27093" w:rsidP="00D27093">
      <w:pPr>
        <w:jc w:val="both"/>
        <w:rPr>
          <w:bCs/>
          <w:color w:val="000000"/>
          <w:lang w:eastAsia="sk-SK"/>
        </w:rPr>
      </w:pPr>
    </w:p>
    <w:p w:rsidR="00D27093" w:rsidRPr="00824DB6" w:rsidRDefault="00D27093" w:rsidP="00D27093">
      <w:pPr>
        <w:pStyle w:val="Odsekzoznamu"/>
        <w:numPr>
          <w:ilvl w:val="0"/>
          <w:numId w:val="7"/>
        </w:numPr>
        <w:spacing w:after="160" w:line="259" w:lineRule="auto"/>
        <w:ind w:left="426" w:hanging="426"/>
        <w:jc w:val="both"/>
        <w:rPr>
          <w:rFonts w:eastAsia="Calibri"/>
          <w:bCs/>
          <w:i/>
          <w:iCs/>
          <w:color w:val="000000"/>
        </w:rPr>
      </w:pPr>
      <w:r>
        <w:rPr>
          <w:rFonts w:eastAsia="Calibri"/>
          <w:bCs/>
          <w:i/>
          <w:iCs/>
          <w:color w:val="000000"/>
        </w:rPr>
        <w:t>Povinnosť požiadať Národnú banku Slovenska o výnimku z povinnosti získať súhlas na vykonávanie činnosti finančnej holdingovej spoločnosti a zmiešanej finančnej holdingovej spoločnosti</w:t>
      </w:r>
      <w:r w:rsidRPr="00824DB6">
        <w:rPr>
          <w:rFonts w:eastAsia="Calibri"/>
          <w:bCs/>
          <w:i/>
          <w:iCs/>
          <w:color w:val="000000"/>
        </w:rPr>
        <w:t xml:space="preserve"> (reguláci</w:t>
      </w:r>
      <w:r>
        <w:rPr>
          <w:rFonts w:eastAsia="Calibri"/>
          <w:bCs/>
          <w:i/>
          <w:iCs/>
          <w:color w:val="000000"/>
        </w:rPr>
        <w:t>a č. 13</w:t>
      </w:r>
      <w:r w:rsidRPr="00824DB6">
        <w:rPr>
          <w:rFonts w:eastAsia="Calibri"/>
          <w:bCs/>
          <w:i/>
          <w:iCs/>
          <w:color w:val="000000"/>
        </w:rPr>
        <w:t>)</w:t>
      </w:r>
    </w:p>
    <w:p w:rsidR="00D27093" w:rsidRDefault="00D27093" w:rsidP="00D27093">
      <w:pPr>
        <w:jc w:val="both"/>
        <w:rPr>
          <w:bCs/>
          <w:color w:val="000000"/>
          <w:lang w:eastAsia="sk-SK"/>
        </w:rPr>
      </w:pPr>
      <w:r>
        <w:rPr>
          <w:rFonts w:eastAsia="Calibri"/>
          <w:bCs/>
          <w:iCs/>
          <w:color w:val="000000"/>
        </w:rPr>
        <w:t xml:space="preserve">Na základe poznatkov aplikačnej praxe sa precizuje transpozícia čl. 21a a 21b smernice CRD. </w:t>
      </w:r>
      <w:r w:rsidRPr="00FF7123">
        <w:rPr>
          <w:rFonts w:eastAsia="Calibri"/>
          <w:bCs/>
          <w:iCs/>
          <w:color w:val="000000"/>
        </w:rPr>
        <w:t>Národn</w:t>
      </w:r>
      <w:r>
        <w:rPr>
          <w:rFonts w:eastAsia="Calibri"/>
          <w:bCs/>
          <w:iCs/>
          <w:color w:val="000000"/>
        </w:rPr>
        <w:t>á</w:t>
      </w:r>
      <w:r w:rsidRPr="00FF7123">
        <w:rPr>
          <w:rFonts w:eastAsia="Calibri"/>
          <w:bCs/>
          <w:iCs/>
          <w:color w:val="000000"/>
        </w:rPr>
        <w:t xml:space="preserve"> bank</w:t>
      </w:r>
      <w:r>
        <w:rPr>
          <w:rFonts w:eastAsia="Calibri"/>
          <w:bCs/>
          <w:iCs/>
          <w:color w:val="000000"/>
        </w:rPr>
        <w:t>a</w:t>
      </w:r>
      <w:r w:rsidRPr="00FF7123">
        <w:rPr>
          <w:rFonts w:eastAsia="Calibri"/>
          <w:bCs/>
          <w:iCs/>
          <w:color w:val="000000"/>
        </w:rPr>
        <w:t xml:space="preserve"> Slovenska</w:t>
      </w:r>
      <w:r>
        <w:rPr>
          <w:rFonts w:eastAsia="Calibri"/>
          <w:bCs/>
          <w:iCs/>
          <w:color w:val="000000"/>
        </w:rPr>
        <w:t xml:space="preserve"> ako orgán dohľadu bude schvaľovať výnimku z povinnosti získať súhlas podľa § 20a </w:t>
      </w:r>
      <w:r w:rsidRPr="00B70F2E">
        <w:rPr>
          <w:rFonts w:eastAsia="Calibri"/>
          <w:bCs/>
          <w:iCs/>
          <w:color w:val="000000"/>
        </w:rPr>
        <w:t xml:space="preserve">na vykonávanie činnosti finančnej holdingovej spoločnosti a zmiešanej </w:t>
      </w:r>
      <w:r w:rsidRPr="00B70F2E">
        <w:rPr>
          <w:rFonts w:eastAsia="Calibri"/>
          <w:bCs/>
          <w:iCs/>
          <w:color w:val="000000"/>
        </w:rPr>
        <w:lastRenderedPageBreak/>
        <w:t>finančnej holdingovej spoločnosti</w:t>
      </w:r>
      <w:r>
        <w:rPr>
          <w:rFonts w:eastAsia="Calibri"/>
          <w:bCs/>
          <w:iCs/>
          <w:color w:val="000000"/>
        </w:rPr>
        <w:t xml:space="preserve">. V súčasnosti v Slovenskej republike nepôsobia žiadne </w:t>
      </w:r>
      <w:r w:rsidRPr="00B70F2E">
        <w:rPr>
          <w:rFonts w:eastAsia="Calibri"/>
          <w:bCs/>
          <w:iCs/>
          <w:color w:val="000000"/>
        </w:rPr>
        <w:t>finančné holdingové spoločnosti alebo zmiešané finančné holdingové spoločnosti</w:t>
      </w:r>
      <w:r>
        <w:rPr>
          <w:rFonts w:eastAsia="Calibri"/>
          <w:bCs/>
          <w:iCs/>
          <w:color w:val="000000"/>
        </w:rPr>
        <w:t xml:space="preserve">, ktoré spĺňajú podmienky podľa zákona a museli by žiadať o takúto výnimku. </w:t>
      </w:r>
      <w:r>
        <w:rPr>
          <w:bCs/>
          <w:color w:val="000000"/>
          <w:lang w:eastAsia="sk-SK"/>
        </w:rPr>
        <w:t>Ide o jednorazový administratívny náklad so štandardnou časovou náročnosťou.</w:t>
      </w:r>
    </w:p>
    <w:p w:rsidR="00D27093" w:rsidRDefault="00D27093" w:rsidP="00D27093">
      <w:pPr>
        <w:jc w:val="both"/>
        <w:rPr>
          <w:bCs/>
          <w:color w:val="000000"/>
          <w:lang w:eastAsia="sk-SK"/>
        </w:rPr>
      </w:pPr>
    </w:p>
    <w:p w:rsidR="00D27093" w:rsidRPr="00281786" w:rsidRDefault="00D27093" w:rsidP="00D27093">
      <w:pPr>
        <w:pStyle w:val="Odsekzoznamu"/>
        <w:numPr>
          <w:ilvl w:val="0"/>
          <w:numId w:val="7"/>
        </w:numPr>
        <w:spacing w:after="160" w:line="259" w:lineRule="auto"/>
        <w:ind w:left="426" w:hanging="426"/>
        <w:jc w:val="both"/>
        <w:rPr>
          <w:rFonts w:eastAsia="Calibri"/>
          <w:bCs/>
          <w:i/>
          <w:iCs/>
          <w:color w:val="000000"/>
        </w:rPr>
      </w:pPr>
      <w:r w:rsidRPr="00281786">
        <w:rPr>
          <w:rFonts w:eastAsia="Calibri"/>
          <w:bCs/>
          <w:i/>
          <w:iCs/>
          <w:color w:val="000000"/>
        </w:rPr>
        <w:t>Povinnosť poskytnúť na písomné vyžiadanie Národnej banky Slovenska informácie potrebné na posúdenie, či sa na výkon činnosti príslušnej osoby vyžaduje udelenie súhlasu na vykonávanie činnosti finančnej holdingovej spoločnosti a zmiešanej finančnej holdingovej spoločnosti alebo udelenie výnimky z povinnosti získať súhlas na vykonávanie činnosti finančnej holdingovej spoločnosti a zmiešanej finančnej holdingovej spoločnosti (regulácia č. 14)</w:t>
      </w:r>
    </w:p>
    <w:p w:rsidR="00D27093" w:rsidRDefault="00D27093" w:rsidP="00D27093">
      <w:pPr>
        <w:jc w:val="both"/>
        <w:rPr>
          <w:rFonts w:eastAsia="Calibri"/>
          <w:bCs/>
          <w:iCs/>
          <w:color w:val="000000"/>
        </w:rPr>
      </w:pPr>
      <w:r w:rsidRPr="00281786">
        <w:rPr>
          <w:rFonts w:eastAsia="Calibri"/>
          <w:bCs/>
          <w:iCs/>
          <w:color w:val="000000"/>
        </w:rPr>
        <w:t xml:space="preserve">Na zabezpečenie všetkých relevantných informácií sa dopĺňa Národnej banke Slovenska oprávnenie písomne žiadať informácie na účely zisťovania, či sa na výkon činnosti príslušnej osoby vyžaduje udelenie súhlasu na vykonávanie činnosti finančnej holdingovej spoločnosti a zmiešanej finančnej holdingovej spoločnosti, alebo udelenie výnimky z povinnosti získať súhlas na vykonávanie činnosti finančnej holdingovej spoločnosti a zmiešanej finančnej holdingovej spoločnosti. V súčasnosti v Slovenskej republike nepôsobia žiadne finančné holdingové spoločnosti alebo zmiešané finančné holdingové spoločnosti, ktoré spĺňajú podmienky podľa zákona a museli by žiadať o takúto výnimku. </w:t>
      </w:r>
      <w:r w:rsidRPr="00281786">
        <w:rPr>
          <w:bCs/>
          <w:color w:val="000000"/>
          <w:lang w:eastAsia="sk-SK"/>
        </w:rPr>
        <w:t>Ide o </w:t>
      </w:r>
      <w:proofErr w:type="spellStart"/>
      <w:r>
        <w:rPr>
          <w:bCs/>
          <w:color w:val="000000"/>
          <w:lang w:eastAsia="sk-SK"/>
        </w:rPr>
        <w:t>nepravidlený</w:t>
      </w:r>
      <w:proofErr w:type="spellEnd"/>
      <w:r w:rsidRPr="00281786">
        <w:rPr>
          <w:bCs/>
          <w:color w:val="000000"/>
          <w:lang w:eastAsia="sk-SK"/>
        </w:rPr>
        <w:t xml:space="preserve"> administratívny náklad so štandardnou časovou náročnosťou.</w:t>
      </w:r>
    </w:p>
    <w:p w:rsidR="00D27093" w:rsidRDefault="00D27093" w:rsidP="00D27093">
      <w:pPr>
        <w:jc w:val="both"/>
        <w:rPr>
          <w:rFonts w:eastAsia="Calibri"/>
          <w:bCs/>
          <w:iCs/>
          <w:color w:val="000000"/>
        </w:rPr>
      </w:pPr>
    </w:p>
    <w:p w:rsidR="00D27093" w:rsidRPr="001F1B43" w:rsidRDefault="00D27093" w:rsidP="00D27093">
      <w:pPr>
        <w:keepNext/>
        <w:jc w:val="both"/>
        <w:rPr>
          <w:rFonts w:eastAsia="Calibri"/>
          <w:b/>
          <w:bCs/>
          <w:i/>
          <w:u w:val="single"/>
        </w:rPr>
      </w:pPr>
      <w:r>
        <w:rPr>
          <w:rFonts w:eastAsia="Calibri"/>
          <w:b/>
          <w:bCs/>
          <w:i/>
          <w:u w:val="single"/>
        </w:rPr>
        <w:t>3.1.4 Odôvodnenie</w:t>
      </w:r>
      <w:r w:rsidRPr="00804BC8">
        <w:rPr>
          <w:rFonts w:eastAsia="Calibri"/>
          <w:b/>
          <w:bCs/>
          <w:i/>
          <w:u w:val="single"/>
        </w:rPr>
        <w:t xml:space="preserve"> </w:t>
      </w:r>
      <w:proofErr w:type="spellStart"/>
      <w:r w:rsidRPr="00804BC8">
        <w:rPr>
          <w:rFonts w:eastAsia="Calibri"/>
          <w:b/>
          <w:bCs/>
          <w:i/>
          <w:u w:val="single"/>
        </w:rPr>
        <w:t>goldplating</w:t>
      </w:r>
      <w:r>
        <w:rPr>
          <w:rFonts w:eastAsia="Calibri"/>
          <w:b/>
          <w:bCs/>
          <w:i/>
          <w:u w:val="single"/>
        </w:rPr>
        <w:t>u</w:t>
      </w:r>
      <w:proofErr w:type="spellEnd"/>
      <w:r>
        <w:rPr>
          <w:rFonts w:eastAsia="Calibri"/>
          <w:b/>
          <w:bCs/>
          <w:i/>
          <w:u w:val="single"/>
        </w:rPr>
        <w:t xml:space="preserve"> </w:t>
      </w:r>
      <w:r w:rsidRPr="00804BC8">
        <w:rPr>
          <w:rFonts w:eastAsia="Calibri"/>
          <w:b/>
          <w:bCs/>
          <w:i/>
          <w:u w:val="single"/>
        </w:rPr>
        <w:t xml:space="preserve">podľa bodu 4 časti III </w:t>
      </w:r>
      <w:r>
        <w:rPr>
          <w:rFonts w:eastAsia="Calibri"/>
          <w:b/>
          <w:bCs/>
          <w:i/>
          <w:u w:val="single"/>
        </w:rPr>
        <w:t>jednotnej metodiky a ďalšie d</w:t>
      </w:r>
      <w:r w:rsidRPr="001F1B43">
        <w:rPr>
          <w:rFonts w:eastAsia="Calibri"/>
          <w:b/>
          <w:bCs/>
          <w:i/>
          <w:u w:val="single"/>
        </w:rPr>
        <w:t>oplňujúce informácie</w:t>
      </w:r>
      <w:r>
        <w:rPr>
          <w:rStyle w:val="Odkaznapoznmkupodiarou"/>
          <w:rFonts w:eastAsia="Calibri"/>
          <w:b/>
          <w:bCs/>
          <w:i/>
          <w:u w:val="single"/>
        </w:rPr>
        <w:footnoteReference w:id="2"/>
      </w:r>
      <w:r w:rsidRPr="001F1B43">
        <w:rPr>
          <w:rFonts w:eastAsia="Calibri"/>
          <w:b/>
          <w:bCs/>
          <w:i/>
          <w:u w:val="single"/>
        </w:rPr>
        <w:t xml:space="preserve"> </w:t>
      </w:r>
    </w:p>
    <w:p w:rsidR="00D27093" w:rsidRPr="0076370B" w:rsidRDefault="00D27093" w:rsidP="00D27093">
      <w:pPr>
        <w:keepNext/>
        <w:jc w:val="both"/>
        <w:rPr>
          <w:rFonts w:eastAsia="Calibri"/>
          <w:bCs/>
          <w:i/>
          <w:iCs/>
          <w:color w:val="000000"/>
          <w:sz w:val="20"/>
          <w:szCs w:val="20"/>
        </w:rPr>
      </w:pPr>
      <w:r w:rsidRPr="0076370B">
        <w:rPr>
          <w:rFonts w:eastAsia="Calibri"/>
          <w:bCs/>
          <w:i/>
          <w:iCs/>
          <w:color w:val="000000"/>
          <w:sz w:val="20"/>
          <w:szCs w:val="20"/>
        </w:rPr>
        <w:t xml:space="preserve">Požadované informácie uveďte osobitne ku každému identifikovanému </w:t>
      </w:r>
      <w:proofErr w:type="spellStart"/>
      <w:r w:rsidRPr="0076370B">
        <w:rPr>
          <w:rFonts w:eastAsia="Calibri"/>
          <w:bCs/>
          <w:i/>
          <w:iCs/>
          <w:color w:val="000000"/>
          <w:sz w:val="20"/>
          <w:szCs w:val="20"/>
        </w:rPr>
        <w:t>goldplatingu</w:t>
      </w:r>
      <w:proofErr w:type="spellEnd"/>
      <w:r w:rsidRPr="0076370B">
        <w:rPr>
          <w:rFonts w:eastAsia="Calibri"/>
          <w:bCs/>
          <w:i/>
          <w:iCs/>
          <w:color w:val="000000"/>
          <w:sz w:val="20"/>
          <w:szCs w:val="20"/>
        </w:rPr>
        <w:t xml:space="preserve"> (ku každej hodnotenej regulácii s </w:t>
      </w:r>
      <w:proofErr w:type="spellStart"/>
      <w:r w:rsidRPr="0076370B">
        <w:rPr>
          <w:rFonts w:eastAsia="Calibri"/>
          <w:bCs/>
          <w:i/>
          <w:iCs/>
          <w:color w:val="000000"/>
          <w:sz w:val="20"/>
          <w:szCs w:val="20"/>
        </w:rPr>
        <w:t>goldplatingom</w:t>
      </w:r>
      <w:proofErr w:type="spellEnd"/>
      <w:r w:rsidRPr="0076370B">
        <w:rPr>
          <w:rFonts w:eastAsia="Calibri"/>
          <w:bCs/>
          <w:i/>
          <w:iCs/>
          <w:color w:val="000000"/>
          <w:sz w:val="20"/>
          <w:szCs w:val="20"/>
        </w:rPr>
        <w:t xml:space="preserve"> osobitne). </w:t>
      </w:r>
    </w:p>
    <w:p w:rsidR="00D27093" w:rsidRPr="0076370B" w:rsidRDefault="00D27093" w:rsidP="00D27093">
      <w:pPr>
        <w:jc w:val="both"/>
        <w:rPr>
          <w:rFonts w:eastAsia="Calibri"/>
          <w:bCs/>
          <w:i/>
          <w:iCs/>
          <w:color w:val="000000"/>
          <w:sz w:val="20"/>
          <w:szCs w:val="20"/>
        </w:rPr>
      </w:pPr>
      <w:r w:rsidRPr="0076370B">
        <w:rPr>
          <w:rFonts w:eastAsia="Calibri"/>
          <w:bCs/>
          <w:i/>
          <w:iCs/>
          <w:color w:val="000000"/>
          <w:sz w:val="20"/>
          <w:szCs w:val="20"/>
        </w:rPr>
        <w:t xml:space="preserve">Uveďte odôvodnenie </w:t>
      </w:r>
      <w:proofErr w:type="spellStart"/>
      <w:r w:rsidRPr="0076370B">
        <w:rPr>
          <w:rFonts w:eastAsia="Calibri"/>
          <w:bCs/>
          <w:i/>
          <w:iCs/>
          <w:color w:val="000000"/>
          <w:sz w:val="20"/>
          <w:szCs w:val="20"/>
        </w:rPr>
        <w:t>goldplatingu</w:t>
      </w:r>
      <w:proofErr w:type="spellEnd"/>
      <w:r w:rsidRPr="0076370B">
        <w:rPr>
          <w:rFonts w:eastAsia="Calibri"/>
          <w:bCs/>
          <w:i/>
          <w:iCs/>
          <w:color w:val="000000"/>
          <w:sz w:val="20"/>
          <w:szCs w:val="20"/>
        </w:rPr>
        <w:t xml:space="preserve"> z hľadiska jeho nespochybniteľnej nevyhnutnosti. Odôvodnenie doložte dôkladným hodnotením prínosov a nákladov. Uveďte zvážené alternatívne riešenia..</w:t>
      </w:r>
    </w:p>
    <w:p w:rsidR="00D27093" w:rsidRPr="0076370B" w:rsidRDefault="00D27093" w:rsidP="00D27093">
      <w:pPr>
        <w:jc w:val="both"/>
        <w:rPr>
          <w:rFonts w:eastAsia="Calibri"/>
          <w:bCs/>
          <w:i/>
          <w:iCs/>
          <w:color w:val="000000"/>
          <w:sz w:val="20"/>
          <w:szCs w:val="20"/>
        </w:rPr>
      </w:pPr>
      <w:r w:rsidRPr="0076370B">
        <w:rPr>
          <w:rFonts w:eastAsia="Calibri"/>
          <w:bCs/>
          <w:i/>
          <w:iCs/>
          <w:color w:val="000000"/>
          <w:sz w:val="20"/>
          <w:szCs w:val="20"/>
        </w:rPr>
        <w:t xml:space="preserve">Zároveň uveďte konkrétne informácie súvisiace s kategóriou </w:t>
      </w:r>
      <w:proofErr w:type="spellStart"/>
      <w:r w:rsidRPr="0076370B">
        <w:rPr>
          <w:rFonts w:eastAsia="Calibri"/>
          <w:bCs/>
          <w:i/>
          <w:iCs/>
          <w:color w:val="000000"/>
          <w:sz w:val="20"/>
          <w:szCs w:val="20"/>
        </w:rPr>
        <w:t>goldplatingu</w:t>
      </w:r>
      <w:proofErr w:type="spellEnd"/>
      <w:r w:rsidRPr="0076370B">
        <w:rPr>
          <w:rFonts w:eastAsia="Calibri"/>
          <w:bCs/>
          <w:i/>
          <w:iCs/>
          <w:color w:val="000000"/>
          <w:sz w:val="20"/>
          <w:szCs w:val="20"/>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rsidR="00D27093" w:rsidRPr="0076370B" w:rsidRDefault="00D27093" w:rsidP="00D27093">
      <w:pPr>
        <w:jc w:val="both"/>
        <w:rPr>
          <w:rFonts w:eastAsia="Calibri"/>
          <w:bCs/>
          <w:i/>
          <w:iCs/>
          <w:sz w:val="20"/>
          <w:szCs w:val="20"/>
        </w:rPr>
      </w:pPr>
      <w:r w:rsidRPr="0076370B">
        <w:rPr>
          <w:rFonts w:eastAsia="Calibri"/>
          <w:bCs/>
          <w:i/>
          <w:iCs/>
          <w:sz w:val="20"/>
          <w:szCs w:val="20"/>
        </w:rPr>
        <w:t xml:space="preserve">Využitie </w:t>
      </w:r>
      <w:proofErr w:type="spellStart"/>
      <w:r w:rsidRPr="0076370B">
        <w:rPr>
          <w:rFonts w:eastAsia="Calibri"/>
          <w:bCs/>
          <w:i/>
          <w:iCs/>
          <w:sz w:val="20"/>
          <w:szCs w:val="20"/>
        </w:rPr>
        <w:t>goldplatingu</w:t>
      </w:r>
      <w:proofErr w:type="spellEnd"/>
      <w:r w:rsidRPr="0076370B">
        <w:rPr>
          <w:rFonts w:eastAsia="Calibri"/>
          <w:bCs/>
          <w:i/>
          <w:iCs/>
          <w:sz w:val="20"/>
          <w:szCs w:val="20"/>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76370B">
        <w:rPr>
          <w:rFonts w:eastAsia="Calibri"/>
          <w:bCs/>
          <w:i/>
          <w:iCs/>
          <w:sz w:val="20"/>
          <w:szCs w:val="20"/>
        </w:rPr>
        <w:t>goldplatingu</w:t>
      </w:r>
      <w:proofErr w:type="spellEnd"/>
      <w:r w:rsidRPr="0076370B">
        <w:rPr>
          <w:rFonts w:eastAsia="Calibri"/>
          <w:bCs/>
          <w:i/>
          <w:iCs/>
          <w:sz w:val="20"/>
          <w:szCs w:val="20"/>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D27093" w:rsidRPr="0076370B" w:rsidRDefault="00D27093" w:rsidP="00D27093">
      <w:pPr>
        <w:jc w:val="both"/>
        <w:rPr>
          <w:rFonts w:eastAsia="Calibri"/>
        </w:rPr>
      </w:pPr>
      <w:r w:rsidRPr="0076370B">
        <w:rPr>
          <w:rFonts w:eastAsia="Calibri"/>
        </w:rPr>
        <w:t xml:space="preserve">Vzhľadom na to, že ide o úplnú transpozíciu/implementáciu, </w:t>
      </w:r>
      <w:proofErr w:type="spellStart"/>
      <w:r w:rsidRPr="0076370B">
        <w:rPr>
          <w:rFonts w:eastAsia="Calibri"/>
        </w:rPr>
        <w:t>goldplating</w:t>
      </w:r>
      <w:proofErr w:type="spellEnd"/>
      <w:r w:rsidRPr="0076370B">
        <w:rPr>
          <w:rFonts w:eastAsia="Calibri"/>
        </w:rPr>
        <w:t xml:space="preserve"> nebol identifikovaný.</w:t>
      </w:r>
    </w:p>
    <w:p w:rsidR="00D27093" w:rsidRDefault="00D27093" w:rsidP="00D27093">
      <w:pPr>
        <w:jc w:val="both"/>
        <w:rPr>
          <w:rFonts w:eastAsia="Calibri"/>
          <w:b/>
        </w:rPr>
      </w:pPr>
    </w:p>
    <w:p w:rsidR="00D27093" w:rsidRPr="001F1B43" w:rsidRDefault="00D27093" w:rsidP="00D27093">
      <w:pPr>
        <w:jc w:val="both"/>
        <w:rPr>
          <w:rFonts w:eastAsia="Calibri"/>
          <w:b/>
        </w:rPr>
      </w:pPr>
      <w:r w:rsidRPr="001F1B43">
        <w:rPr>
          <w:rFonts w:eastAsia="Calibri"/>
          <w:b/>
        </w:rPr>
        <w:t>3.2 Vyhodnotenie konzultácií s podnikateľskými subjektmi pred predbežným pripomienkovým konaním</w:t>
      </w:r>
    </w:p>
    <w:p w:rsidR="00D27093" w:rsidRPr="0076370B" w:rsidRDefault="00D27093" w:rsidP="00D27093">
      <w:pPr>
        <w:jc w:val="both"/>
        <w:rPr>
          <w:rFonts w:eastAsia="Calibri"/>
          <w:i/>
          <w:sz w:val="20"/>
          <w:szCs w:val="20"/>
        </w:rPr>
      </w:pPr>
      <w:r w:rsidRPr="0076370B">
        <w:rPr>
          <w:rFonts w:eastAsia="Calibri"/>
          <w:i/>
          <w:sz w:val="20"/>
          <w:szCs w:val="20"/>
        </w:rPr>
        <w:t xml:space="preserve">Uveďte formu konzultácií vrátane zdôvodnenia jej výberu a trvanie konzultácií, termíny stretnutí. Uveďte spôsob oslovenia dotknutých subjektov, zoznam konzultujúcich subjektov, tiež </w:t>
      </w:r>
      <w:proofErr w:type="spellStart"/>
      <w:r w:rsidRPr="0076370B">
        <w:rPr>
          <w:rFonts w:eastAsia="Calibri"/>
          <w:i/>
          <w:sz w:val="20"/>
          <w:szCs w:val="20"/>
        </w:rPr>
        <w:t>link</w:t>
      </w:r>
      <w:proofErr w:type="spellEnd"/>
      <w:r w:rsidRPr="0076370B">
        <w:rPr>
          <w:rFonts w:eastAsia="Calibri"/>
          <w:i/>
          <w:sz w:val="20"/>
          <w:szCs w:val="20"/>
        </w:rPr>
        <w:t xml:space="preserve"> na webovú stránku, na ktorej boli konzultácie zverejnené. </w:t>
      </w:r>
    </w:p>
    <w:p w:rsidR="00D27093" w:rsidRPr="0076370B" w:rsidRDefault="00D27093" w:rsidP="00D27093">
      <w:pPr>
        <w:jc w:val="both"/>
        <w:rPr>
          <w:rFonts w:eastAsia="Calibri"/>
          <w:i/>
          <w:sz w:val="20"/>
          <w:szCs w:val="20"/>
        </w:rPr>
      </w:pPr>
      <w:r w:rsidRPr="0076370B">
        <w:rPr>
          <w:rFonts w:eastAsia="Calibri"/>
          <w:i/>
          <w:sz w:val="20"/>
          <w:szCs w:val="20"/>
        </w:rPr>
        <w:t xml:space="preserve">Uveďte hlavné body konzultácií a ich závery. </w:t>
      </w:r>
    </w:p>
    <w:p w:rsidR="00D27093" w:rsidRPr="0076370B" w:rsidRDefault="00D27093" w:rsidP="00D27093">
      <w:pPr>
        <w:jc w:val="both"/>
        <w:rPr>
          <w:rFonts w:eastAsia="Calibri"/>
          <w:i/>
          <w:sz w:val="20"/>
          <w:szCs w:val="20"/>
        </w:rPr>
      </w:pPr>
      <w:r w:rsidRPr="0076370B">
        <w:rPr>
          <w:rFonts w:eastAsia="Calibri"/>
          <w:i/>
          <w:sz w:val="20"/>
          <w:szCs w:val="20"/>
        </w:rPr>
        <w:lastRenderedPageBreak/>
        <w:t xml:space="preserve">Uveďte zoznam predložených alternatívnych riešení problematiky od konzultujúcich subjektov, ako aj návrhy od konzultujúcich subjektov na zníženie nákladov regulácií na PP, ktoré neboli akceptované a dôvod neakceptovania. </w:t>
      </w:r>
    </w:p>
    <w:p w:rsidR="00D27093" w:rsidRPr="0076370B" w:rsidRDefault="00D27093" w:rsidP="00D27093">
      <w:pPr>
        <w:jc w:val="both"/>
        <w:rPr>
          <w:rFonts w:eastAsia="Calibri"/>
          <w:i/>
          <w:sz w:val="20"/>
          <w:szCs w:val="20"/>
        </w:rPr>
      </w:pPr>
      <w:r w:rsidRPr="0076370B">
        <w:rPr>
          <w:rFonts w:eastAsia="Calibri"/>
          <w:i/>
          <w:sz w:val="20"/>
          <w:szCs w:val="20"/>
        </w:rPr>
        <w:t xml:space="preserve">Alternatívne namiesto vypĺňania bodu 3.2 môžete uviesť ako samostatnú prílohu tejto analýzy Záznam z konzultácií obsahujúci požadované informácie. </w:t>
      </w:r>
    </w:p>
    <w:p w:rsidR="00D27093" w:rsidRDefault="00D27093" w:rsidP="00D27093">
      <w:pPr>
        <w:jc w:val="both"/>
        <w:rPr>
          <w:rFonts w:eastAsia="Calibri"/>
          <w:i/>
        </w:rPr>
      </w:pPr>
    </w:p>
    <w:p w:rsidR="00D27093" w:rsidRDefault="00D27093" w:rsidP="00D27093">
      <w:pPr>
        <w:spacing w:after="120"/>
        <w:jc w:val="both"/>
        <w:rPr>
          <w:rFonts w:eastAsia="Calibri"/>
        </w:rPr>
      </w:pPr>
      <w:r>
        <w:rPr>
          <w:rFonts w:eastAsia="Calibri"/>
        </w:rPr>
        <w:t>Dňa 12. decembra 2023 bola zverejnená predbežná informácia podľa § 9 zákona č. 400/2015 Z. z. o tvorbe právnych predpisov a o Zbierke zákonov Slovenskej republiky a o zmene a doplnení niektorých zákonov k návrhu zákona o niektorých povinnostiach a oprávneniach v oblasti kryptoaktív a o zmene a doplnení niektorých zákonov. (</w:t>
      </w:r>
      <w:hyperlink r:id="rId17" w:history="1">
        <w:r w:rsidRPr="00656D88">
          <w:rPr>
            <w:rStyle w:val="Hypertextovprepojenie"/>
            <w:rFonts w:eastAsia="Calibri"/>
          </w:rPr>
          <w:t>https://www.slov-lex.sk/legislativne-procesy/SK/pi/2023/333</w:t>
        </w:r>
      </w:hyperlink>
      <w:r>
        <w:rPr>
          <w:rFonts w:eastAsia="Calibri"/>
        </w:rPr>
        <w:t>) Pripomienkové konanie k predbežnej informácii trvalo od 12. decembra 2023 do 8. januára 2024.</w:t>
      </w:r>
    </w:p>
    <w:p w:rsidR="00D27093" w:rsidRDefault="00D27093" w:rsidP="00D27093">
      <w:pPr>
        <w:spacing w:after="120"/>
        <w:jc w:val="both"/>
      </w:pPr>
      <w:r>
        <w:t>Základným c</w:t>
      </w:r>
      <w:r w:rsidRPr="0001247E">
        <w:t>ieľom n</w:t>
      </w:r>
      <w:r>
        <w:t>ávrhu zákona je implementácia niektorých ustanovení nariadenia MiCA. Hoci bude nariadenie MiCA priamo účinné, návrh zákona bude obsahovať niektoré ustanovenia, ktoré sú nevyhnutné k harmonizácii slovenského právneho poriadku s týmto nariadením. Bude potrebné ustanoviť orgán dohľadu, ktorý bude dohliadať na dodržovanie ustanovených povinností podľa nariadenia MiCA. Súčasťou návrhu sú aj novely ďalších zákonov súvisiace s implementáciou nariadenia MiCA, úpravy súvisiace s dosiahnutím plnej transpozície smerníc v oblasti bankovníctva a platobných služieb, ako aj ďalšie úpravy vyplývajúce z aplikačnej praxe. K predbežnej informácii neboli doručené žiadne podnety ani návrhy.</w:t>
      </w:r>
    </w:p>
    <w:p w:rsidR="00D27093" w:rsidRDefault="00D27093" w:rsidP="00D27093">
      <w:pPr>
        <w:spacing w:after="120"/>
        <w:jc w:val="both"/>
      </w:pPr>
      <w:r>
        <w:t xml:space="preserve">K návrhu nariadenia MiCA sa uskutočnili konzultácie s trhom v rámci Centra pre finančné inovácie Ministerstva financií Slovenskej republiky. </w:t>
      </w:r>
    </w:p>
    <w:p w:rsidR="00D27093" w:rsidRDefault="00D27093" w:rsidP="00D27093">
      <w:pPr>
        <w:spacing w:after="120"/>
        <w:jc w:val="both"/>
      </w:pPr>
      <w:r>
        <w:t xml:space="preserve">Dňa 14. 12. 2023 sa uskutočnila online konzultácia k návrhu zákona, ktorej sa zúčastnili zástupcovia Ministerstva hospodárstva Slovenskej republiky, Národnej banky Slovenska, </w:t>
      </w:r>
      <w:proofErr w:type="spellStart"/>
      <w:r>
        <w:t>FinTech</w:t>
      </w:r>
      <w:proofErr w:type="spellEnd"/>
      <w:r>
        <w:t xml:space="preserve"> Asociácie Slovenska, Slovenskej bankovej asociácie a Ministerstva financií Slovenskej republiky.</w:t>
      </w:r>
    </w:p>
    <w:p w:rsidR="00D27093" w:rsidRDefault="00D27093" w:rsidP="00D27093">
      <w:pPr>
        <w:spacing w:after="120"/>
        <w:jc w:val="both"/>
      </w:pPr>
      <w:r>
        <w:t xml:space="preserve">Návrh zákona bol vypracovaný v spolupráci s odborom finančných technológií a inovácií Národnej banky Slovenska. </w:t>
      </w:r>
    </w:p>
    <w:p w:rsidR="00D27093" w:rsidRPr="00D8247C" w:rsidRDefault="00D27093" w:rsidP="00D27093">
      <w:pPr>
        <w:jc w:val="both"/>
        <w:rPr>
          <w:rFonts w:eastAsia="Calibri"/>
          <w:i/>
        </w:rPr>
      </w:pPr>
    </w:p>
    <w:p w:rsidR="00D27093" w:rsidRPr="001F1B43" w:rsidRDefault="00D27093" w:rsidP="00D27093">
      <w:pPr>
        <w:jc w:val="both"/>
        <w:rPr>
          <w:rFonts w:eastAsia="Calibri"/>
          <w:b/>
        </w:rPr>
      </w:pPr>
      <w:bookmarkStart w:id="2" w:name="_Hlk47698091"/>
      <w:r w:rsidRPr="001F1B43">
        <w:rPr>
          <w:rFonts w:eastAsia="Calibri"/>
          <w:b/>
        </w:rPr>
        <w:t>3.3 Vplyvy na konkurencieschopnosť a produktivitu</w:t>
      </w:r>
    </w:p>
    <w:bookmarkEnd w:id="2"/>
    <w:p w:rsidR="00D27093" w:rsidRPr="0076370B" w:rsidRDefault="00D27093" w:rsidP="00D27093">
      <w:pPr>
        <w:jc w:val="both"/>
        <w:rPr>
          <w:rFonts w:eastAsia="Calibri"/>
          <w:i/>
          <w:sz w:val="20"/>
          <w:szCs w:val="20"/>
        </w:rPr>
      </w:pPr>
      <w:r w:rsidRPr="0076370B">
        <w:rPr>
          <w:rFonts w:eastAsia="Calibri"/>
          <w:i/>
          <w:sz w:val="20"/>
          <w:szCs w:val="20"/>
        </w:rPr>
        <w:t xml:space="preserve">Dochádza k vytvoreniu resp. k zmene bariér na trhu? </w:t>
      </w:r>
    </w:p>
    <w:p w:rsidR="00D27093" w:rsidRPr="0076370B" w:rsidRDefault="00D27093" w:rsidP="00D27093">
      <w:pPr>
        <w:jc w:val="both"/>
        <w:rPr>
          <w:rFonts w:eastAsia="Calibri"/>
          <w:i/>
          <w:sz w:val="20"/>
          <w:szCs w:val="20"/>
        </w:rPr>
      </w:pPr>
      <w:r w:rsidRPr="0076370B">
        <w:rPr>
          <w:rFonts w:eastAsia="Calibri"/>
          <w:i/>
          <w:sz w:val="20"/>
          <w:szCs w:val="20"/>
        </w:rPr>
        <w:t xml:space="preserve">Bude sa s niektorými podnikmi alebo produktmi zaobchádzať v porovnateľnej situácii rôzne (napr. špeciálne režimy pre </w:t>
      </w:r>
      <w:proofErr w:type="spellStart"/>
      <w:r w:rsidRPr="0076370B">
        <w:rPr>
          <w:rFonts w:eastAsia="Calibri"/>
          <w:i/>
          <w:sz w:val="20"/>
          <w:szCs w:val="20"/>
        </w:rPr>
        <w:t>mikro</w:t>
      </w:r>
      <w:proofErr w:type="spellEnd"/>
      <w:r w:rsidRPr="0076370B">
        <w:rPr>
          <w:rFonts w:eastAsia="Calibri"/>
          <w:i/>
          <w:sz w:val="20"/>
          <w:szCs w:val="20"/>
        </w:rPr>
        <w:t xml:space="preserve">, malé a stredné podniky tzv. MSP)? </w:t>
      </w:r>
    </w:p>
    <w:p w:rsidR="00D27093" w:rsidRPr="0076370B" w:rsidRDefault="00D27093" w:rsidP="00D27093">
      <w:pPr>
        <w:jc w:val="both"/>
        <w:rPr>
          <w:rFonts w:eastAsia="Calibri"/>
          <w:i/>
          <w:sz w:val="20"/>
          <w:szCs w:val="20"/>
        </w:rPr>
      </w:pPr>
      <w:r w:rsidRPr="0076370B">
        <w:rPr>
          <w:rFonts w:eastAsia="Calibri"/>
          <w:i/>
          <w:sz w:val="20"/>
          <w:szCs w:val="20"/>
        </w:rPr>
        <w:t xml:space="preserve">Ovplyvňuje zmena regulácie cezhraničné investície (príliv/odliv zahraničných investícií resp. uplatnenie slovenských podnikov na zahraničných trhoch)? </w:t>
      </w:r>
    </w:p>
    <w:p w:rsidR="00D27093" w:rsidRPr="0076370B" w:rsidRDefault="00D27093" w:rsidP="00D27093">
      <w:pPr>
        <w:jc w:val="both"/>
        <w:rPr>
          <w:rFonts w:eastAsia="Calibri"/>
          <w:i/>
          <w:sz w:val="20"/>
          <w:szCs w:val="20"/>
        </w:rPr>
      </w:pPr>
      <w:r w:rsidRPr="0076370B">
        <w:rPr>
          <w:rFonts w:eastAsia="Calibri"/>
          <w:i/>
          <w:sz w:val="20"/>
          <w:szCs w:val="20"/>
        </w:rPr>
        <w:t xml:space="preserve">Ovplyvní dostupnosť základných zdrojov (financie, pracovná sila, suroviny, mechanizmy, energie atď.)? </w:t>
      </w:r>
    </w:p>
    <w:p w:rsidR="00D27093" w:rsidRPr="0076370B" w:rsidRDefault="00D27093" w:rsidP="00D27093">
      <w:pPr>
        <w:jc w:val="both"/>
        <w:rPr>
          <w:rFonts w:eastAsia="Calibri"/>
          <w:i/>
          <w:sz w:val="20"/>
          <w:szCs w:val="20"/>
        </w:rPr>
      </w:pPr>
      <w:r w:rsidRPr="0076370B">
        <w:rPr>
          <w:rFonts w:eastAsia="Calibri"/>
          <w:i/>
          <w:sz w:val="20"/>
          <w:szCs w:val="20"/>
        </w:rPr>
        <w:t>Ovplyvňuje zmena regulácie inovácie, vedu a výskum?</w:t>
      </w:r>
    </w:p>
    <w:p w:rsidR="00D27093" w:rsidRPr="0076370B" w:rsidRDefault="00D27093" w:rsidP="00D27093">
      <w:pPr>
        <w:jc w:val="both"/>
        <w:rPr>
          <w:rFonts w:eastAsia="Calibri"/>
          <w:i/>
          <w:sz w:val="20"/>
          <w:szCs w:val="20"/>
        </w:rPr>
      </w:pPr>
      <w:r w:rsidRPr="0076370B">
        <w:rPr>
          <w:rFonts w:eastAsia="Calibri"/>
          <w:i/>
          <w:sz w:val="20"/>
          <w:szCs w:val="20"/>
        </w:rPr>
        <w:t xml:space="preserve">Ak bol identifikovaný </w:t>
      </w:r>
      <w:proofErr w:type="spellStart"/>
      <w:r w:rsidRPr="0076370B">
        <w:rPr>
          <w:rFonts w:eastAsia="Calibri"/>
          <w:i/>
          <w:sz w:val="20"/>
          <w:szCs w:val="20"/>
        </w:rPr>
        <w:t>goldplating</w:t>
      </w:r>
      <w:proofErr w:type="spellEnd"/>
      <w:r w:rsidRPr="0076370B">
        <w:rPr>
          <w:rFonts w:eastAsia="Calibri"/>
          <w:i/>
          <w:sz w:val="20"/>
          <w:szCs w:val="20"/>
        </w:rPr>
        <w:t>, prispieva k zníženiu konkurencieschopnosti a produktivity? Akým spôsobom?</w:t>
      </w:r>
    </w:p>
    <w:p w:rsidR="00D27093" w:rsidRPr="0076370B" w:rsidRDefault="00D27093" w:rsidP="00D27093">
      <w:pPr>
        <w:jc w:val="both"/>
        <w:rPr>
          <w:rFonts w:eastAsia="Calibri"/>
          <w:i/>
          <w:sz w:val="20"/>
          <w:szCs w:val="20"/>
        </w:rPr>
      </w:pPr>
      <w:r w:rsidRPr="0076370B">
        <w:rPr>
          <w:rFonts w:eastAsia="Calibri"/>
          <w:i/>
          <w:iCs/>
          <w:sz w:val="20"/>
          <w:szCs w:val="20"/>
        </w:rPr>
        <w:t>Ako prispieva zmena regulácie k cieľu Slovenska mať najlepšie podnikateľské prostredie spomedzi susediacich krajín EÚ?</w:t>
      </w:r>
    </w:p>
    <w:p w:rsidR="00D27093" w:rsidRPr="00D8247C" w:rsidRDefault="00D27093" w:rsidP="00D27093">
      <w:pPr>
        <w:jc w:val="both"/>
        <w:rPr>
          <w:rFonts w:eastAsia="Calibri"/>
          <w:i/>
        </w:rPr>
      </w:pPr>
    </w:p>
    <w:p w:rsidR="00D27093" w:rsidRPr="00D8247C" w:rsidRDefault="00D27093" w:rsidP="00D27093">
      <w:pPr>
        <w:jc w:val="both"/>
        <w:rPr>
          <w:rFonts w:eastAsia="Calibri"/>
          <w:b/>
          <w:i/>
        </w:rPr>
      </w:pPr>
      <w:r w:rsidRPr="00D8247C">
        <w:rPr>
          <w:rFonts w:eastAsia="Calibri"/>
          <w:b/>
          <w:i/>
        </w:rPr>
        <w:t>Konkurencieschopnosť:</w:t>
      </w:r>
    </w:p>
    <w:p w:rsidR="00D27093" w:rsidRPr="0076370B" w:rsidRDefault="00D27093" w:rsidP="00D27093">
      <w:pPr>
        <w:jc w:val="both"/>
        <w:rPr>
          <w:rFonts w:eastAsia="Calibri"/>
          <w:i/>
          <w:sz w:val="20"/>
          <w:szCs w:val="20"/>
        </w:rPr>
      </w:pPr>
      <w:r w:rsidRPr="0076370B">
        <w:rPr>
          <w:rFonts w:eastAsia="Calibri"/>
          <w:i/>
          <w:sz w:val="20"/>
          <w:szCs w:val="20"/>
        </w:rPr>
        <w:t>Na základe uvedených odpovedí zaškrtnite a popíšte, či materiál konkurencieschopnosť:</w:t>
      </w:r>
    </w:p>
    <w:p w:rsidR="00D27093" w:rsidRPr="00D8247C" w:rsidRDefault="00BA2478" w:rsidP="00D27093">
      <w:pPr>
        <w:jc w:val="both"/>
        <w:rPr>
          <w:rFonts w:eastAsia="Calibri"/>
          <w:i/>
        </w:rPr>
      </w:pPr>
      <w:sdt>
        <w:sdtPr>
          <w:rPr>
            <w:rFonts w:eastAsia="Calibri"/>
            <w:i/>
          </w:rPr>
          <w:id w:val="798576880"/>
        </w:sdtPr>
        <w:sdtEndPr/>
        <w:sdtContent>
          <w:sdt>
            <w:sdtPr>
              <w:rPr>
                <w:rFonts w:eastAsia="Calibri"/>
                <w:i/>
              </w:rPr>
              <w:id w:val="1729873660"/>
            </w:sdtPr>
            <w:sdtEndPr/>
            <w:sdtContent>
              <w:r w:rsidR="00D27093" w:rsidRPr="00D8247C">
                <w:rPr>
                  <w:rFonts w:ascii="Segoe UI Symbol" w:eastAsia="Calibri" w:hAnsi="Segoe UI Symbol" w:cs="Segoe UI Symbol"/>
                  <w:i/>
                </w:rPr>
                <w:t>☐</w:t>
              </w:r>
            </w:sdtContent>
          </w:sdt>
        </w:sdtContent>
      </w:sdt>
      <w:r w:rsidR="00D27093" w:rsidRPr="00D8247C">
        <w:rPr>
          <w:rFonts w:eastAsia="Calibri"/>
          <w:i/>
        </w:rPr>
        <w:t xml:space="preserve"> zvyšuje  </w:t>
      </w:r>
      <w:r w:rsidR="00D27093" w:rsidRPr="00D8247C">
        <w:rPr>
          <w:rFonts w:eastAsia="Calibri"/>
          <w:i/>
        </w:rPr>
        <w:tab/>
      </w:r>
      <w:sdt>
        <w:sdtPr>
          <w:rPr>
            <w:rFonts w:eastAsia="Calibri"/>
            <w:b/>
            <w:i/>
          </w:rPr>
          <w:id w:val="410579887"/>
        </w:sdtPr>
        <w:sdtEndPr/>
        <w:sdtContent>
          <w:sdt>
            <w:sdtPr>
              <w:rPr>
                <w:rFonts w:eastAsia="Calibri"/>
                <w:b/>
                <w:i/>
              </w:rPr>
              <w:id w:val="-80300261"/>
            </w:sdtPr>
            <w:sdtEndPr/>
            <w:sdtContent>
              <w:r w:rsidR="00D27093" w:rsidRPr="0076370B">
                <w:rPr>
                  <w:rFonts w:ascii="Segoe UI Symbol" w:eastAsia="Calibri" w:hAnsi="Segoe UI Symbol" w:cs="Segoe UI Symbol"/>
                  <w:b/>
                  <w:i/>
                </w:rPr>
                <w:t>X</w:t>
              </w:r>
            </w:sdtContent>
          </w:sdt>
        </w:sdtContent>
      </w:sdt>
      <w:r w:rsidR="00D27093" w:rsidRPr="00D8247C">
        <w:rPr>
          <w:rFonts w:eastAsia="Calibri"/>
          <w:i/>
        </w:rPr>
        <w:t xml:space="preserve"> nemení</w:t>
      </w:r>
      <w:r w:rsidR="00D27093" w:rsidRPr="00D8247C">
        <w:rPr>
          <w:rFonts w:eastAsia="Calibri"/>
          <w:i/>
        </w:rPr>
        <w:tab/>
      </w:r>
      <w:sdt>
        <w:sdtPr>
          <w:rPr>
            <w:rFonts w:eastAsia="Calibri"/>
            <w:i/>
          </w:rPr>
          <w:id w:val="-474604883"/>
        </w:sdtPr>
        <w:sdtEndPr/>
        <w:sdtContent>
          <w:sdt>
            <w:sdtPr>
              <w:rPr>
                <w:rFonts w:eastAsia="Calibri"/>
                <w:i/>
              </w:rPr>
              <w:id w:val="-1706551548"/>
            </w:sdtPr>
            <w:sdtEndPr/>
            <w:sdtContent>
              <w:r w:rsidR="00D27093" w:rsidRPr="00D8247C">
                <w:rPr>
                  <w:rFonts w:ascii="Segoe UI Symbol" w:eastAsia="Calibri" w:hAnsi="Segoe UI Symbol" w:cs="Segoe UI Symbol"/>
                  <w:i/>
                </w:rPr>
                <w:t>☐</w:t>
              </w:r>
            </w:sdtContent>
          </w:sdt>
        </w:sdtContent>
      </w:sdt>
      <w:r w:rsidR="00D27093" w:rsidRPr="00D8247C">
        <w:rPr>
          <w:rFonts w:eastAsia="Calibri"/>
          <w:i/>
        </w:rPr>
        <w:t xml:space="preserve"> znižuje</w:t>
      </w:r>
    </w:p>
    <w:p w:rsidR="00D27093" w:rsidRPr="00D8247C" w:rsidRDefault="00D27093" w:rsidP="00D27093">
      <w:pPr>
        <w:jc w:val="both"/>
        <w:rPr>
          <w:rFonts w:eastAsia="Calibri"/>
          <w:i/>
        </w:rPr>
      </w:pPr>
    </w:p>
    <w:p w:rsidR="00D27093" w:rsidRPr="00D8247C" w:rsidRDefault="00D27093" w:rsidP="00D27093">
      <w:pPr>
        <w:jc w:val="both"/>
        <w:rPr>
          <w:rFonts w:eastAsia="Calibri"/>
          <w:b/>
          <w:i/>
        </w:rPr>
      </w:pPr>
      <w:r w:rsidRPr="00D8247C">
        <w:rPr>
          <w:rFonts w:eastAsia="Calibri"/>
          <w:b/>
          <w:i/>
        </w:rPr>
        <w:t>Produktivita:</w:t>
      </w:r>
    </w:p>
    <w:p w:rsidR="00D27093" w:rsidRPr="0076370B" w:rsidRDefault="00D27093" w:rsidP="00D27093">
      <w:pPr>
        <w:jc w:val="both"/>
        <w:rPr>
          <w:rFonts w:eastAsia="Calibri"/>
          <w:i/>
          <w:sz w:val="20"/>
          <w:szCs w:val="20"/>
        </w:rPr>
      </w:pPr>
      <w:r w:rsidRPr="0076370B">
        <w:rPr>
          <w:rFonts w:eastAsia="Calibri"/>
          <w:i/>
          <w:sz w:val="20"/>
          <w:szCs w:val="20"/>
        </w:rPr>
        <w:t xml:space="preserve">Aký má materiál vplyv na zmenu pomeru medzi produkciou podnikov a ich nákladmi? </w:t>
      </w:r>
    </w:p>
    <w:p w:rsidR="00D27093" w:rsidRPr="0076370B" w:rsidRDefault="00D27093" w:rsidP="00D27093">
      <w:pPr>
        <w:jc w:val="both"/>
        <w:rPr>
          <w:rFonts w:eastAsia="Calibri"/>
          <w:i/>
          <w:sz w:val="20"/>
          <w:szCs w:val="20"/>
        </w:rPr>
      </w:pPr>
    </w:p>
    <w:p w:rsidR="00D27093" w:rsidRPr="0076370B" w:rsidRDefault="00D27093" w:rsidP="00D27093">
      <w:pPr>
        <w:jc w:val="both"/>
        <w:rPr>
          <w:rFonts w:eastAsia="Calibri"/>
          <w:i/>
          <w:sz w:val="20"/>
          <w:szCs w:val="20"/>
        </w:rPr>
      </w:pPr>
      <w:r w:rsidRPr="0076370B">
        <w:rPr>
          <w:rFonts w:eastAsia="Calibri"/>
          <w:i/>
          <w:sz w:val="20"/>
          <w:szCs w:val="20"/>
        </w:rPr>
        <w:t>Na základe uvedenej odpovede zaškrtnite a popíšte, či materiál produktivitu:</w:t>
      </w:r>
    </w:p>
    <w:p w:rsidR="00D27093" w:rsidRPr="00D8247C" w:rsidRDefault="00BA2478" w:rsidP="00D27093">
      <w:pPr>
        <w:jc w:val="both"/>
        <w:rPr>
          <w:rFonts w:eastAsia="Calibri"/>
          <w:i/>
        </w:rPr>
      </w:pPr>
      <w:sdt>
        <w:sdtPr>
          <w:rPr>
            <w:rFonts w:eastAsia="Calibri"/>
            <w:i/>
          </w:rPr>
          <w:id w:val="-1545903528"/>
        </w:sdtPr>
        <w:sdtEndPr/>
        <w:sdtContent>
          <w:sdt>
            <w:sdtPr>
              <w:rPr>
                <w:rFonts w:eastAsia="Calibri"/>
                <w:i/>
              </w:rPr>
              <w:id w:val="825715010"/>
            </w:sdtPr>
            <w:sdtEndPr/>
            <w:sdtContent>
              <w:r w:rsidR="00D27093" w:rsidRPr="00D8247C">
                <w:rPr>
                  <w:rFonts w:ascii="Segoe UI Symbol" w:eastAsia="Calibri" w:hAnsi="Segoe UI Symbol" w:cs="Segoe UI Symbol"/>
                  <w:i/>
                </w:rPr>
                <w:t>☐</w:t>
              </w:r>
            </w:sdtContent>
          </w:sdt>
        </w:sdtContent>
      </w:sdt>
      <w:r w:rsidR="00D27093" w:rsidRPr="00D8247C">
        <w:rPr>
          <w:rFonts w:eastAsia="Calibri"/>
          <w:i/>
        </w:rPr>
        <w:t xml:space="preserve"> zvyšuje  </w:t>
      </w:r>
      <w:r w:rsidR="00D27093" w:rsidRPr="00D8247C">
        <w:rPr>
          <w:rFonts w:eastAsia="Calibri"/>
          <w:i/>
        </w:rPr>
        <w:tab/>
      </w:r>
      <w:sdt>
        <w:sdtPr>
          <w:rPr>
            <w:rFonts w:eastAsia="Calibri"/>
            <w:b/>
            <w:i/>
          </w:rPr>
          <w:id w:val="-353966921"/>
        </w:sdtPr>
        <w:sdtEndPr/>
        <w:sdtContent>
          <w:sdt>
            <w:sdtPr>
              <w:rPr>
                <w:rFonts w:eastAsia="Calibri"/>
                <w:b/>
                <w:i/>
              </w:rPr>
              <w:id w:val="-1222205104"/>
            </w:sdtPr>
            <w:sdtEndPr/>
            <w:sdtContent>
              <w:r w:rsidR="00D27093" w:rsidRPr="0076370B">
                <w:rPr>
                  <w:rFonts w:eastAsia="Calibri"/>
                  <w:b/>
                  <w:i/>
                </w:rPr>
                <w:t>X</w:t>
              </w:r>
            </w:sdtContent>
          </w:sdt>
        </w:sdtContent>
      </w:sdt>
      <w:r w:rsidR="00D27093" w:rsidRPr="00D8247C">
        <w:rPr>
          <w:rFonts w:eastAsia="Calibri"/>
          <w:i/>
        </w:rPr>
        <w:t xml:space="preserve"> nemení</w:t>
      </w:r>
      <w:r w:rsidR="00D27093" w:rsidRPr="00D8247C">
        <w:rPr>
          <w:rFonts w:eastAsia="Calibri"/>
          <w:i/>
        </w:rPr>
        <w:tab/>
      </w:r>
      <w:sdt>
        <w:sdtPr>
          <w:rPr>
            <w:rFonts w:eastAsia="Calibri"/>
            <w:i/>
          </w:rPr>
          <w:id w:val="-1457723544"/>
        </w:sdtPr>
        <w:sdtEndPr/>
        <w:sdtContent>
          <w:sdt>
            <w:sdtPr>
              <w:rPr>
                <w:rFonts w:eastAsia="Calibri"/>
                <w:i/>
              </w:rPr>
              <w:id w:val="-623767955"/>
            </w:sdtPr>
            <w:sdtEndPr/>
            <w:sdtContent>
              <w:r w:rsidR="00D27093" w:rsidRPr="00D8247C">
                <w:rPr>
                  <w:rFonts w:ascii="Segoe UI Symbol" w:eastAsia="Calibri" w:hAnsi="Segoe UI Symbol" w:cs="Segoe UI Symbol"/>
                  <w:i/>
                </w:rPr>
                <w:t>☐</w:t>
              </w:r>
            </w:sdtContent>
          </w:sdt>
        </w:sdtContent>
      </w:sdt>
      <w:r w:rsidR="00D27093" w:rsidRPr="00D8247C">
        <w:rPr>
          <w:rFonts w:eastAsia="Calibri"/>
          <w:i/>
        </w:rPr>
        <w:t xml:space="preserve"> znižuje</w:t>
      </w:r>
    </w:p>
    <w:p w:rsidR="00D27093" w:rsidRPr="00D8247C" w:rsidRDefault="00D27093" w:rsidP="00D27093">
      <w:pPr>
        <w:jc w:val="both"/>
        <w:rPr>
          <w:rFonts w:eastAsia="Calibri"/>
          <w:i/>
        </w:rPr>
      </w:pPr>
    </w:p>
    <w:p w:rsidR="00D27093" w:rsidRPr="001F1B43" w:rsidRDefault="00D27093" w:rsidP="00D27093">
      <w:pPr>
        <w:jc w:val="both"/>
        <w:rPr>
          <w:rFonts w:eastAsia="Calibri"/>
          <w:b/>
        </w:rPr>
      </w:pPr>
      <w:r w:rsidRPr="001F1B43">
        <w:rPr>
          <w:rFonts w:eastAsia="Calibri"/>
          <w:b/>
        </w:rPr>
        <w:lastRenderedPageBreak/>
        <w:t xml:space="preserve">3.4  Iné vplyvy na podnikateľské prostredie </w:t>
      </w:r>
    </w:p>
    <w:p w:rsidR="00D27093" w:rsidRPr="0076370B" w:rsidRDefault="00D27093" w:rsidP="00D27093">
      <w:pPr>
        <w:jc w:val="both"/>
        <w:rPr>
          <w:rFonts w:eastAsia="Calibri"/>
          <w:i/>
          <w:sz w:val="20"/>
          <w:szCs w:val="20"/>
        </w:rPr>
      </w:pPr>
      <w:r w:rsidRPr="0076370B">
        <w:rPr>
          <w:rFonts w:eastAsia="Calibri"/>
          <w:i/>
          <w:sz w:val="20"/>
          <w:szCs w:val="20"/>
        </w:rPr>
        <w:t xml:space="preserve">Ak má materiál vplyvy na PP, ktoré nemožno zaradiť do predchádzajúcich častí, či už pozitívne alebo negatívne, tu ich uveďte.  Patria sem: </w:t>
      </w:r>
    </w:p>
    <w:p w:rsidR="00D27093" w:rsidRPr="0076370B" w:rsidRDefault="00D27093" w:rsidP="00D27093">
      <w:pPr>
        <w:pStyle w:val="Odsekzoznamu"/>
        <w:numPr>
          <w:ilvl w:val="0"/>
          <w:numId w:val="6"/>
        </w:numPr>
        <w:spacing w:line="254" w:lineRule="auto"/>
        <w:jc w:val="both"/>
        <w:rPr>
          <w:rFonts w:eastAsia="Calibri"/>
          <w:i/>
          <w:sz w:val="20"/>
          <w:szCs w:val="20"/>
        </w:rPr>
      </w:pPr>
      <w:r w:rsidRPr="0076370B">
        <w:rPr>
          <w:rFonts w:eastAsia="Calibri"/>
          <w:i/>
          <w:sz w:val="20"/>
          <w:szCs w:val="20"/>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D27093" w:rsidRPr="0076370B" w:rsidRDefault="00D27093" w:rsidP="00D27093">
      <w:pPr>
        <w:pStyle w:val="Odsekzoznamu"/>
        <w:numPr>
          <w:ilvl w:val="0"/>
          <w:numId w:val="6"/>
        </w:numPr>
        <w:spacing w:line="254" w:lineRule="auto"/>
        <w:jc w:val="both"/>
        <w:rPr>
          <w:rFonts w:eastAsia="Calibri"/>
          <w:i/>
          <w:sz w:val="20"/>
          <w:szCs w:val="20"/>
        </w:rPr>
      </w:pPr>
      <w:r w:rsidRPr="0076370B">
        <w:rPr>
          <w:rFonts w:eastAsia="Calibri"/>
          <w:i/>
          <w:sz w:val="20"/>
          <w:szCs w:val="20"/>
        </w:rPr>
        <w:t>regulované ceny podľa zákona č. 18/1996 Z. z. o cenách;</w:t>
      </w:r>
    </w:p>
    <w:p w:rsidR="00D27093" w:rsidRPr="0076370B" w:rsidRDefault="00D27093" w:rsidP="00D27093">
      <w:pPr>
        <w:pStyle w:val="Odsekzoznamu"/>
        <w:numPr>
          <w:ilvl w:val="0"/>
          <w:numId w:val="6"/>
        </w:numPr>
        <w:spacing w:line="254" w:lineRule="auto"/>
        <w:jc w:val="both"/>
        <w:rPr>
          <w:rFonts w:eastAsia="Calibri"/>
          <w:i/>
          <w:sz w:val="20"/>
          <w:szCs w:val="20"/>
        </w:rPr>
      </w:pPr>
      <w:r w:rsidRPr="0076370B">
        <w:rPr>
          <w:rFonts w:eastAsia="Calibri"/>
          <w:i/>
          <w:sz w:val="20"/>
          <w:szCs w:val="20"/>
        </w:rPr>
        <w:t>iné vplyvy, ktoré predpokladá materiál, ale nemožno ich zaradiť do častí 3.1 a 3.3.,</w:t>
      </w:r>
    </w:p>
    <w:p w:rsidR="00D27093" w:rsidRPr="0076370B" w:rsidRDefault="00D27093" w:rsidP="00D27093">
      <w:pPr>
        <w:pStyle w:val="Odsekzoznamu"/>
        <w:numPr>
          <w:ilvl w:val="0"/>
          <w:numId w:val="6"/>
        </w:numPr>
        <w:spacing w:line="254" w:lineRule="auto"/>
        <w:jc w:val="both"/>
        <w:rPr>
          <w:rFonts w:eastAsia="Calibri"/>
          <w:i/>
          <w:sz w:val="20"/>
          <w:szCs w:val="20"/>
        </w:rPr>
      </w:pPr>
      <w:r w:rsidRPr="0076370B">
        <w:rPr>
          <w:rFonts w:eastAsia="Calibri"/>
          <w:i/>
          <w:sz w:val="20"/>
          <w:szCs w:val="20"/>
        </w:rPr>
        <w:t xml:space="preserve">iné vplyvy podľa písm. a) až c), ktoré sú </w:t>
      </w:r>
      <w:proofErr w:type="spellStart"/>
      <w:r w:rsidRPr="0076370B">
        <w:rPr>
          <w:rFonts w:eastAsia="Calibri"/>
          <w:i/>
          <w:sz w:val="20"/>
          <w:szCs w:val="20"/>
        </w:rPr>
        <w:t>goldplatingom</w:t>
      </w:r>
      <w:proofErr w:type="spellEnd"/>
      <w:r w:rsidRPr="0076370B">
        <w:rPr>
          <w:rFonts w:eastAsia="Calibri"/>
          <w:i/>
          <w:sz w:val="20"/>
          <w:szCs w:val="20"/>
        </w:rPr>
        <w:t>.</w:t>
      </w:r>
    </w:p>
    <w:p w:rsidR="00D27093" w:rsidRPr="00331B20" w:rsidRDefault="00D27093" w:rsidP="00D27093">
      <w:pPr>
        <w:pStyle w:val="Odsekzoznamu"/>
        <w:jc w:val="both"/>
        <w:rPr>
          <w:rFonts w:eastAsia="Calibri"/>
          <w:i/>
        </w:rPr>
      </w:pPr>
    </w:p>
    <w:p w:rsidR="00D27093" w:rsidRPr="00331B20" w:rsidRDefault="00D27093" w:rsidP="00D27093">
      <w:pPr>
        <w:jc w:val="both"/>
        <w:rPr>
          <w:rFonts w:eastAsia="Calibri"/>
        </w:rPr>
      </w:pPr>
      <w:r>
        <w:rPr>
          <w:rFonts w:eastAsia="Calibri"/>
        </w:rPr>
        <w:t>Iné vplyvy návrhu zákona neboli identifikované.</w:t>
      </w:r>
    </w:p>
    <w:p w:rsidR="00E26C1C" w:rsidRPr="00A738C0" w:rsidRDefault="00E26C1C" w:rsidP="00E26C1C">
      <w:pPr>
        <w:jc w:val="both"/>
        <w:rPr>
          <w:color w:val="000000" w:themeColor="text1"/>
        </w:rPr>
      </w:pPr>
    </w:p>
    <w:p w:rsidR="00D27093" w:rsidRDefault="00D27093">
      <w:pPr>
        <w:spacing w:after="160" w:line="259" w:lineRule="auto"/>
      </w:pPr>
      <w:r>
        <w:br w:type="page"/>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92"/>
        <w:gridCol w:w="1493"/>
      </w:tblGrid>
      <w:tr w:rsidR="00D27093" w:rsidRPr="005C4B9C" w:rsidTr="00D27093">
        <w:trPr>
          <w:trHeight w:val="20"/>
        </w:trPr>
        <w:tc>
          <w:tcPr>
            <w:tcW w:w="9371" w:type="dxa"/>
            <w:gridSpan w:val="6"/>
            <w:shd w:val="clear" w:color="auto" w:fill="BFBFBF"/>
            <w:vAlign w:val="center"/>
          </w:tcPr>
          <w:p w:rsidR="00D27093" w:rsidRPr="005C4B9C" w:rsidRDefault="00D27093" w:rsidP="00D27093">
            <w:pPr>
              <w:jc w:val="center"/>
              <w:rPr>
                <w:b/>
                <w:bCs/>
                <w:sz w:val="28"/>
                <w:szCs w:val="28"/>
              </w:rPr>
            </w:pPr>
            <w:r w:rsidRPr="005C4B9C">
              <w:rPr>
                <w:b/>
                <w:bCs/>
                <w:sz w:val="28"/>
                <w:szCs w:val="28"/>
              </w:rPr>
              <w:lastRenderedPageBreak/>
              <w:t>Analýza vplyvov na informatizáciu spoločnosti</w:t>
            </w:r>
          </w:p>
          <w:p w:rsidR="00D27093" w:rsidRPr="005C4B9C" w:rsidRDefault="00D27093" w:rsidP="00D27093">
            <w:pPr>
              <w:jc w:val="center"/>
              <w:rPr>
                <w:b/>
                <w:i/>
                <w:iCs/>
                <w:sz w:val="2"/>
                <w:szCs w:val="22"/>
              </w:rPr>
            </w:pPr>
          </w:p>
        </w:tc>
      </w:tr>
      <w:tr w:rsidR="00D27093" w:rsidRPr="005C4B9C" w:rsidTr="00D27093">
        <w:trPr>
          <w:trHeight w:val="20"/>
        </w:trPr>
        <w:tc>
          <w:tcPr>
            <w:tcW w:w="9371" w:type="dxa"/>
            <w:gridSpan w:val="6"/>
            <w:shd w:val="clear" w:color="auto" w:fill="BFBFBF"/>
            <w:vAlign w:val="center"/>
          </w:tcPr>
          <w:p w:rsidR="00D27093" w:rsidRPr="00F14E8D" w:rsidRDefault="00D27093" w:rsidP="00D27093">
            <w:pPr>
              <w:jc w:val="center"/>
              <w:rPr>
                <w:b/>
                <w:bCs/>
              </w:rPr>
            </w:pPr>
            <w:r w:rsidRPr="00F14E8D">
              <w:rPr>
                <w:b/>
                <w:bCs/>
              </w:rPr>
              <w:t>Budovanie základných pilierov informatizácie</w:t>
            </w:r>
          </w:p>
        </w:tc>
      </w:tr>
      <w:tr w:rsidR="00D27093" w:rsidRPr="005C4B9C" w:rsidTr="00D27093">
        <w:trPr>
          <w:trHeight w:val="681"/>
        </w:trPr>
        <w:tc>
          <w:tcPr>
            <w:tcW w:w="3956" w:type="dxa"/>
            <w:shd w:val="clear" w:color="auto" w:fill="C0C0C0"/>
            <w:vAlign w:val="center"/>
          </w:tcPr>
          <w:p w:rsidR="00D27093" w:rsidRPr="00F4692C" w:rsidRDefault="00D27093" w:rsidP="00D27093">
            <w:pPr>
              <w:jc w:val="center"/>
              <w:rPr>
                <w:b/>
              </w:rPr>
            </w:pPr>
            <w:r w:rsidRPr="00F4692C">
              <w:rPr>
                <w:b/>
              </w:rPr>
              <w:t>Biznis vrstva</w:t>
            </w:r>
          </w:p>
        </w:tc>
        <w:tc>
          <w:tcPr>
            <w:tcW w:w="1446" w:type="dxa"/>
            <w:shd w:val="clear" w:color="auto" w:fill="C0C0C0"/>
            <w:vAlign w:val="center"/>
          </w:tcPr>
          <w:p w:rsidR="00D27093" w:rsidRPr="00F4692C" w:rsidRDefault="00D27093" w:rsidP="00D27093">
            <w:pPr>
              <w:jc w:val="center"/>
              <w:rPr>
                <w:b/>
              </w:rPr>
            </w:pPr>
            <w:r w:rsidRPr="00F4692C">
              <w:rPr>
                <w:b/>
              </w:rPr>
              <w:t>A – nová služba</w:t>
            </w:r>
          </w:p>
          <w:p w:rsidR="00D27093" w:rsidRPr="00F4692C" w:rsidRDefault="00D27093" w:rsidP="00D27093">
            <w:pPr>
              <w:jc w:val="center"/>
              <w:rPr>
                <w:i/>
                <w:iCs/>
              </w:rPr>
            </w:pPr>
            <w:r w:rsidRPr="00F4692C">
              <w:rPr>
                <w:b/>
              </w:rPr>
              <w:t>B – zmena služby</w:t>
            </w:r>
            <w:r>
              <w:rPr>
                <w:b/>
              </w:rPr>
              <w:br/>
              <w:t xml:space="preserve"> C-zvýšené používanie služby</w:t>
            </w:r>
          </w:p>
        </w:tc>
        <w:tc>
          <w:tcPr>
            <w:tcW w:w="1134" w:type="dxa"/>
            <w:shd w:val="clear" w:color="auto" w:fill="C0C0C0"/>
            <w:vAlign w:val="center"/>
          </w:tcPr>
          <w:p w:rsidR="00D27093" w:rsidRPr="00F4692C" w:rsidRDefault="00D27093" w:rsidP="00D27093">
            <w:r w:rsidRPr="00F4692C">
              <w:rPr>
                <w:b/>
              </w:rPr>
              <w:t>Kód koncovej služby</w:t>
            </w:r>
          </w:p>
        </w:tc>
        <w:tc>
          <w:tcPr>
            <w:tcW w:w="1342" w:type="dxa"/>
            <w:gridSpan w:val="2"/>
            <w:shd w:val="clear" w:color="auto" w:fill="C0C0C0"/>
            <w:vAlign w:val="center"/>
          </w:tcPr>
          <w:p w:rsidR="00D27093" w:rsidRPr="00F4692C" w:rsidRDefault="00D27093" w:rsidP="00D27093">
            <w:pPr>
              <w:rPr>
                <w:i/>
                <w:iCs/>
              </w:rPr>
            </w:pPr>
            <w:r w:rsidRPr="00F4692C">
              <w:rPr>
                <w:b/>
              </w:rPr>
              <w:t>Názov koncovej služby</w:t>
            </w:r>
          </w:p>
        </w:tc>
        <w:tc>
          <w:tcPr>
            <w:tcW w:w="1493" w:type="dxa"/>
            <w:shd w:val="clear" w:color="auto" w:fill="C0C0C0"/>
          </w:tcPr>
          <w:p w:rsidR="00D27093" w:rsidRPr="00F4692C" w:rsidRDefault="00D27093" w:rsidP="00D27093">
            <w:pPr>
              <w:rPr>
                <w:b/>
              </w:rPr>
            </w:pPr>
            <w:r w:rsidRPr="00F4692C">
              <w:rPr>
                <w:b/>
              </w:rPr>
              <w:t>Úroveň elektronizácie</w:t>
            </w:r>
            <w:r>
              <w:rPr>
                <w:b/>
              </w:rPr>
              <w:t xml:space="preserve"> – pre C odhad počtu podaní</w:t>
            </w:r>
          </w:p>
        </w:tc>
      </w:tr>
      <w:tr w:rsidR="00D27093" w:rsidRPr="005C4B9C" w:rsidTr="00D27093">
        <w:trPr>
          <w:trHeight w:val="20"/>
        </w:trPr>
        <w:tc>
          <w:tcPr>
            <w:tcW w:w="3956" w:type="dxa"/>
          </w:tcPr>
          <w:p w:rsidR="00D27093" w:rsidRPr="0021424E" w:rsidRDefault="00D27093" w:rsidP="00D27093">
            <w:pPr>
              <w:rPr>
                <w:szCs w:val="22"/>
              </w:rPr>
            </w:pPr>
            <w:r w:rsidRPr="005C4B9C">
              <w:rPr>
                <w:b/>
                <w:szCs w:val="22"/>
              </w:rPr>
              <w:t>6.1.</w:t>
            </w:r>
            <w:r w:rsidRPr="005C4B9C">
              <w:rPr>
                <w:szCs w:val="22"/>
              </w:rPr>
              <w:t xml:space="preserve"> Predpokladá predložený návrh zmenu existujúcich </w:t>
            </w:r>
            <w:r>
              <w:rPr>
                <w:szCs w:val="22"/>
              </w:rPr>
              <w:t>koncových</w:t>
            </w:r>
            <w:r w:rsidRPr="005C4B9C">
              <w:rPr>
                <w:szCs w:val="22"/>
              </w:rPr>
              <w:t xml:space="preserve"> služieb verejnej správy </w:t>
            </w:r>
            <w:r>
              <w:rPr>
                <w:szCs w:val="22"/>
              </w:rPr>
              <w:t>,</w:t>
            </w:r>
            <w:r w:rsidRPr="005C4B9C">
              <w:rPr>
                <w:szCs w:val="22"/>
              </w:rPr>
              <w:t>vytvorenie nových služieb</w:t>
            </w:r>
            <w:r>
              <w:rPr>
                <w:szCs w:val="22"/>
              </w:rPr>
              <w:t xml:space="preserve"> pre občana alebo podnikateľa alebo má vplyv na zvýšené používanie existujúcich služieb</w:t>
            </w:r>
            <w:r w:rsidRPr="005C4B9C">
              <w:rPr>
                <w:szCs w:val="22"/>
              </w:rPr>
              <w:t>?</w:t>
            </w:r>
          </w:p>
        </w:tc>
        <w:tc>
          <w:tcPr>
            <w:tcW w:w="1446" w:type="dxa"/>
          </w:tcPr>
          <w:p w:rsidR="00D27093" w:rsidRPr="005C4B9C" w:rsidRDefault="00D27093" w:rsidP="00D27093">
            <w:pPr>
              <w:jc w:val="center"/>
              <w:rPr>
                <w:b/>
                <w:sz w:val="22"/>
                <w:szCs w:val="22"/>
              </w:rPr>
            </w:pPr>
          </w:p>
        </w:tc>
        <w:tc>
          <w:tcPr>
            <w:tcW w:w="1134" w:type="dxa"/>
          </w:tcPr>
          <w:p w:rsidR="00D27093" w:rsidRPr="005C4B9C" w:rsidRDefault="00D27093" w:rsidP="00D27093">
            <w:pPr>
              <w:jc w:val="center"/>
              <w:rPr>
                <w:b/>
                <w:sz w:val="22"/>
                <w:szCs w:val="22"/>
              </w:rPr>
            </w:pPr>
          </w:p>
        </w:tc>
        <w:tc>
          <w:tcPr>
            <w:tcW w:w="1342" w:type="dxa"/>
            <w:gridSpan w:val="2"/>
          </w:tcPr>
          <w:p w:rsidR="00D27093" w:rsidRPr="005C4B9C" w:rsidRDefault="00D27093" w:rsidP="00D27093">
            <w:pPr>
              <w:jc w:val="both"/>
              <w:rPr>
                <w:b/>
                <w:sz w:val="22"/>
                <w:szCs w:val="22"/>
              </w:rPr>
            </w:pPr>
          </w:p>
        </w:tc>
        <w:tc>
          <w:tcPr>
            <w:tcW w:w="1493" w:type="dxa"/>
          </w:tcPr>
          <w:p w:rsidR="00D27093" w:rsidRPr="005C4B9C" w:rsidRDefault="00D27093" w:rsidP="00D27093">
            <w:pPr>
              <w:rPr>
                <w:b/>
                <w:i/>
                <w:sz w:val="22"/>
                <w:szCs w:val="22"/>
              </w:rPr>
            </w:pPr>
          </w:p>
        </w:tc>
      </w:tr>
      <w:tr w:rsidR="00D27093" w:rsidRPr="005C4B9C" w:rsidTr="00D27093">
        <w:trPr>
          <w:trHeight w:val="20"/>
        </w:trPr>
        <w:tc>
          <w:tcPr>
            <w:tcW w:w="3956" w:type="dxa"/>
            <w:shd w:val="clear" w:color="auto" w:fill="C0C0C0"/>
            <w:vAlign w:val="center"/>
          </w:tcPr>
          <w:p w:rsidR="00D27093" w:rsidRPr="00F4692C" w:rsidRDefault="00D27093" w:rsidP="00D27093">
            <w:pPr>
              <w:jc w:val="center"/>
              <w:rPr>
                <w:b/>
              </w:rPr>
            </w:pPr>
            <w:r w:rsidRPr="00F4692C">
              <w:rPr>
                <w:b/>
              </w:rPr>
              <w:t>Aplikačná a technologická vrstva</w:t>
            </w:r>
          </w:p>
        </w:tc>
        <w:tc>
          <w:tcPr>
            <w:tcW w:w="1446" w:type="dxa"/>
            <w:shd w:val="clear" w:color="auto" w:fill="C0C0C0"/>
          </w:tcPr>
          <w:p w:rsidR="00D27093" w:rsidRPr="00F4692C" w:rsidRDefault="00D27093" w:rsidP="00D27093">
            <w:pPr>
              <w:jc w:val="center"/>
              <w:rPr>
                <w:b/>
              </w:rPr>
            </w:pPr>
            <w:r w:rsidRPr="00F4692C">
              <w:rPr>
                <w:b/>
              </w:rPr>
              <w:t>A – nový systém</w:t>
            </w:r>
          </w:p>
          <w:p w:rsidR="00D27093" w:rsidRPr="00F4692C" w:rsidRDefault="00D27093" w:rsidP="00D27093">
            <w:pPr>
              <w:jc w:val="center"/>
              <w:rPr>
                <w:b/>
              </w:rPr>
            </w:pPr>
            <w:r w:rsidRPr="00F4692C">
              <w:rPr>
                <w:b/>
              </w:rPr>
              <w:t>B – zmena systému</w:t>
            </w:r>
          </w:p>
        </w:tc>
        <w:tc>
          <w:tcPr>
            <w:tcW w:w="1134" w:type="dxa"/>
            <w:shd w:val="clear" w:color="auto" w:fill="C0C0C0"/>
            <w:vAlign w:val="center"/>
          </w:tcPr>
          <w:p w:rsidR="00D27093" w:rsidRPr="00F4692C" w:rsidRDefault="00D27093" w:rsidP="00D27093">
            <w:pPr>
              <w:jc w:val="center"/>
              <w:rPr>
                <w:b/>
              </w:rPr>
            </w:pPr>
            <w:r w:rsidRPr="00F4692C">
              <w:rPr>
                <w:b/>
              </w:rPr>
              <w:t>Kód systému</w:t>
            </w:r>
          </w:p>
        </w:tc>
        <w:tc>
          <w:tcPr>
            <w:tcW w:w="1342" w:type="dxa"/>
            <w:gridSpan w:val="2"/>
            <w:shd w:val="clear" w:color="auto" w:fill="C0C0C0"/>
            <w:vAlign w:val="center"/>
          </w:tcPr>
          <w:p w:rsidR="00D27093" w:rsidRPr="00F4692C" w:rsidRDefault="00D27093" w:rsidP="00D27093">
            <w:pPr>
              <w:jc w:val="center"/>
              <w:rPr>
                <w:b/>
              </w:rPr>
            </w:pPr>
            <w:r w:rsidRPr="00F4692C">
              <w:rPr>
                <w:b/>
              </w:rPr>
              <w:t>Názov systému</w:t>
            </w:r>
          </w:p>
        </w:tc>
        <w:tc>
          <w:tcPr>
            <w:tcW w:w="1493" w:type="dxa"/>
            <w:shd w:val="clear" w:color="auto" w:fill="C0C0C0"/>
            <w:vAlign w:val="center"/>
          </w:tcPr>
          <w:p w:rsidR="00D27093" w:rsidRPr="00F4692C" w:rsidRDefault="00D27093" w:rsidP="00D27093">
            <w:pPr>
              <w:jc w:val="center"/>
              <w:rPr>
                <w:b/>
              </w:rPr>
            </w:pPr>
            <w:r w:rsidRPr="00F4692C">
              <w:rPr>
                <w:b/>
              </w:rPr>
              <w:t xml:space="preserve">Vo vládnom </w:t>
            </w:r>
            <w:proofErr w:type="spellStart"/>
            <w:r w:rsidRPr="00F4692C">
              <w:rPr>
                <w:b/>
              </w:rPr>
              <w:t>cloude</w:t>
            </w:r>
            <w:proofErr w:type="spellEnd"/>
            <w:r w:rsidRPr="00F4692C">
              <w:rPr>
                <w:b/>
              </w:rPr>
              <w:t xml:space="preserve"> – áno / nie</w:t>
            </w:r>
          </w:p>
        </w:tc>
      </w:tr>
      <w:tr w:rsidR="00D27093" w:rsidRPr="005C4B9C" w:rsidTr="00D27093">
        <w:trPr>
          <w:trHeight w:val="20"/>
        </w:trPr>
        <w:tc>
          <w:tcPr>
            <w:tcW w:w="3956" w:type="dxa"/>
          </w:tcPr>
          <w:p w:rsidR="00D27093" w:rsidRPr="005C4B9C" w:rsidRDefault="00D27093" w:rsidP="00D27093">
            <w:r w:rsidRPr="005C4B9C">
              <w:rPr>
                <w:b/>
              </w:rPr>
              <w:t>6.2.</w:t>
            </w:r>
            <w:r w:rsidRPr="005C4B9C">
              <w:t xml:space="preserve"> Predpokladá predložený návrh zmenu existujúceho alebo vytvorenie nového informačného systému verejnej správy?</w:t>
            </w:r>
            <w:r>
              <w:t xml:space="preserve"> Predpokladá správca umiestnenie informačného systému vo vládnom </w:t>
            </w:r>
            <w:proofErr w:type="spellStart"/>
            <w:r>
              <w:t>cloude</w:t>
            </w:r>
            <w:proofErr w:type="spellEnd"/>
            <w:r>
              <w:t>?</w:t>
            </w:r>
          </w:p>
        </w:tc>
        <w:tc>
          <w:tcPr>
            <w:tcW w:w="1446" w:type="dxa"/>
          </w:tcPr>
          <w:p w:rsidR="00D27093" w:rsidRPr="00034CD1" w:rsidRDefault="00D27093" w:rsidP="00D27093">
            <w:pPr>
              <w:jc w:val="center"/>
              <w:rPr>
                <w:i/>
                <w:iCs/>
              </w:rPr>
            </w:pPr>
            <w:r w:rsidRPr="00034CD1">
              <w:rPr>
                <w:i/>
                <w:iCs/>
              </w:rPr>
              <w:t>B</w:t>
            </w: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r w:rsidRPr="00034CD1">
              <w:rPr>
                <w:i/>
                <w:iCs/>
              </w:rPr>
              <w:t>B</w:t>
            </w:r>
          </w:p>
          <w:p w:rsidR="00D27093" w:rsidRPr="00034CD1" w:rsidRDefault="00D27093" w:rsidP="00D27093">
            <w:pPr>
              <w:jc w:val="center"/>
              <w:rPr>
                <w:i/>
                <w:iCs/>
              </w:rPr>
            </w:pPr>
          </w:p>
          <w:p w:rsidR="00D27093" w:rsidRPr="00034CD1" w:rsidRDefault="00D27093" w:rsidP="00D27093">
            <w:pPr>
              <w:jc w:val="center"/>
              <w:rPr>
                <w:i/>
                <w:iCs/>
              </w:rPr>
            </w:pPr>
            <w:r w:rsidRPr="00034CD1">
              <w:rPr>
                <w:i/>
                <w:iCs/>
              </w:rPr>
              <w:t>B</w:t>
            </w:r>
          </w:p>
        </w:tc>
        <w:tc>
          <w:tcPr>
            <w:tcW w:w="1134" w:type="dxa"/>
          </w:tcPr>
          <w:p w:rsidR="00D27093" w:rsidRPr="00034CD1" w:rsidRDefault="00D27093" w:rsidP="00D27093">
            <w:pPr>
              <w:jc w:val="center"/>
              <w:rPr>
                <w:i/>
                <w:iCs/>
              </w:rPr>
            </w:pPr>
            <w:r w:rsidRPr="00034CD1">
              <w:rPr>
                <w:i/>
                <w:iCs/>
              </w:rPr>
              <w:t>isvs_7714</w:t>
            </w: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r w:rsidRPr="00034CD1">
              <w:rPr>
                <w:i/>
                <w:iCs/>
              </w:rPr>
              <w:t>isvs_7149</w:t>
            </w:r>
          </w:p>
          <w:p w:rsidR="00D27093" w:rsidRPr="00034CD1" w:rsidRDefault="00D27093" w:rsidP="00D27093">
            <w:pPr>
              <w:jc w:val="center"/>
              <w:rPr>
                <w:i/>
                <w:iCs/>
              </w:rPr>
            </w:pPr>
          </w:p>
          <w:p w:rsidR="00D27093" w:rsidRPr="00034CD1" w:rsidRDefault="00D27093" w:rsidP="00D27093">
            <w:pPr>
              <w:jc w:val="center"/>
              <w:rPr>
                <w:i/>
                <w:iCs/>
              </w:rPr>
            </w:pPr>
            <w:r w:rsidRPr="00034CD1">
              <w:rPr>
                <w:i/>
                <w:iCs/>
              </w:rPr>
              <w:t>isvs_7213</w:t>
            </w:r>
          </w:p>
        </w:tc>
        <w:tc>
          <w:tcPr>
            <w:tcW w:w="1342" w:type="dxa"/>
            <w:gridSpan w:val="2"/>
          </w:tcPr>
          <w:p w:rsidR="00D27093" w:rsidRPr="00034CD1" w:rsidRDefault="00D27093" w:rsidP="00D27093">
            <w:pPr>
              <w:jc w:val="center"/>
              <w:rPr>
                <w:i/>
                <w:iCs/>
              </w:rPr>
            </w:pPr>
            <w:r w:rsidRPr="00034CD1">
              <w:rPr>
                <w:i/>
                <w:iCs/>
              </w:rPr>
              <w:t>Integrovaný systém finančnej správy – správa daní (ISFS-SD)</w:t>
            </w:r>
          </w:p>
          <w:p w:rsidR="00D27093" w:rsidRPr="00034CD1" w:rsidRDefault="00D27093" w:rsidP="00D27093">
            <w:pPr>
              <w:jc w:val="center"/>
              <w:rPr>
                <w:i/>
                <w:iCs/>
              </w:rPr>
            </w:pPr>
          </w:p>
          <w:p w:rsidR="00D27093" w:rsidRPr="00034CD1" w:rsidRDefault="00D27093" w:rsidP="00D27093">
            <w:pPr>
              <w:jc w:val="center"/>
              <w:rPr>
                <w:i/>
                <w:iCs/>
              </w:rPr>
            </w:pPr>
            <w:r w:rsidRPr="00034CD1">
              <w:rPr>
                <w:i/>
                <w:iCs/>
              </w:rPr>
              <w:t>DR SCAN</w:t>
            </w:r>
          </w:p>
          <w:p w:rsidR="00D27093" w:rsidRPr="00034CD1" w:rsidRDefault="00D27093" w:rsidP="00D27093">
            <w:pPr>
              <w:jc w:val="center"/>
              <w:rPr>
                <w:i/>
                <w:iCs/>
              </w:rPr>
            </w:pPr>
          </w:p>
          <w:p w:rsidR="00D27093" w:rsidRPr="00034CD1" w:rsidRDefault="00D27093" w:rsidP="00D27093">
            <w:pPr>
              <w:jc w:val="center"/>
              <w:rPr>
                <w:i/>
                <w:iCs/>
              </w:rPr>
            </w:pPr>
            <w:r w:rsidRPr="00034CD1">
              <w:rPr>
                <w:i/>
                <w:iCs/>
              </w:rPr>
              <w:t>Portál Finančnej správy (PFS)</w:t>
            </w:r>
          </w:p>
          <w:p w:rsidR="00D27093" w:rsidRPr="00034CD1" w:rsidRDefault="00D27093" w:rsidP="00D27093">
            <w:pPr>
              <w:jc w:val="center"/>
              <w:rPr>
                <w:i/>
                <w:iCs/>
              </w:rPr>
            </w:pPr>
          </w:p>
        </w:tc>
        <w:tc>
          <w:tcPr>
            <w:tcW w:w="1493" w:type="dxa"/>
          </w:tcPr>
          <w:p w:rsidR="00D27093" w:rsidRPr="00034CD1" w:rsidRDefault="00D27093" w:rsidP="00D27093">
            <w:pPr>
              <w:jc w:val="center"/>
              <w:rPr>
                <w:i/>
                <w:iCs/>
              </w:rPr>
            </w:pPr>
            <w:r w:rsidRPr="00034CD1">
              <w:rPr>
                <w:i/>
                <w:iCs/>
              </w:rPr>
              <w:t>Nie</w:t>
            </w: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p>
          <w:p w:rsidR="00D27093" w:rsidRPr="00034CD1" w:rsidRDefault="00D27093" w:rsidP="00D27093">
            <w:pPr>
              <w:jc w:val="center"/>
              <w:rPr>
                <w:i/>
                <w:iCs/>
              </w:rPr>
            </w:pPr>
            <w:r w:rsidRPr="00034CD1">
              <w:rPr>
                <w:i/>
                <w:iCs/>
              </w:rPr>
              <w:t>Nie</w:t>
            </w:r>
          </w:p>
          <w:p w:rsidR="00D27093" w:rsidRPr="00034CD1" w:rsidRDefault="00D27093" w:rsidP="00D27093">
            <w:pPr>
              <w:jc w:val="center"/>
              <w:rPr>
                <w:i/>
                <w:iCs/>
              </w:rPr>
            </w:pPr>
          </w:p>
          <w:p w:rsidR="00D27093" w:rsidRPr="00034CD1" w:rsidRDefault="00D27093" w:rsidP="00D27093">
            <w:pPr>
              <w:jc w:val="center"/>
              <w:rPr>
                <w:i/>
                <w:iCs/>
              </w:rPr>
            </w:pPr>
            <w:r w:rsidRPr="00034CD1">
              <w:rPr>
                <w:i/>
                <w:iCs/>
              </w:rPr>
              <w:t>Nie</w:t>
            </w:r>
          </w:p>
          <w:p w:rsidR="00D27093" w:rsidRPr="00034CD1" w:rsidRDefault="00D27093" w:rsidP="00D27093">
            <w:pPr>
              <w:jc w:val="center"/>
              <w:rPr>
                <w:i/>
                <w:iCs/>
              </w:rPr>
            </w:pPr>
          </w:p>
        </w:tc>
      </w:tr>
      <w:tr w:rsidR="00D27093" w:rsidRPr="005C4B9C" w:rsidTr="00D27093">
        <w:trPr>
          <w:trHeight w:val="20"/>
        </w:trPr>
        <w:tc>
          <w:tcPr>
            <w:tcW w:w="3956" w:type="dxa"/>
            <w:shd w:val="clear" w:color="auto" w:fill="BFBFBF"/>
            <w:vAlign w:val="center"/>
          </w:tcPr>
          <w:p w:rsidR="00D27093" w:rsidRPr="00F4692C" w:rsidRDefault="00D27093" w:rsidP="00D27093">
            <w:pPr>
              <w:spacing w:line="20" w:lineRule="atLeast"/>
              <w:ind w:hanging="55"/>
              <w:jc w:val="center"/>
              <w:rPr>
                <w:b/>
              </w:rPr>
            </w:pPr>
            <w:r w:rsidRPr="00F4692C">
              <w:rPr>
                <w:b/>
              </w:rPr>
              <w:t>Financovanie procesu informatizácie</w:t>
            </w:r>
          </w:p>
        </w:tc>
        <w:tc>
          <w:tcPr>
            <w:tcW w:w="1446" w:type="dxa"/>
            <w:shd w:val="clear" w:color="auto" w:fill="BFBFBF"/>
            <w:vAlign w:val="center"/>
          </w:tcPr>
          <w:p w:rsidR="00D27093" w:rsidRPr="00F4692C" w:rsidRDefault="00D27093" w:rsidP="00D27093">
            <w:pPr>
              <w:jc w:val="center"/>
              <w:rPr>
                <w:b/>
                <w:i/>
                <w:iCs/>
              </w:rPr>
            </w:pPr>
            <w:r w:rsidRPr="00F4692C">
              <w:rPr>
                <w:b/>
              </w:rPr>
              <w:t>Rezortná úroveň</w:t>
            </w:r>
          </w:p>
        </w:tc>
        <w:tc>
          <w:tcPr>
            <w:tcW w:w="1984" w:type="dxa"/>
            <w:gridSpan w:val="2"/>
            <w:shd w:val="clear" w:color="auto" w:fill="BFBFBF"/>
            <w:vAlign w:val="center"/>
          </w:tcPr>
          <w:p w:rsidR="00D27093" w:rsidRPr="00F4692C" w:rsidRDefault="00D27093" w:rsidP="00D27093">
            <w:pPr>
              <w:jc w:val="center"/>
              <w:rPr>
                <w:b/>
                <w:i/>
                <w:iCs/>
              </w:rPr>
            </w:pPr>
            <w:r w:rsidRPr="00F4692C">
              <w:rPr>
                <w:b/>
              </w:rPr>
              <w:t>Nadrezortná úroveň</w:t>
            </w:r>
          </w:p>
          <w:p w:rsidR="00D27093" w:rsidRPr="00F4692C" w:rsidRDefault="00D27093" w:rsidP="00D27093">
            <w:pPr>
              <w:jc w:val="center"/>
              <w:rPr>
                <w:b/>
              </w:rPr>
            </w:pPr>
          </w:p>
        </w:tc>
        <w:tc>
          <w:tcPr>
            <w:tcW w:w="1985" w:type="dxa"/>
            <w:gridSpan w:val="2"/>
            <w:shd w:val="clear" w:color="auto" w:fill="BFBFBF"/>
            <w:vAlign w:val="center"/>
          </w:tcPr>
          <w:p w:rsidR="00D27093" w:rsidRPr="00F4692C" w:rsidRDefault="00D27093" w:rsidP="00D27093">
            <w:pPr>
              <w:rPr>
                <w:b/>
              </w:rPr>
            </w:pPr>
            <w:r w:rsidRPr="00F4692C">
              <w:rPr>
                <w:b/>
              </w:rPr>
              <w:t>A - z prostriedkov EÚ   B - z ďalších zdrojov financovania</w:t>
            </w:r>
          </w:p>
        </w:tc>
      </w:tr>
      <w:tr w:rsidR="00D27093" w:rsidRPr="005C4B9C" w:rsidTr="00D27093">
        <w:trPr>
          <w:trHeight w:val="20"/>
        </w:trPr>
        <w:tc>
          <w:tcPr>
            <w:tcW w:w="3956" w:type="dxa"/>
            <w:tcBorders>
              <w:bottom w:val="single" w:sz="4" w:space="0" w:color="auto"/>
            </w:tcBorders>
          </w:tcPr>
          <w:p w:rsidR="00D27093" w:rsidRPr="005C4B9C" w:rsidRDefault="00D27093" w:rsidP="00D27093">
            <w:pPr>
              <w:jc w:val="both"/>
              <w:rPr>
                <w:szCs w:val="22"/>
              </w:rPr>
            </w:pPr>
            <w:r w:rsidRPr="005C4B9C">
              <w:rPr>
                <w:b/>
                <w:szCs w:val="22"/>
              </w:rPr>
              <w:t>6.3.</w:t>
            </w:r>
            <w:r w:rsidRPr="005C4B9C">
              <w:rPr>
                <w:szCs w:val="22"/>
              </w:rPr>
              <w:t xml:space="preserve"> Vyžaduje si proces informatizácie  finančné investície?</w:t>
            </w:r>
          </w:p>
          <w:p w:rsidR="00D27093" w:rsidRPr="005C4B9C" w:rsidRDefault="00D27093" w:rsidP="00D27093">
            <w:pPr>
              <w:spacing w:line="20" w:lineRule="atLeast"/>
              <w:jc w:val="both"/>
            </w:pPr>
            <w:r w:rsidRPr="005C4B9C">
              <w:rPr>
                <w:i/>
                <w:iCs/>
                <w:szCs w:val="22"/>
              </w:rPr>
              <w:t>(Uveďte príslušnú úroveň financovania a kvantifikáciu finančných výdavkov uveďte  v analýze vplyvov na rozpočet verejnej správy.)</w:t>
            </w:r>
          </w:p>
        </w:tc>
        <w:tc>
          <w:tcPr>
            <w:tcW w:w="1446" w:type="dxa"/>
            <w:tcBorders>
              <w:bottom w:val="single" w:sz="4" w:space="0" w:color="auto"/>
            </w:tcBorders>
          </w:tcPr>
          <w:p w:rsidR="00D27093" w:rsidRPr="00034CD1" w:rsidRDefault="00D27093" w:rsidP="00D27093">
            <w:pPr>
              <w:jc w:val="center"/>
              <w:rPr>
                <w:bCs/>
                <w:i/>
              </w:rPr>
            </w:pPr>
          </w:p>
          <w:p w:rsidR="00D27093" w:rsidRPr="00034CD1" w:rsidRDefault="00D27093" w:rsidP="00D27093">
            <w:pPr>
              <w:jc w:val="center"/>
              <w:rPr>
                <w:i/>
                <w:iCs/>
              </w:rPr>
            </w:pPr>
            <w:r w:rsidRPr="00034CD1">
              <w:rPr>
                <w:bCs/>
                <w:i/>
              </w:rPr>
              <w:t>X</w:t>
            </w:r>
          </w:p>
        </w:tc>
        <w:tc>
          <w:tcPr>
            <w:tcW w:w="1984" w:type="dxa"/>
            <w:gridSpan w:val="2"/>
            <w:tcBorders>
              <w:bottom w:val="single" w:sz="4" w:space="0" w:color="auto"/>
            </w:tcBorders>
          </w:tcPr>
          <w:p w:rsidR="00D27093" w:rsidRPr="00034CD1" w:rsidRDefault="00D27093" w:rsidP="00D27093">
            <w:pPr>
              <w:rPr>
                <w:i/>
                <w:iCs/>
              </w:rPr>
            </w:pPr>
          </w:p>
        </w:tc>
        <w:tc>
          <w:tcPr>
            <w:tcW w:w="1985" w:type="dxa"/>
            <w:gridSpan w:val="2"/>
            <w:tcBorders>
              <w:bottom w:val="single" w:sz="4" w:space="0" w:color="auto"/>
            </w:tcBorders>
          </w:tcPr>
          <w:p w:rsidR="00D27093" w:rsidRPr="00034CD1" w:rsidRDefault="00D27093" w:rsidP="00D27093">
            <w:pPr>
              <w:jc w:val="center"/>
              <w:rPr>
                <w:i/>
                <w:iCs/>
              </w:rPr>
            </w:pPr>
          </w:p>
          <w:p w:rsidR="00D27093" w:rsidRPr="00034CD1" w:rsidRDefault="00D27093" w:rsidP="00D27093">
            <w:pPr>
              <w:jc w:val="center"/>
              <w:rPr>
                <w:i/>
                <w:iCs/>
              </w:rPr>
            </w:pPr>
            <w:r w:rsidRPr="00034CD1">
              <w:rPr>
                <w:i/>
                <w:iCs/>
              </w:rPr>
              <w:t>B</w:t>
            </w:r>
          </w:p>
          <w:p w:rsidR="00D27093" w:rsidRPr="00034CD1" w:rsidRDefault="00D27093" w:rsidP="00D27093">
            <w:pPr>
              <w:jc w:val="center"/>
              <w:rPr>
                <w:i/>
                <w:iCs/>
              </w:rPr>
            </w:pPr>
          </w:p>
        </w:tc>
      </w:tr>
      <w:tr w:rsidR="00D27093" w:rsidRPr="005C4B9C" w:rsidTr="00D27093">
        <w:trPr>
          <w:trHeight w:val="20"/>
        </w:trPr>
        <w:tc>
          <w:tcPr>
            <w:tcW w:w="9371" w:type="dxa"/>
            <w:gridSpan w:val="6"/>
            <w:shd w:val="pct25" w:color="auto" w:fill="auto"/>
          </w:tcPr>
          <w:p w:rsidR="00D27093" w:rsidRPr="00F14E8D" w:rsidRDefault="00D27093" w:rsidP="00D27093">
            <w:pPr>
              <w:spacing w:line="20" w:lineRule="atLeast"/>
              <w:ind w:hanging="55"/>
              <w:jc w:val="center"/>
              <w:rPr>
                <w:i/>
                <w:iCs/>
                <w:highlight w:val="darkGray"/>
              </w:rPr>
            </w:pPr>
            <w:r w:rsidRPr="00F14E8D">
              <w:rPr>
                <w:b/>
              </w:rPr>
              <w:t>Zjednodušenie prístupu ku konaniu a odstraňovanie byrokracie</w:t>
            </w:r>
          </w:p>
        </w:tc>
      </w:tr>
      <w:tr w:rsidR="00D27093" w:rsidRPr="005C4B9C" w:rsidTr="00D27093">
        <w:trPr>
          <w:trHeight w:val="20"/>
        </w:trPr>
        <w:tc>
          <w:tcPr>
            <w:tcW w:w="9371" w:type="dxa"/>
            <w:gridSpan w:val="6"/>
            <w:shd w:val="pct25" w:color="auto" w:fill="auto"/>
          </w:tcPr>
          <w:p w:rsidR="00D27093" w:rsidRPr="00F4692C" w:rsidRDefault="00D27093" w:rsidP="00D27093">
            <w:pPr>
              <w:spacing w:line="20" w:lineRule="atLeast"/>
              <w:ind w:hanging="55"/>
              <w:jc w:val="center"/>
              <w:rPr>
                <w:b/>
              </w:rPr>
            </w:pPr>
            <w:r>
              <w:rPr>
                <w:b/>
              </w:rPr>
              <w:t>Elektronické konanie</w:t>
            </w:r>
          </w:p>
        </w:tc>
      </w:tr>
      <w:tr w:rsidR="00D27093" w:rsidRPr="005C4B9C" w:rsidTr="00D27093">
        <w:trPr>
          <w:trHeight w:val="20"/>
        </w:trPr>
        <w:tc>
          <w:tcPr>
            <w:tcW w:w="3956" w:type="dxa"/>
          </w:tcPr>
          <w:p w:rsidR="00D27093" w:rsidRPr="005C4B9C" w:rsidRDefault="00D27093" w:rsidP="00D27093">
            <w:pPr>
              <w:jc w:val="both"/>
              <w:rPr>
                <w:b/>
                <w:szCs w:val="22"/>
              </w:rPr>
            </w:pPr>
            <w:r>
              <w:rPr>
                <w:b/>
                <w:szCs w:val="22"/>
              </w:rPr>
              <w:lastRenderedPageBreak/>
              <w:t xml:space="preserve">6.4.1. </w:t>
            </w:r>
            <w:r w:rsidRPr="00FA16FE">
              <w:rPr>
                <w:szCs w:val="22"/>
              </w:rPr>
              <w:t xml:space="preserve">Predpokladá predložený návrh </w:t>
            </w:r>
            <w:r>
              <w:rPr>
                <w:szCs w:val="22"/>
              </w:rPr>
              <w:t>vedenie konania o právach, právom chránených záujmoch alebo povinnostiach fyzických osôb a právnických osôb</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1051428338"/>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sidRPr="00F04CCD">
                        <w:rPr>
                          <w:rFonts w:ascii="MS Mincho" w:eastAsia="MS Mincho" w:hAnsi="MS Mincho" w:cs="MS Mincho" w:hint="eastAsia"/>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200025544"/>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Nie</w:t>
                  </w:r>
                </w:p>
              </w:tc>
            </w:tr>
          </w:tbl>
          <w:p w:rsidR="00D27093" w:rsidRPr="00FA16FE" w:rsidRDefault="00D27093" w:rsidP="00D27093"/>
        </w:tc>
        <w:tc>
          <w:tcPr>
            <w:tcW w:w="3969" w:type="dxa"/>
            <w:gridSpan w:val="4"/>
            <w:shd w:val="clear" w:color="auto" w:fill="auto"/>
          </w:tcPr>
          <w:p w:rsidR="00D27093" w:rsidRPr="005C4B9C" w:rsidRDefault="00D27093" w:rsidP="00D27093">
            <w:pPr>
              <w:rPr>
                <w:i/>
                <w:iCs/>
              </w:rPr>
            </w:pPr>
            <w:r w:rsidRPr="00FA16FE">
              <w:rPr>
                <w:i/>
                <w:iCs/>
                <w:szCs w:val="22"/>
              </w:rPr>
              <w:t xml:space="preserve">(Uveďte, o aké </w:t>
            </w:r>
            <w:r>
              <w:rPr>
                <w:i/>
                <w:iCs/>
                <w:szCs w:val="22"/>
              </w:rPr>
              <w:t>konanie ide.</w:t>
            </w:r>
            <w:r w:rsidRPr="00FA16FE">
              <w:rPr>
                <w:i/>
                <w:iCs/>
                <w:szCs w:val="22"/>
              </w:rPr>
              <w:t>)</w:t>
            </w:r>
          </w:p>
        </w:tc>
      </w:tr>
      <w:tr w:rsidR="00D27093" w:rsidRPr="005C4B9C" w:rsidTr="00D27093">
        <w:trPr>
          <w:trHeight w:val="20"/>
        </w:trPr>
        <w:tc>
          <w:tcPr>
            <w:tcW w:w="3956" w:type="dxa"/>
          </w:tcPr>
          <w:p w:rsidR="00D27093" w:rsidRPr="005C4B9C" w:rsidRDefault="00D27093" w:rsidP="00D27093">
            <w:pPr>
              <w:jc w:val="both"/>
              <w:rPr>
                <w:b/>
                <w:szCs w:val="22"/>
              </w:rPr>
            </w:pPr>
            <w:r>
              <w:rPr>
                <w:b/>
                <w:szCs w:val="22"/>
              </w:rPr>
              <w:t xml:space="preserve">6.4.2. </w:t>
            </w:r>
            <w:r>
              <w:rPr>
                <w:szCs w:val="22"/>
              </w:rPr>
              <w:t>Je dané konanie možné v celku vykonať elektronicky</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945843635"/>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31386459"/>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sidRPr="00F04CCD">
                        <w:rPr>
                          <w:rFonts w:ascii="MS Mincho" w:eastAsia="MS Mincho" w:hAnsi="MS Mincho" w:cs="MS Mincho" w:hint="eastAsia"/>
                        </w:rPr>
                        <w:t>☐</w:t>
                      </w:r>
                    </w:p>
                  </w:tc>
                </w:sdtContent>
              </w:sdt>
              <w:tc>
                <w:tcPr>
                  <w:tcW w:w="8545" w:type="dxa"/>
                </w:tcPr>
                <w:p w:rsidR="00D27093" w:rsidRPr="00F04CCD" w:rsidRDefault="00D27093" w:rsidP="00D27093">
                  <w:pPr>
                    <w:rPr>
                      <w:b/>
                    </w:rPr>
                  </w:pPr>
                  <w:r>
                    <w:rPr>
                      <w:b/>
                    </w:rPr>
                    <w:t>Nie</w:t>
                  </w:r>
                </w:p>
              </w:tc>
            </w:tr>
          </w:tbl>
          <w:p w:rsidR="00D27093" w:rsidRPr="00FA16FE" w:rsidRDefault="00D27093" w:rsidP="00D27093"/>
        </w:tc>
        <w:tc>
          <w:tcPr>
            <w:tcW w:w="3969" w:type="dxa"/>
            <w:gridSpan w:val="4"/>
            <w:shd w:val="clear" w:color="auto" w:fill="auto"/>
          </w:tcPr>
          <w:p w:rsidR="00D27093" w:rsidRPr="005C4B9C" w:rsidRDefault="00D27093" w:rsidP="00D27093">
            <w:pPr>
              <w:rPr>
                <w:i/>
                <w:iCs/>
              </w:rPr>
            </w:pPr>
            <w:r w:rsidRPr="00FA16FE">
              <w:rPr>
                <w:i/>
                <w:iCs/>
                <w:szCs w:val="22"/>
              </w:rPr>
              <w:t>(</w:t>
            </w:r>
            <w:r>
              <w:rPr>
                <w:i/>
                <w:iCs/>
                <w:szCs w:val="22"/>
              </w:rPr>
              <w:t>Ak sú niektoré úkony v konaní, alebo celé konanie viazané na listinnú podobu komunikácie, uveďte o aké ide a z akého dôvodu.</w:t>
            </w:r>
            <w:r w:rsidRPr="00FA16FE">
              <w:rPr>
                <w:i/>
                <w:iCs/>
                <w:szCs w:val="22"/>
              </w:rPr>
              <w:t>)</w:t>
            </w:r>
          </w:p>
        </w:tc>
      </w:tr>
      <w:tr w:rsidR="00D27093" w:rsidRPr="005C4B9C" w:rsidTr="00D27093">
        <w:trPr>
          <w:trHeight w:val="20"/>
        </w:trPr>
        <w:tc>
          <w:tcPr>
            <w:tcW w:w="3956" w:type="dxa"/>
          </w:tcPr>
          <w:p w:rsidR="00D27093" w:rsidRPr="005C4B9C" w:rsidRDefault="00D27093" w:rsidP="00D27093">
            <w:pPr>
              <w:jc w:val="both"/>
              <w:rPr>
                <w:b/>
                <w:szCs w:val="22"/>
              </w:rPr>
            </w:pPr>
            <w:r>
              <w:rPr>
                <w:b/>
                <w:szCs w:val="22"/>
              </w:rPr>
              <w:t xml:space="preserve">6.4.3. </w:t>
            </w:r>
            <w:r>
              <w:rPr>
                <w:szCs w:val="22"/>
              </w:rPr>
              <w:t>Je úprava konania kompatibilná s inštitútmi zákona o e-</w:t>
            </w:r>
            <w:proofErr w:type="spellStart"/>
            <w:r>
              <w:rPr>
                <w:szCs w:val="22"/>
              </w:rPr>
              <w:t>Governmente</w:t>
            </w:r>
            <w:proofErr w:type="spellEnd"/>
            <w:r>
              <w:rPr>
                <w:szCs w:val="22"/>
              </w:rPr>
              <w:t xml:space="preserve"> a je na dané konanie zákon o e-</w:t>
            </w:r>
            <w:proofErr w:type="spellStart"/>
            <w:r>
              <w:rPr>
                <w:szCs w:val="22"/>
              </w:rPr>
              <w:t>Governmente</w:t>
            </w:r>
            <w:proofErr w:type="spellEnd"/>
            <w:r>
              <w:rPr>
                <w:szCs w:val="22"/>
              </w:rPr>
              <w:t xml:space="preserv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812871524"/>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441276830"/>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sidRPr="00F04CCD">
                        <w:rPr>
                          <w:rFonts w:ascii="MS Mincho" w:eastAsia="MS Mincho" w:hAnsi="MS Mincho" w:cs="MS Mincho" w:hint="eastAsia"/>
                        </w:rPr>
                        <w:t>☐</w:t>
                      </w:r>
                    </w:p>
                  </w:tc>
                </w:sdtContent>
              </w:sdt>
              <w:tc>
                <w:tcPr>
                  <w:tcW w:w="8545" w:type="dxa"/>
                </w:tcPr>
                <w:p w:rsidR="00D27093" w:rsidRPr="00F04CCD" w:rsidRDefault="00D27093" w:rsidP="00D27093">
                  <w:pPr>
                    <w:rPr>
                      <w:b/>
                    </w:rPr>
                  </w:pPr>
                  <w:r>
                    <w:rPr>
                      <w:b/>
                    </w:rPr>
                    <w:t>Nie</w:t>
                  </w:r>
                </w:p>
              </w:tc>
            </w:tr>
          </w:tbl>
          <w:p w:rsidR="00D27093" w:rsidRPr="00FA16FE" w:rsidRDefault="00D27093" w:rsidP="00D27093"/>
        </w:tc>
        <w:tc>
          <w:tcPr>
            <w:tcW w:w="3969" w:type="dxa"/>
            <w:gridSpan w:val="4"/>
            <w:shd w:val="clear" w:color="auto" w:fill="auto"/>
          </w:tcPr>
          <w:p w:rsidR="00D27093" w:rsidRPr="005C4B9C" w:rsidRDefault="00D27093" w:rsidP="00D27093">
            <w:pPr>
              <w:rPr>
                <w:i/>
                <w:iCs/>
              </w:rPr>
            </w:pPr>
            <w:r w:rsidRPr="00FA16FE">
              <w:rPr>
                <w:i/>
                <w:iCs/>
                <w:szCs w:val="22"/>
              </w:rPr>
              <w:t>(</w:t>
            </w:r>
            <w:r>
              <w:rPr>
                <w:i/>
                <w:iCs/>
                <w:szCs w:val="22"/>
              </w:rPr>
              <w:t>Ak úprava konania je odlišná od úpravy v zákone o e-</w:t>
            </w:r>
            <w:proofErr w:type="spellStart"/>
            <w:r>
              <w:rPr>
                <w:i/>
                <w:iCs/>
                <w:szCs w:val="22"/>
              </w:rPr>
              <w:t>Governmente</w:t>
            </w:r>
            <w:proofErr w:type="spellEnd"/>
            <w:r>
              <w:rPr>
                <w:i/>
                <w:iCs/>
                <w:szCs w:val="22"/>
              </w:rPr>
              <w:t xml:space="preserve"> alebo ak je použitie zákona o e-</w:t>
            </w:r>
            <w:proofErr w:type="spellStart"/>
            <w:r>
              <w:rPr>
                <w:i/>
                <w:iCs/>
                <w:szCs w:val="22"/>
              </w:rPr>
              <w:t>Governmente</w:t>
            </w:r>
            <w:proofErr w:type="spellEnd"/>
            <w:r>
              <w:rPr>
                <w:i/>
                <w:iCs/>
                <w:szCs w:val="22"/>
              </w:rPr>
              <w:t xml:space="preserve"> vylúčené, uveďte čoho sa to týka a z akého dôvodu.</w:t>
            </w:r>
            <w:r w:rsidRPr="00FA16FE">
              <w:rPr>
                <w:i/>
                <w:iCs/>
                <w:szCs w:val="22"/>
              </w:rPr>
              <w:t>)</w:t>
            </w:r>
          </w:p>
        </w:tc>
      </w:tr>
      <w:tr w:rsidR="00D27093" w:rsidRPr="005C4B9C" w:rsidTr="00D27093">
        <w:trPr>
          <w:trHeight w:val="20"/>
        </w:trPr>
        <w:tc>
          <w:tcPr>
            <w:tcW w:w="9371" w:type="dxa"/>
            <w:gridSpan w:val="6"/>
            <w:shd w:val="clear" w:color="auto" w:fill="BFBFBF" w:themeFill="background1" w:themeFillShade="BF"/>
          </w:tcPr>
          <w:p w:rsidR="00D27093" w:rsidRPr="00F4692C" w:rsidRDefault="00D27093" w:rsidP="00D27093">
            <w:pPr>
              <w:spacing w:line="20" w:lineRule="atLeast"/>
              <w:ind w:hanging="55"/>
              <w:jc w:val="center"/>
              <w:rPr>
                <w:i/>
                <w:iCs/>
              </w:rPr>
            </w:pPr>
            <w:r w:rsidRPr="00F4692C">
              <w:rPr>
                <w:b/>
              </w:rPr>
              <w:t>Zásada „jedenkrát a dosť“</w:t>
            </w:r>
          </w:p>
        </w:tc>
      </w:tr>
      <w:tr w:rsidR="00D27093" w:rsidRPr="005C4B9C" w:rsidTr="00D27093">
        <w:trPr>
          <w:trHeight w:val="20"/>
        </w:trPr>
        <w:tc>
          <w:tcPr>
            <w:tcW w:w="3956" w:type="dxa"/>
          </w:tcPr>
          <w:p w:rsidR="00D27093" w:rsidRPr="005C4B9C" w:rsidRDefault="00D27093" w:rsidP="00D27093">
            <w:pPr>
              <w:jc w:val="both"/>
              <w:rPr>
                <w:b/>
                <w:szCs w:val="22"/>
              </w:rPr>
            </w:pPr>
            <w:r>
              <w:rPr>
                <w:b/>
                <w:szCs w:val="22"/>
              </w:rPr>
              <w:t xml:space="preserve">6.5.1. </w:t>
            </w:r>
            <w:r w:rsidRPr="00F14E8D">
              <w:rPr>
                <w:bCs/>
                <w:szCs w:val="22"/>
              </w:rPr>
              <w:t>Predpokladá predložený návrh predklada</w:t>
            </w:r>
            <w:r>
              <w:rPr>
                <w:bCs/>
                <w:szCs w:val="22"/>
              </w:rPr>
              <w:t>nie</w:t>
            </w:r>
            <w:r w:rsidRPr="00F14E8D">
              <w:rPr>
                <w:bCs/>
                <w:szCs w:val="22"/>
              </w:rPr>
              <w:t xml:space="preserve"> dokument</w:t>
            </w:r>
            <w:r>
              <w:rPr>
                <w:bCs/>
                <w:szCs w:val="22"/>
              </w:rPr>
              <w:t>ov</w:t>
            </w:r>
            <w:r w:rsidRPr="00F14E8D">
              <w:rPr>
                <w:bCs/>
                <w:szCs w:val="22"/>
              </w:rPr>
              <w:t>, informáci</w:t>
            </w:r>
            <w:r>
              <w:rPr>
                <w:bCs/>
                <w:szCs w:val="22"/>
              </w:rPr>
              <w:t>í</w:t>
            </w:r>
            <w:r w:rsidRPr="00F14E8D">
              <w:rPr>
                <w:bCs/>
                <w:szCs w:val="22"/>
              </w:rPr>
              <w:t xml:space="preserve"> alebo preukazova</w:t>
            </w:r>
            <w:r>
              <w:rPr>
                <w:bCs/>
                <w:szCs w:val="22"/>
              </w:rPr>
              <w:t>nie</w:t>
            </w:r>
            <w:r w:rsidRPr="00F14E8D">
              <w:rPr>
                <w:bCs/>
                <w:szCs w:val="22"/>
              </w:rPr>
              <w:t xml:space="preserve"> skutočnost</w:t>
            </w:r>
            <w:r>
              <w:rPr>
                <w:bCs/>
                <w:szCs w:val="22"/>
              </w:rPr>
              <w:t>í</w:t>
            </w:r>
            <w:r w:rsidRPr="00F14E8D">
              <w:rPr>
                <w:bCs/>
                <w:szCs w:val="22"/>
              </w:rPr>
              <w:t xml:space="preserve">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43339831"/>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79453833"/>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Nie</w:t>
                  </w:r>
                </w:p>
              </w:tc>
            </w:tr>
          </w:tbl>
          <w:p w:rsidR="00D27093" w:rsidRPr="00FA16FE" w:rsidRDefault="00D27093" w:rsidP="00D27093"/>
        </w:tc>
        <w:tc>
          <w:tcPr>
            <w:tcW w:w="3969" w:type="dxa"/>
            <w:gridSpan w:val="4"/>
          </w:tcPr>
          <w:p w:rsidR="00D27093" w:rsidRPr="005C4B9C" w:rsidRDefault="00D27093" w:rsidP="00D27093">
            <w:pPr>
              <w:spacing w:line="20" w:lineRule="atLeast"/>
              <w:jc w:val="both"/>
              <w:rPr>
                <w:i/>
                <w:iCs/>
              </w:rPr>
            </w:pPr>
            <w:r w:rsidRPr="00FA16FE">
              <w:rPr>
                <w:i/>
                <w:iCs/>
                <w:szCs w:val="22"/>
              </w:rPr>
              <w:t>(Uveďte, o aké údaje ide a v akom konaní</w:t>
            </w:r>
            <w:r>
              <w:rPr>
                <w:i/>
                <w:iCs/>
                <w:szCs w:val="22"/>
              </w:rPr>
              <w:t>.</w:t>
            </w:r>
            <w:r w:rsidRPr="00FA16FE">
              <w:rPr>
                <w:i/>
                <w:iCs/>
                <w:szCs w:val="22"/>
              </w:rPr>
              <w:t>)</w:t>
            </w:r>
          </w:p>
        </w:tc>
      </w:tr>
      <w:tr w:rsidR="00D27093" w:rsidRPr="005C4B9C" w:rsidTr="00D27093">
        <w:trPr>
          <w:trHeight w:val="20"/>
        </w:trPr>
        <w:tc>
          <w:tcPr>
            <w:tcW w:w="3956" w:type="dxa"/>
          </w:tcPr>
          <w:p w:rsidR="00D27093" w:rsidRPr="005C4B9C" w:rsidRDefault="00D27093" w:rsidP="00D27093">
            <w:pPr>
              <w:jc w:val="both"/>
              <w:rPr>
                <w:b/>
                <w:szCs w:val="22"/>
              </w:rPr>
            </w:pPr>
            <w:r>
              <w:rPr>
                <w:b/>
                <w:szCs w:val="22"/>
              </w:rPr>
              <w:t xml:space="preserve">6.5.2. </w:t>
            </w:r>
            <w:r w:rsidRPr="00F14E8D">
              <w:rPr>
                <w:bCs/>
                <w:szCs w:val="22"/>
              </w:rPr>
              <w:t xml:space="preserve">Predpokladá predložený návrh, aby </w:t>
            </w:r>
            <w:r>
              <w:rPr>
                <w:bCs/>
                <w:szCs w:val="22"/>
              </w:rPr>
              <w:t>sa</w:t>
            </w:r>
            <w:r w:rsidRPr="00F14E8D">
              <w:rPr>
                <w:bCs/>
                <w:szCs w:val="22"/>
              </w:rPr>
              <w:t xml:space="preserve"> predkladal</w:t>
            </w:r>
            <w:r>
              <w:rPr>
                <w:bCs/>
                <w:szCs w:val="22"/>
              </w:rPr>
              <w:t>i</w:t>
            </w:r>
            <w:r w:rsidRPr="00F14E8D">
              <w:rPr>
                <w:bCs/>
                <w:szCs w:val="22"/>
              </w:rPr>
              <w:t xml:space="preserve"> údaje, ktoré sa nachádzajú v zákonom ustanovenej evidencii</w:t>
            </w:r>
            <w:r>
              <w:rPr>
                <w:bCs/>
                <w:szCs w:val="22"/>
              </w:rPr>
              <w:t xml:space="preserve"> vedenej orgánom, ktorý konanie vedie alebo iným orgánom</w:t>
            </w:r>
            <w:r w:rsidRPr="00F14E8D">
              <w:rPr>
                <w:bCs/>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450372319"/>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sidRPr="00F04CCD">
                        <w:rPr>
                          <w:rFonts w:ascii="Segoe UI Symbol" w:eastAsia="MS Mincho" w:hAnsi="Segoe UI Symbol" w:cs="Segoe UI Symbol"/>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617261598"/>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Nie</w:t>
                  </w:r>
                </w:p>
              </w:tc>
            </w:tr>
          </w:tbl>
          <w:p w:rsidR="00D27093" w:rsidRPr="00FA16FE" w:rsidRDefault="00D27093" w:rsidP="00D27093"/>
        </w:tc>
        <w:tc>
          <w:tcPr>
            <w:tcW w:w="3969" w:type="dxa"/>
            <w:gridSpan w:val="4"/>
          </w:tcPr>
          <w:p w:rsidR="00D27093" w:rsidRPr="005C4B9C" w:rsidRDefault="00D27093" w:rsidP="00D27093">
            <w:pPr>
              <w:rPr>
                <w:i/>
                <w:iCs/>
              </w:rPr>
            </w:pPr>
            <w:r w:rsidRPr="00FA16FE">
              <w:rPr>
                <w:i/>
                <w:iCs/>
                <w:szCs w:val="22"/>
              </w:rPr>
              <w:t>(Uveďte, o</w:t>
            </w:r>
            <w:r>
              <w:rPr>
                <w:i/>
                <w:iCs/>
                <w:szCs w:val="22"/>
              </w:rPr>
              <w:t> </w:t>
            </w:r>
            <w:r w:rsidRPr="00FA16FE">
              <w:rPr>
                <w:i/>
                <w:iCs/>
                <w:szCs w:val="22"/>
              </w:rPr>
              <w:t>ak</w:t>
            </w:r>
            <w:r>
              <w:rPr>
                <w:i/>
                <w:iCs/>
                <w:szCs w:val="22"/>
              </w:rPr>
              <w:t>ú evidenciu ide.</w:t>
            </w:r>
            <w:r w:rsidRPr="00FA16FE">
              <w:rPr>
                <w:i/>
                <w:iCs/>
                <w:szCs w:val="22"/>
              </w:rPr>
              <w:t>)</w:t>
            </w:r>
          </w:p>
        </w:tc>
      </w:tr>
      <w:tr w:rsidR="00D27093" w:rsidRPr="005C4B9C" w:rsidTr="00D27093">
        <w:trPr>
          <w:trHeight w:val="20"/>
        </w:trPr>
        <w:tc>
          <w:tcPr>
            <w:tcW w:w="3956" w:type="dxa"/>
          </w:tcPr>
          <w:p w:rsidR="00D27093" w:rsidRPr="005C4B9C" w:rsidRDefault="00D27093" w:rsidP="00D27093">
            <w:pPr>
              <w:jc w:val="both"/>
              <w:rPr>
                <w:b/>
                <w:szCs w:val="22"/>
              </w:rPr>
            </w:pPr>
            <w:r>
              <w:rPr>
                <w:b/>
                <w:szCs w:val="22"/>
              </w:rPr>
              <w:t xml:space="preserve">6.5.3. </w:t>
            </w:r>
            <w:r w:rsidRPr="00FA16FE">
              <w:rPr>
                <w:szCs w:val="22"/>
              </w:rPr>
              <w:t xml:space="preserve">Budú údaje poskytované režimom podľa zákona č. 177/2018 </w:t>
            </w:r>
            <w:proofErr w:type="spellStart"/>
            <w:r w:rsidRPr="00FA16FE">
              <w:rPr>
                <w:szCs w:val="22"/>
              </w:rPr>
              <w:t>Z.z</w:t>
            </w:r>
            <w:proofErr w:type="spellEnd"/>
            <w:r w:rsidRPr="00FA16FE">
              <w:rPr>
                <w:szCs w:val="22"/>
              </w:rPr>
              <w:t>. v znení neskorších predpisov alebo iným obdobným spôsobom, ktorý zabezpečí, aby si údaje orgán</w:t>
            </w:r>
            <w:r>
              <w:rPr>
                <w:szCs w:val="22"/>
              </w:rPr>
              <w:t>, ktorý konanie vedie,</w:t>
            </w:r>
            <w:r w:rsidRPr="00FA16FE">
              <w:rPr>
                <w:szCs w:val="22"/>
              </w:rPr>
              <w:t xml:space="preserve"> získaval </w:t>
            </w:r>
            <w:r>
              <w:rPr>
                <w:szCs w:val="22"/>
              </w:rPr>
              <w:t>z úradnej moci</w:t>
            </w:r>
            <w:r w:rsidRPr="00FA16FE">
              <w:rPr>
                <w:szCs w:val="22"/>
              </w:rPr>
              <w:t xml:space="preserve"> a nemuseli mu byť predkladané</w:t>
            </w:r>
            <w:r>
              <w:rPr>
                <w:szCs w:val="22"/>
              </w:rPr>
              <w:t xml:space="preserve"> </w:t>
            </w:r>
            <w:r>
              <w:rPr>
                <w:bCs/>
                <w:szCs w:val="22"/>
              </w:rPr>
              <w:t xml:space="preserve">subjektom súkromného práva, </w:t>
            </w:r>
            <w:r w:rsidRPr="001E754E">
              <w:rPr>
                <w:bCs/>
                <w:szCs w:val="22"/>
              </w:rPr>
              <w:t>navrhovateľ</w:t>
            </w:r>
            <w:r>
              <w:rPr>
                <w:bCs/>
                <w:szCs w:val="22"/>
              </w:rPr>
              <w:t xml:space="preserve">om, </w:t>
            </w:r>
            <w:r w:rsidRPr="001E754E">
              <w:rPr>
                <w:bCs/>
                <w:szCs w:val="22"/>
              </w:rPr>
              <w:t>žiadateľ</w:t>
            </w:r>
            <w:r>
              <w:rPr>
                <w:bCs/>
                <w:szCs w:val="22"/>
              </w:rPr>
              <w:t>om, účastníkom konania (ďalej len „účastník konania“)</w:t>
            </w:r>
            <w:r w:rsidRPr="00FA16F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2115887386"/>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sidRPr="00F04CCD">
                        <w:rPr>
                          <w:rFonts w:ascii="MS Mincho" w:eastAsia="MS Mincho" w:hAnsi="MS Mincho" w:cs="MS Mincho" w:hint="eastAsia"/>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1730609562"/>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Nie</w:t>
                  </w:r>
                </w:p>
              </w:tc>
            </w:tr>
          </w:tbl>
          <w:p w:rsidR="00D27093" w:rsidRPr="00FA16FE" w:rsidRDefault="00D27093" w:rsidP="00D27093"/>
        </w:tc>
        <w:tc>
          <w:tcPr>
            <w:tcW w:w="3969" w:type="dxa"/>
            <w:gridSpan w:val="4"/>
          </w:tcPr>
          <w:p w:rsidR="00D27093" w:rsidRPr="005C4B9C" w:rsidRDefault="00D27093" w:rsidP="00D27093">
            <w:pPr>
              <w:rPr>
                <w:i/>
                <w:iCs/>
              </w:rPr>
            </w:pPr>
            <w:r w:rsidRPr="00FA16FE">
              <w:rPr>
                <w:i/>
                <w:iCs/>
                <w:szCs w:val="22"/>
              </w:rPr>
              <w:t>(Uveďte</w:t>
            </w:r>
            <w:r>
              <w:rPr>
                <w:i/>
                <w:iCs/>
                <w:szCs w:val="22"/>
              </w:rPr>
              <w:t>, akým spôsobom budú údaje v konaní predkladané/preukazované. Ak sa vyžaduje predloženie účastníkom konania, uveďte dôvod.</w:t>
            </w:r>
            <w:r w:rsidRPr="00FA16FE">
              <w:rPr>
                <w:i/>
                <w:iCs/>
                <w:szCs w:val="22"/>
              </w:rPr>
              <w:t>)</w:t>
            </w:r>
          </w:p>
        </w:tc>
      </w:tr>
      <w:tr w:rsidR="00D27093" w:rsidRPr="005C4B9C" w:rsidTr="00D27093">
        <w:trPr>
          <w:trHeight w:val="20"/>
        </w:trPr>
        <w:tc>
          <w:tcPr>
            <w:tcW w:w="3956" w:type="dxa"/>
            <w:tcBorders>
              <w:bottom w:val="single" w:sz="4" w:space="0" w:color="auto"/>
            </w:tcBorders>
          </w:tcPr>
          <w:p w:rsidR="00D27093" w:rsidRPr="005C4B9C" w:rsidRDefault="00D27093" w:rsidP="00D27093">
            <w:pPr>
              <w:jc w:val="both"/>
              <w:rPr>
                <w:b/>
                <w:szCs w:val="22"/>
              </w:rPr>
            </w:pPr>
            <w:r>
              <w:rPr>
                <w:b/>
                <w:szCs w:val="22"/>
              </w:rPr>
              <w:t xml:space="preserve">6.5.4. </w:t>
            </w:r>
            <w:r w:rsidRPr="00FC10E0">
              <w:rPr>
                <w:szCs w:val="22"/>
              </w:rPr>
              <w:t xml:space="preserve">Ak </w:t>
            </w:r>
            <w:r>
              <w:rPr>
                <w:szCs w:val="22"/>
              </w:rPr>
              <w:t xml:space="preserve">si orgán, ktorý konanie vedie, údaje nebude získavať z úradnej moci ale mu budú predkladané účastníkom konania, </w:t>
            </w:r>
            <w:r w:rsidRPr="00FC10E0">
              <w:rPr>
                <w:szCs w:val="22"/>
              </w:rPr>
              <w:t xml:space="preserve">je v návrhu upravené prechodné obdobie, po ktorého uplynutí </w:t>
            </w:r>
            <w:r w:rsidRPr="00FA16FE">
              <w:rPr>
                <w:szCs w:val="22"/>
              </w:rPr>
              <w:t>si údaje orgán</w:t>
            </w:r>
            <w:r>
              <w:rPr>
                <w:szCs w:val="22"/>
              </w:rPr>
              <w:t>, ktorý konanie vedie, bude získavať z úradnej moci</w:t>
            </w:r>
            <w:r w:rsidRPr="00FC10E0">
              <w:rPr>
                <w:szCs w:val="22"/>
              </w:rPr>
              <w:t>?</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2088412960"/>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sidRPr="00F04CCD">
                        <w:rPr>
                          <w:rFonts w:ascii="MS Mincho" w:eastAsia="MS Mincho" w:hAnsi="MS Mincho" w:cs="MS Mincho" w:hint="eastAsia"/>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439767500"/>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Nie</w:t>
                  </w:r>
                </w:p>
              </w:tc>
            </w:tr>
          </w:tbl>
          <w:p w:rsidR="00D27093" w:rsidRPr="00FA16FE" w:rsidRDefault="00D27093" w:rsidP="00D27093"/>
        </w:tc>
        <w:tc>
          <w:tcPr>
            <w:tcW w:w="3969" w:type="dxa"/>
            <w:gridSpan w:val="4"/>
            <w:tcBorders>
              <w:bottom w:val="single" w:sz="4" w:space="0" w:color="auto"/>
            </w:tcBorders>
          </w:tcPr>
          <w:p w:rsidR="00D27093" w:rsidRPr="005C4B9C" w:rsidRDefault="00D27093" w:rsidP="00D27093">
            <w:pPr>
              <w:rPr>
                <w:i/>
                <w:iCs/>
              </w:rPr>
            </w:pPr>
            <w:r w:rsidRPr="00FA16FE">
              <w:rPr>
                <w:i/>
                <w:iCs/>
                <w:szCs w:val="22"/>
              </w:rPr>
              <w:t>(Uveďte</w:t>
            </w:r>
            <w:r>
              <w:rPr>
                <w:i/>
                <w:iCs/>
                <w:szCs w:val="22"/>
              </w:rPr>
              <w:t>, akým spôsobom budú údaje v konaní predkladané/preukazované v budúcnosti. Ak sa vyžaduje predloženie účastníkom konania, uveďte dôvod.</w:t>
            </w:r>
            <w:r w:rsidRPr="00FA16FE">
              <w:rPr>
                <w:i/>
                <w:iCs/>
                <w:szCs w:val="22"/>
              </w:rPr>
              <w:t>)</w:t>
            </w:r>
          </w:p>
        </w:tc>
      </w:tr>
      <w:tr w:rsidR="00D27093" w:rsidRPr="005C4B9C" w:rsidTr="00D27093">
        <w:trPr>
          <w:trHeight w:val="20"/>
        </w:trPr>
        <w:tc>
          <w:tcPr>
            <w:tcW w:w="9371" w:type="dxa"/>
            <w:gridSpan w:val="6"/>
            <w:shd w:val="pct25" w:color="auto" w:fill="auto"/>
          </w:tcPr>
          <w:p w:rsidR="00D27093" w:rsidRPr="00F4692C" w:rsidRDefault="00D27093" w:rsidP="00D27093">
            <w:pPr>
              <w:spacing w:line="20" w:lineRule="atLeast"/>
              <w:ind w:hanging="55"/>
              <w:jc w:val="center"/>
              <w:rPr>
                <w:i/>
                <w:iCs/>
              </w:rPr>
            </w:pPr>
            <w:r w:rsidRPr="00F4692C">
              <w:rPr>
                <w:b/>
              </w:rPr>
              <w:t>Výmena údajov medzi orgánmi verejnej moci</w:t>
            </w:r>
          </w:p>
        </w:tc>
      </w:tr>
      <w:tr w:rsidR="00D27093" w:rsidRPr="005C4B9C" w:rsidTr="00D27093">
        <w:trPr>
          <w:trHeight w:val="20"/>
        </w:trPr>
        <w:tc>
          <w:tcPr>
            <w:tcW w:w="3956" w:type="dxa"/>
          </w:tcPr>
          <w:p w:rsidR="00D27093" w:rsidRPr="005C4B9C" w:rsidRDefault="00D27093" w:rsidP="00D27093">
            <w:pPr>
              <w:jc w:val="both"/>
              <w:rPr>
                <w:b/>
                <w:szCs w:val="22"/>
              </w:rPr>
            </w:pPr>
            <w:r>
              <w:rPr>
                <w:b/>
                <w:szCs w:val="22"/>
              </w:rPr>
              <w:t xml:space="preserve">6.6.1. </w:t>
            </w:r>
            <w:r>
              <w:rPr>
                <w:szCs w:val="22"/>
              </w:rPr>
              <w:t>Predpokladá predložený návrh zriadenie novej evidencie údajov alebo upravuje vedenie evidencie údajov</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581141114"/>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sidRPr="00F04CCD">
                        <w:rPr>
                          <w:rFonts w:ascii="MS Mincho" w:eastAsia="MS Mincho" w:hAnsi="MS Mincho" w:cs="MS Mincho" w:hint="eastAsia"/>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561481988"/>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Nie</w:t>
                  </w:r>
                </w:p>
              </w:tc>
            </w:tr>
          </w:tbl>
          <w:p w:rsidR="00D27093" w:rsidRPr="00FA16FE" w:rsidRDefault="00D27093" w:rsidP="00D27093"/>
        </w:tc>
        <w:tc>
          <w:tcPr>
            <w:tcW w:w="3969" w:type="dxa"/>
            <w:gridSpan w:val="4"/>
          </w:tcPr>
          <w:p w:rsidR="00D27093" w:rsidRPr="005C4B9C" w:rsidRDefault="00D27093" w:rsidP="00D27093">
            <w:pPr>
              <w:rPr>
                <w:i/>
                <w:iCs/>
              </w:rPr>
            </w:pPr>
            <w:r w:rsidRPr="00FA16FE">
              <w:rPr>
                <w:i/>
                <w:iCs/>
                <w:szCs w:val="22"/>
              </w:rPr>
              <w:t>(Uveďte</w:t>
            </w:r>
            <w:r>
              <w:rPr>
                <w:i/>
                <w:iCs/>
                <w:szCs w:val="22"/>
              </w:rPr>
              <w:t>, aká nová evidencia údajov sa zriaďuje, resp. akú evidenciu údajov návrh upravuje.</w:t>
            </w:r>
            <w:r w:rsidRPr="00FA16FE">
              <w:rPr>
                <w:i/>
                <w:iCs/>
                <w:szCs w:val="22"/>
              </w:rPr>
              <w:t>)</w:t>
            </w:r>
          </w:p>
        </w:tc>
      </w:tr>
      <w:tr w:rsidR="00D27093" w:rsidRPr="005C4B9C" w:rsidTr="00D27093">
        <w:trPr>
          <w:trHeight w:val="20"/>
        </w:trPr>
        <w:tc>
          <w:tcPr>
            <w:tcW w:w="3956" w:type="dxa"/>
          </w:tcPr>
          <w:p w:rsidR="00D27093" w:rsidRPr="005C4B9C" w:rsidRDefault="00D27093" w:rsidP="00D27093">
            <w:pPr>
              <w:jc w:val="both"/>
              <w:rPr>
                <w:b/>
                <w:szCs w:val="22"/>
              </w:rPr>
            </w:pPr>
            <w:r>
              <w:rPr>
                <w:b/>
                <w:szCs w:val="22"/>
              </w:rPr>
              <w:lastRenderedPageBreak/>
              <w:t xml:space="preserve">6.6.2. </w:t>
            </w:r>
            <w:r>
              <w:rPr>
                <w:szCs w:val="22"/>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1434169894"/>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1288507644"/>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sidRPr="00F04CCD">
                        <w:rPr>
                          <w:rFonts w:ascii="MS Mincho" w:eastAsia="MS Mincho" w:hAnsi="MS Mincho" w:cs="MS Mincho" w:hint="eastAsia"/>
                        </w:rPr>
                        <w:t>☐</w:t>
                      </w:r>
                    </w:p>
                  </w:tc>
                </w:sdtContent>
              </w:sdt>
              <w:tc>
                <w:tcPr>
                  <w:tcW w:w="8545" w:type="dxa"/>
                </w:tcPr>
                <w:p w:rsidR="00D27093" w:rsidRPr="00F04CCD" w:rsidRDefault="00D27093" w:rsidP="00D27093">
                  <w:pPr>
                    <w:rPr>
                      <w:b/>
                    </w:rPr>
                  </w:pPr>
                  <w:r>
                    <w:rPr>
                      <w:b/>
                    </w:rPr>
                    <w:t>Nie</w:t>
                  </w:r>
                </w:p>
              </w:tc>
            </w:tr>
          </w:tbl>
          <w:p w:rsidR="00D27093" w:rsidRPr="00FA16FE" w:rsidRDefault="00D27093" w:rsidP="00D27093"/>
        </w:tc>
        <w:tc>
          <w:tcPr>
            <w:tcW w:w="3969" w:type="dxa"/>
            <w:gridSpan w:val="4"/>
          </w:tcPr>
          <w:p w:rsidR="00D27093" w:rsidRPr="005C4B9C" w:rsidRDefault="00D27093" w:rsidP="00D27093">
            <w:pPr>
              <w:rPr>
                <w:i/>
                <w:iCs/>
              </w:rPr>
            </w:pPr>
            <w:r w:rsidRPr="00FA16FE">
              <w:rPr>
                <w:i/>
                <w:iCs/>
                <w:szCs w:val="22"/>
              </w:rPr>
              <w:t>(Uveďte</w:t>
            </w:r>
            <w:r>
              <w:rPr>
                <w:i/>
                <w:iCs/>
                <w:szCs w:val="22"/>
              </w:rPr>
              <w:t>, ktorým orgánom verejnej moci, resp. iným osobám nie je možné údaje z evidencie poskytnúť, aj ak ich na plnenie zákonných úloh potrebujú a z akého dôvodu.</w:t>
            </w:r>
            <w:r w:rsidRPr="00FA16FE">
              <w:rPr>
                <w:i/>
                <w:iCs/>
                <w:szCs w:val="22"/>
              </w:rPr>
              <w:t>)</w:t>
            </w:r>
          </w:p>
        </w:tc>
      </w:tr>
      <w:tr w:rsidR="00D27093" w:rsidRPr="005C4B9C" w:rsidTr="00D27093">
        <w:trPr>
          <w:trHeight w:val="20"/>
        </w:trPr>
        <w:tc>
          <w:tcPr>
            <w:tcW w:w="3956" w:type="dxa"/>
          </w:tcPr>
          <w:p w:rsidR="00D27093" w:rsidRPr="005C4B9C" w:rsidRDefault="00D27093" w:rsidP="00D27093">
            <w:pPr>
              <w:jc w:val="both"/>
              <w:rPr>
                <w:b/>
                <w:szCs w:val="22"/>
              </w:rPr>
            </w:pPr>
            <w:r>
              <w:rPr>
                <w:b/>
                <w:szCs w:val="22"/>
              </w:rPr>
              <w:t xml:space="preserve">6.6.3. </w:t>
            </w:r>
            <w:r>
              <w:rPr>
                <w:szCs w:val="22"/>
              </w:rPr>
              <w:t>Je zabezpečené poskytovanie údajov z evidencie elektronicky a automatizovaným spôsobom</w:t>
            </w:r>
            <w:r w:rsidRPr="00FC10E0">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1355335144"/>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116884503"/>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sidRPr="00F04CCD">
                        <w:rPr>
                          <w:rFonts w:ascii="MS Mincho" w:eastAsia="MS Mincho" w:hAnsi="MS Mincho" w:cs="MS Mincho" w:hint="eastAsia"/>
                        </w:rPr>
                        <w:t>☐</w:t>
                      </w:r>
                    </w:p>
                  </w:tc>
                </w:sdtContent>
              </w:sdt>
              <w:tc>
                <w:tcPr>
                  <w:tcW w:w="8545" w:type="dxa"/>
                </w:tcPr>
                <w:p w:rsidR="00D27093" w:rsidRPr="00F04CCD" w:rsidRDefault="00D27093" w:rsidP="00D27093">
                  <w:pPr>
                    <w:rPr>
                      <w:b/>
                    </w:rPr>
                  </w:pPr>
                  <w:r>
                    <w:rPr>
                      <w:b/>
                    </w:rPr>
                    <w:t>Nie</w:t>
                  </w:r>
                </w:p>
              </w:tc>
            </w:tr>
          </w:tbl>
          <w:p w:rsidR="00D27093" w:rsidRPr="00FA16FE" w:rsidRDefault="00D27093" w:rsidP="00D27093"/>
        </w:tc>
        <w:tc>
          <w:tcPr>
            <w:tcW w:w="3969" w:type="dxa"/>
            <w:gridSpan w:val="4"/>
          </w:tcPr>
          <w:p w:rsidR="00D27093" w:rsidRPr="005C4B9C" w:rsidRDefault="00D27093" w:rsidP="00D27093">
            <w:pPr>
              <w:rPr>
                <w:i/>
                <w:iCs/>
              </w:rPr>
            </w:pPr>
            <w:r w:rsidRPr="00FA16FE">
              <w:rPr>
                <w:i/>
                <w:iCs/>
                <w:szCs w:val="22"/>
              </w:rPr>
              <w:t xml:space="preserve"> (Uveďte</w:t>
            </w:r>
            <w:r>
              <w:rPr>
                <w:i/>
                <w:iCs/>
                <w:szCs w:val="22"/>
              </w:rPr>
              <w:t>,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A16FE">
              <w:rPr>
                <w:i/>
                <w:iCs/>
                <w:szCs w:val="22"/>
              </w:rPr>
              <w:t>)</w:t>
            </w:r>
            <w:r>
              <w:t xml:space="preserve"> </w:t>
            </w:r>
          </w:p>
        </w:tc>
      </w:tr>
      <w:tr w:rsidR="00D27093" w:rsidRPr="005C4B9C" w:rsidTr="00D27093">
        <w:trPr>
          <w:trHeight w:val="20"/>
        </w:trPr>
        <w:tc>
          <w:tcPr>
            <w:tcW w:w="3956" w:type="dxa"/>
          </w:tcPr>
          <w:p w:rsidR="00D27093" w:rsidRPr="005C4B9C" w:rsidRDefault="00D27093" w:rsidP="00D27093">
            <w:pPr>
              <w:jc w:val="both"/>
              <w:rPr>
                <w:b/>
                <w:szCs w:val="22"/>
              </w:rPr>
            </w:pPr>
            <w:r>
              <w:rPr>
                <w:b/>
                <w:szCs w:val="22"/>
              </w:rPr>
              <w:t xml:space="preserve">6.6.4. </w:t>
            </w:r>
            <w:r>
              <w:rPr>
                <w:szCs w:val="22"/>
              </w:rPr>
              <w:t xml:space="preserve">Je na poskytovanie údajov z evidencie využitý režim podľa zákona č. </w:t>
            </w:r>
            <w:r w:rsidRPr="00FA16FE">
              <w:rPr>
                <w:szCs w:val="22"/>
              </w:rPr>
              <w:t xml:space="preserve">177/2018 </w:t>
            </w:r>
            <w:proofErr w:type="spellStart"/>
            <w:r w:rsidRPr="00FA16FE">
              <w:rPr>
                <w:szCs w:val="22"/>
              </w:rPr>
              <w:t>Z.z</w:t>
            </w:r>
            <w:proofErr w:type="spellEnd"/>
            <w:r w:rsidRPr="00FA16FE">
              <w:rPr>
                <w:szCs w:val="22"/>
              </w:rPr>
              <w:t>. v znení neskorších predpisov</w:t>
            </w:r>
            <w:r>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295379826"/>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sidRPr="00F04CCD">
                        <w:rPr>
                          <w:rFonts w:ascii="MS Mincho" w:eastAsia="MS Mincho" w:hAnsi="MS Mincho" w:cs="MS Mincho" w:hint="eastAsia"/>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1689520971"/>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Nie</w:t>
                  </w:r>
                </w:p>
              </w:tc>
            </w:tr>
          </w:tbl>
          <w:p w:rsidR="00D27093" w:rsidRPr="00FA16FE" w:rsidRDefault="00D27093" w:rsidP="00D27093"/>
        </w:tc>
        <w:tc>
          <w:tcPr>
            <w:tcW w:w="3969" w:type="dxa"/>
            <w:gridSpan w:val="4"/>
          </w:tcPr>
          <w:p w:rsidR="00D27093" w:rsidRPr="005C4B9C" w:rsidRDefault="00D27093" w:rsidP="00D27093">
            <w:pPr>
              <w:rPr>
                <w:i/>
                <w:iCs/>
              </w:rPr>
            </w:pPr>
            <w:r w:rsidRPr="00FA16FE">
              <w:rPr>
                <w:i/>
                <w:iCs/>
                <w:szCs w:val="22"/>
              </w:rPr>
              <w:t>(Uveďte</w:t>
            </w:r>
            <w:r>
              <w:rPr>
                <w:i/>
                <w:iCs/>
                <w:szCs w:val="22"/>
              </w:rPr>
              <w:t xml:space="preserve">, ako je na zákonnej úrovni inštitucionalizované elektronické a automatizované poskytovanie údajov z evidencie, akým režimom sa riadi. Ak je použitie zákona č. 177/2018 </w:t>
            </w:r>
            <w:proofErr w:type="spellStart"/>
            <w:r>
              <w:rPr>
                <w:i/>
                <w:iCs/>
                <w:szCs w:val="22"/>
              </w:rPr>
              <w:t>Z.z</w:t>
            </w:r>
            <w:proofErr w:type="spellEnd"/>
            <w:r>
              <w:rPr>
                <w:i/>
                <w:iCs/>
                <w:szCs w:val="22"/>
              </w:rPr>
              <w:t>. v znení neskorších predpisov vylúčené, uveďte dôvod.</w:t>
            </w:r>
            <w:r w:rsidRPr="00FA16FE">
              <w:rPr>
                <w:i/>
                <w:iCs/>
                <w:szCs w:val="22"/>
              </w:rPr>
              <w:t>)</w:t>
            </w:r>
          </w:p>
        </w:tc>
      </w:tr>
      <w:tr w:rsidR="00D27093" w:rsidRPr="005C4B9C" w:rsidTr="00D27093">
        <w:trPr>
          <w:trHeight w:val="20"/>
        </w:trPr>
        <w:tc>
          <w:tcPr>
            <w:tcW w:w="9371" w:type="dxa"/>
            <w:gridSpan w:val="6"/>
            <w:shd w:val="clear" w:color="auto" w:fill="A6A6A6" w:themeFill="background1" w:themeFillShade="A6"/>
          </w:tcPr>
          <w:p w:rsidR="00D27093" w:rsidRPr="00FA16FE" w:rsidRDefault="00D27093" w:rsidP="00D27093">
            <w:pPr>
              <w:spacing w:line="20" w:lineRule="atLeast"/>
              <w:ind w:hanging="55"/>
              <w:jc w:val="center"/>
              <w:rPr>
                <w:i/>
                <w:iCs/>
                <w:szCs w:val="22"/>
              </w:rPr>
            </w:pPr>
            <w:r>
              <w:rPr>
                <w:b/>
              </w:rPr>
              <w:t>Referenčné údaje</w:t>
            </w:r>
          </w:p>
        </w:tc>
      </w:tr>
      <w:tr w:rsidR="00D27093" w:rsidRPr="005C4B9C" w:rsidTr="00D27093">
        <w:trPr>
          <w:trHeight w:val="20"/>
        </w:trPr>
        <w:tc>
          <w:tcPr>
            <w:tcW w:w="3956" w:type="dxa"/>
          </w:tcPr>
          <w:p w:rsidR="00D27093" w:rsidRPr="00F14E8D" w:rsidRDefault="00D27093" w:rsidP="00D27093">
            <w:pPr>
              <w:jc w:val="both"/>
              <w:rPr>
                <w:szCs w:val="22"/>
              </w:rPr>
            </w:pPr>
            <w:r w:rsidRPr="002003D2">
              <w:rPr>
                <w:b/>
                <w:bCs/>
                <w:szCs w:val="22"/>
              </w:rPr>
              <w:t>6.</w:t>
            </w:r>
            <w:r w:rsidRPr="00556083">
              <w:rPr>
                <w:b/>
                <w:bCs/>
                <w:szCs w:val="22"/>
              </w:rPr>
              <w:t>7.1</w:t>
            </w:r>
            <w:r w:rsidRPr="00867E33">
              <w:rPr>
                <w:b/>
                <w:bCs/>
                <w:szCs w:val="22"/>
              </w:rPr>
              <w:t>.</w:t>
            </w:r>
            <w:r w:rsidRPr="00F14E8D">
              <w:rPr>
                <w:szCs w:val="22"/>
              </w:rPr>
              <w:t xml:space="preserve"> Predpokladá predložený návrh zriadenie novej evidencie údajov</w:t>
            </w:r>
            <w:r>
              <w:rPr>
                <w:szCs w:val="22"/>
              </w:rPr>
              <w:t xml:space="preserve"> alebo upravuje vedenie evidencie údajov</w:t>
            </w:r>
            <w:r w:rsidRPr="00F14E8D">
              <w:rPr>
                <w:szCs w:val="22"/>
              </w:rPr>
              <w:t xml:space="preserve">, </w:t>
            </w:r>
            <w:r>
              <w:rPr>
                <w:szCs w:val="22"/>
              </w:rPr>
              <w:t>ktoré budú navrhnuté na zaradenie</w:t>
            </w:r>
            <w:r w:rsidRPr="00F14E8D">
              <w:rPr>
                <w:szCs w:val="22"/>
              </w:rPr>
              <w:t xml:space="preserve"> do </w:t>
            </w:r>
            <w:r>
              <w:rPr>
                <w:szCs w:val="22"/>
              </w:rPr>
              <w:t>z</w:t>
            </w:r>
            <w:r w:rsidRPr="00F14E8D">
              <w:rPr>
                <w:szCs w:val="22"/>
              </w:rPr>
              <w:t xml:space="preserve">oznamu referenčných údajov </w:t>
            </w:r>
            <w:r>
              <w:rPr>
                <w:szCs w:val="22"/>
              </w:rPr>
              <w:t>podľa</w:t>
            </w:r>
            <w:r w:rsidRPr="00F14E8D">
              <w:rPr>
                <w:szCs w:val="22"/>
              </w:rPr>
              <w:t xml:space="preserve"> § 51 zákona č. 305/20</w:t>
            </w:r>
            <w:r>
              <w:rPr>
                <w:szCs w:val="22"/>
              </w:rPr>
              <w:t>1</w:t>
            </w:r>
            <w:r w:rsidRPr="00F14E8D">
              <w:rPr>
                <w:szCs w:val="22"/>
              </w:rPr>
              <w:t xml:space="preserve">3 </w:t>
            </w:r>
            <w:proofErr w:type="spellStart"/>
            <w:r w:rsidRPr="00F14E8D">
              <w:rPr>
                <w:szCs w:val="22"/>
              </w:rPr>
              <w:t>Z.z</w:t>
            </w:r>
            <w:proofErr w:type="spellEnd"/>
            <w:r w:rsidRPr="00F14E8D">
              <w:rPr>
                <w:szCs w:val="22"/>
              </w:rPr>
              <w:t>. o e-</w:t>
            </w:r>
            <w:proofErr w:type="spellStart"/>
            <w:r w:rsidRPr="00F14E8D">
              <w:rPr>
                <w:szCs w:val="22"/>
              </w:rPr>
              <w:t>Governmente</w:t>
            </w:r>
            <w:proofErr w:type="spellEnd"/>
            <w:r w:rsidRPr="00F14E8D">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sdt>
                <w:sdtPr>
                  <w:id w:val="-677810283"/>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Pr>
                          <w:rFonts w:ascii="MS Gothic" w:eastAsia="MS Gothic" w:hAnsi="MS Gothic" w:hint="eastAsia"/>
                        </w:rPr>
                        <w:t>☐</w:t>
                      </w:r>
                    </w:p>
                  </w:tc>
                </w:sdtContent>
              </w:sdt>
              <w:tc>
                <w:tcPr>
                  <w:tcW w:w="8545" w:type="dxa"/>
                </w:tcPr>
                <w:p w:rsidR="00D27093" w:rsidRPr="00F04CCD" w:rsidRDefault="00D27093" w:rsidP="00D27093">
                  <w:pPr>
                    <w:rPr>
                      <w:b/>
                    </w:rPr>
                  </w:pPr>
                  <w:r>
                    <w:rPr>
                      <w:b/>
                    </w:rPr>
                    <w:t>Áno</w:t>
                  </w:r>
                </w:p>
              </w:tc>
            </w:tr>
            <w:tr w:rsidR="00D27093" w:rsidRPr="00F04CCD" w:rsidTr="00D27093">
              <w:sdt>
                <w:sdtPr>
                  <w:id w:val="-159857975"/>
                  <w14:checkbox>
                    <w14:checked w14:val="0"/>
                    <w14:checkedState w14:val="2612" w14:font="MS Gothic"/>
                    <w14:uncheckedState w14:val="2610" w14:font="MS Gothic"/>
                  </w14:checkbox>
                </w:sdtPr>
                <w:sdtEndPr/>
                <w:sdtContent>
                  <w:tc>
                    <w:tcPr>
                      <w:tcW w:w="436" w:type="dxa"/>
                    </w:tcPr>
                    <w:p w:rsidR="00D27093" w:rsidRPr="00F04CCD" w:rsidRDefault="00D27093" w:rsidP="00D27093">
                      <w:pPr>
                        <w:jc w:val="center"/>
                      </w:pPr>
                      <w:r w:rsidRPr="00F04CCD">
                        <w:rPr>
                          <w:rFonts w:ascii="MS Mincho" w:eastAsia="MS Mincho" w:hAnsi="MS Mincho" w:cs="MS Mincho" w:hint="eastAsia"/>
                        </w:rPr>
                        <w:t>☐</w:t>
                      </w:r>
                    </w:p>
                  </w:tc>
                </w:sdtContent>
              </w:sdt>
              <w:tc>
                <w:tcPr>
                  <w:tcW w:w="8545" w:type="dxa"/>
                </w:tcPr>
                <w:p w:rsidR="00D27093" w:rsidRPr="00F04CCD" w:rsidRDefault="00D27093" w:rsidP="00D27093">
                  <w:pPr>
                    <w:rPr>
                      <w:b/>
                    </w:rPr>
                  </w:pPr>
                  <w:r>
                    <w:rPr>
                      <w:b/>
                    </w:rPr>
                    <w:t>Nie</w:t>
                  </w:r>
                </w:p>
              </w:tc>
            </w:tr>
          </w:tbl>
          <w:p w:rsidR="00D27093" w:rsidRDefault="00D27093" w:rsidP="00D27093">
            <w:pPr>
              <w:jc w:val="center"/>
            </w:pPr>
          </w:p>
        </w:tc>
        <w:tc>
          <w:tcPr>
            <w:tcW w:w="3969" w:type="dxa"/>
            <w:gridSpan w:val="4"/>
          </w:tcPr>
          <w:p w:rsidR="00D27093" w:rsidRPr="00FA16FE" w:rsidRDefault="00D27093" w:rsidP="00D27093">
            <w:pPr>
              <w:rPr>
                <w:i/>
                <w:iCs/>
                <w:szCs w:val="22"/>
              </w:rPr>
            </w:pPr>
            <w:r w:rsidRPr="00FA16FE">
              <w:rPr>
                <w:i/>
                <w:iCs/>
                <w:szCs w:val="22"/>
              </w:rPr>
              <w:t>(Uveďte</w:t>
            </w:r>
            <w:r>
              <w:rPr>
                <w:i/>
                <w:iCs/>
                <w:szCs w:val="22"/>
              </w:rPr>
              <w:t>, aká nová evidencia údajov sa zriaďuje, resp. akú evidenciu údajov návrh upravuje a ktoré údaje z nej budú navrhnuté na zaradenie do zoznamu referenčných údajov. Ak sa neplánuje zaradenie žiadnych údajov, uveďte dôvod</w:t>
            </w:r>
            <w:r w:rsidRPr="00FA16FE">
              <w:rPr>
                <w:i/>
                <w:iCs/>
                <w:szCs w:val="22"/>
              </w:rPr>
              <w:t>)</w:t>
            </w:r>
          </w:p>
        </w:tc>
      </w:tr>
      <w:tr w:rsidR="00D27093" w:rsidRPr="005C4B9C" w:rsidTr="00D27093">
        <w:trPr>
          <w:trHeight w:val="20"/>
        </w:trPr>
        <w:tc>
          <w:tcPr>
            <w:tcW w:w="3956" w:type="dxa"/>
          </w:tcPr>
          <w:p w:rsidR="00D27093" w:rsidRPr="00F14E8D" w:rsidRDefault="00D27093" w:rsidP="00D27093">
            <w:pPr>
              <w:jc w:val="both"/>
              <w:rPr>
                <w:szCs w:val="22"/>
              </w:rPr>
            </w:pPr>
            <w:r w:rsidRPr="002003D2">
              <w:rPr>
                <w:b/>
                <w:bCs/>
                <w:szCs w:val="22"/>
              </w:rPr>
              <w:t>6.</w:t>
            </w:r>
            <w:r w:rsidRPr="001E754E">
              <w:rPr>
                <w:b/>
                <w:bCs/>
                <w:szCs w:val="22"/>
              </w:rPr>
              <w:t>7.</w:t>
            </w:r>
            <w:r>
              <w:rPr>
                <w:b/>
                <w:bCs/>
                <w:szCs w:val="22"/>
              </w:rPr>
              <w:t>2</w:t>
            </w:r>
            <w:r w:rsidRPr="001E754E">
              <w:rPr>
                <w:b/>
                <w:bCs/>
                <w:szCs w:val="22"/>
              </w:rPr>
              <w:t>.</w:t>
            </w:r>
            <w:r w:rsidRPr="001E754E">
              <w:rPr>
                <w:szCs w:val="22"/>
              </w:rPr>
              <w:t xml:space="preserve"> </w:t>
            </w:r>
            <w:r>
              <w:rPr>
                <w:szCs w:val="22"/>
              </w:rPr>
              <w:t>Kedy je plánované zaradenie údajov z evidencie do zoznamu referenčných údajov podľa</w:t>
            </w:r>
            <w:r w:rsidRPr="001E754E">
              <w:rPr>
                <w:szCs w:val="22"/>
              </w:rPr>
              <w:t xml:space="preserve"> § 51 zákona č. 305/20</w:t>
            </w:r>
            <w:r>
              <w:rPr>
                <w:szCs w:val="22"/>
              </w:rPr>
              <w:t>1</w:t>
            </w:r>
            <w:r w:rsidRPr="001E754E">
              <w:rPr>
                <w:szCs w:val="22"/>
              </w:rPr>
              <w:t xml:space="preserve">3 </w:t>
            </w:r>
            <w:proofErr w:type="spellStart"/>
            <w:r w:rsidRPr="001E754E">
              <w:rPr>
                <w:szCs w:val="22"/>
              </w:rPr>
              <w:t>Z.z</w:t>
            </w:r>
            <w:proofErr w:type="spellEnd"/>
            <w:r w:rsidRPr="001E754E">
              <w:rPr>
                <w:szCs w:val="22"/>
              </w:rPr>
              <w:t>. o e-</w:t>
            </w:r>
            <w:proofErr w:type="spellStart"/>
            <w:r w:rsidRPr="001E754E">
              <w:rPr>
                <w:szCs w:val="22"/>
              </w:rPr>
              <w:t>Governmente</w:t>
            </w:r>
            <w:proofErr w:type="spellEnd"/>
            <w:r w:rsidRPr="001E754E">
              <w:rPr>
                <w:szCs w:val="22"/>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D27093" w:rsidRPr="00F04CCD" w:rsidTr="00D27093">
              <w:tc>
                <w:tcPr>
                  <w:tcW w:w="436" w:type="dxa"/>
                </w:tcPr>
                <w:p w:rsidR="00D27093" w:rsidRPr="00F04CCD" w:rsidRDefault="00D27093" w:rsidP="00D27093">
                  <w:pPr>
                    <w:jc w:val="center"/>
                  </w:pPr>
                </w:p>
              </w:tc>
              <w:tc>
                <w:tcPr>
                  <w:tcW w:w="8545" w:type="dxa"/>
                </w:tcPr>
                <w:p w:rsidR="00D27093" w:rsidRPr="00F04CCD" w:rsidRDefault="00D27093" w:rsidP="00D27093">
                  <w:pPr>
                    <w:rPr>
                      <w:b/>
                    </w:rPr>
                  </w:pPr>
                </w:p>
              </w:tc>
            </w:tr>
            <w:tr w:rsidR="00D27093" w:rsidRPr="00F04CCD" w:rsidTr="00D27093">
              <w:tc>
                <w:tcPr>
                  <w:tcW w:w="436" w:type="dxa"/>
                </w:tcPr>
                <w:p w:rsidR="00D27093" w:rsidRPr="00F04CCD" w:rsidRDefault="00D27093" w:rsidP="00D27093">
                  <w:pPr>
                    <w:jc w:val="center"/>
                  </w:pPr>
                </w:p>
              </w:tc>
              <w:tc>
                <w:tcPr>
                  <w:tcW w:w="8545" w:type="dxa"/>
                </w:tcPr>
                <w:p w:rsidR="00D27093" w:rsidRPr="00F04CCD" w:rsidRDefault="00D27093" w:rsidP="00D27093">
                  <w:pPr>
                    <w:rPr>
                      <w:b/>
                    </w:rPr>
                  </w:pPr>
                </w:p>
              </w:tc>
            </w:tr>
          </w:tbl>
          <w:p w:rsidR="00D27093" w:rsidRDefault="00D27093" w:rsidP="00D27093">
            <w:pPr>
              <w:jc w:val="center"/>
            </w:pPr>
          </w:p>
        </w:tc>
        <w:tc>
          <w:tcPr>
            <w:tcW w:w="3969" w:type="dxa"/>
            <w:gridSpan w:val="4"/>
          </w:tcPr>
          <w:p w:rsidR="00D27093" w:rsidRPr="00FA16FE" w:rsidRDefault="00D27093" w:rsidP="00D27093">
            <w:pPr>
              <w:rPr>
                <w:i/>
                <w:iCs/>
                <w:szCs w:val="22"/>
              </w:rPr>
            </w:pPr>
            <w:r w:rsidRPr="00FA16FE">
              <w:rPr>
                <w:i/>
                <w:iCs/>
                <w:szCs w:val="22"/>
              </w:rPr>
              <w:t>(Uveďte</w:t>
            </w:r>
            <w:r>
              <w:rPr>
                <w:i/>
                <w:iCs/>
                <w:szCs w:val="22"/>
              </w:rPr>
              <w:t>, kedy sa plánuje zaradenie vyššie uvedených údajov do zoznamu referenčných údajov.</w:t>
            </w:r>
            <w:r w:rsidRPr="00FA16FE">
              <w:rPr>
                <w:i/>
                <w:iCs/>
                <w:szCs w:val="22"/>
              </w:rPr>
              <w:t>)</w:t>
            </w:r>
          </w:p>
        </w:tc>
      </w:tr>
    </w:tbl>
    <w:p w:rsidR="00D27093" w:rsidRPr="00852496" w:rsidRDefault="00D27093" w:rsidP="00D27093">
      <w:pPr>
        <w:jc w:val="both"/>
        <w:rPr>
          <w:b/>
          <w:bCs/>
          <w:i/>
          <w:highlight w:val="yellow"/>
        </w:rPr>
      </w:pPr>
    </w:p>
    <w:p w:rsidR="00D27093" w:rsidRPr="00566797" w:rsidRDefault="00D27093" w:rsidP="00D27093">
      <w:pPr>
        <w:autoSpaceDE w:val="0"/>
        <w:autoSpaceDN w:val="0"/>
        <w:adjustRightInd w:val="0"/>
        <w:rPr>
          <w:rFonts w:eastAsia="Calibri"/>
          <w:bCs/>
          <w:color w:val="000000"/>
          <w:sz w:val="28"/>
          <w:szCs w:val="28"/>
          <w:lang w:eastAsia="en-US"/>
        </w:rPr>
      </w:pPr>
      <w:r w:rsidRPr="00566797">
        <w:rPr>
          <w:rFonts w:eastAsia="Calibri"/>
          <w:bCs/>
          <w:color w:val="000000"/>
          <w:sz w:val="28"/>
          <w:szCs w:val="28"/>
          <w:lang w:eastAsia="en-US"/>
        </w:rPr>
        <w:t>*</w:t>
      </w:r>
      <w:r>
        <w:rPr>
          <w:rFonts w:eastAsia="Calibri"/>
          <w:bCs/>
          <w:color w:val="000000"/>
          <w:sz w:val="28"/>
          <w:szCs w:val="28"/>
          <w:lang w:eastAsia="en-US"/>
        </w:rPr>
        <w:t>obsah materiálu nemá vplyv na</w:t>
      </w:r>
      <w:r w:rsidRPr="00566797">
        <w:rPr>
          <w:rFonts w:eastAsia="Calibri"/>
          <w:bCs/>
          <w:color w:val="000000"/>
          <w:sz w:val="28"/>
          <w:szCs w:val="28"/>
          <w:lang w:eastAsia="en-US"/>
        </w:rPr>
        <w:t xml:space="preserve"> </w:t>
      </w:r>
      <w:r>
        <w:rPr>
          <w:rFonts w:eastAsia="Calibri"/>
          <w:bCs/>
          <w:color w:val="000000"/>
          <w:sz w:val="28"/>
          <w:szCs w:val="28"/>
          <w:lang w:eastAsia="en-US"/>
        </w:rPr>
        <w:t>b</w:t>
      </w:r>
      <w:r w:rsidRPr="00566797">
        <w:rPr>
          <w:rFonts w:eastAsia="Calibri"/>
          <w:bCs/>
          <w:color w:val="000000"/>
          <w:sz w:val="28"/>
          <w:szCs w:val="28"/>
          <w:lang w:eastAsia="en-US"/>
        </w:rPr>
        <w:t>od</w:t>
      </w:r>
      <w:r>
        <w:rPr>
          <w:rFonts w:eastAsia="Calibri"/>
          <w:bCs/>
          <w:color w:val="000000"/>
          <w:sz w:val="28"/>
          <w:szCs w:val="28"/>
          <w:lang w:eastAsia="en-US"/>
        </w:rPr>
        <w:t>y</w:t>
      </w:r>
      <w:r w:rsidRPr="00566797">
        <w:rPr>
          <w:rFonts w:eastAsia="Calibri"/>
          <w:bCs/>
          <w:color w:val="000000"/>
          <w:sz w:val="28"/>
          <w:szCs w:val="28"/>
          <w:lang w:eastAsia="en-US"/>
        </w:rPr>
        <w:t xml:space="preserve"> 6.4.1. až 6.7.2</w:t>
      </w:r>
    </w:p>
    <w:p w:rsidR="00D27093" w:rsidRPr="00F14E8D" w:rsidRDefault="00D27093" w:rsidP="00D27093">
      <w:pPr>
        <w:autoSpaceDE w:val="0"/>
        <w:autoSpaceDN w:val="0"/>
        <w:adjustRightInd w:val="0"/>
        <w:rPr>
          <w:rFonts w:eastAsia="Calibri"/>
          <w:b/>
          <w:bCs/>
          <w:color w:val="000000"/>
          <w:lang w:eastAsia="en-US"/>
        </w:rPr>
      </w:pPr>
    </w:p>
    <w:p w:rsidR="00D27093" w:rsidRDefault="00D27093">
      <w:pPr>
        <w:spacing w:after="160" w:line="259" w:lineRule="auto"/>
      </w:pPr>
      <w:r>
        <w:br w:type="page"/>
      </w:r>
    </w:p>
    <w:p w:rsidR="00D27093" w:rsidRPr="00523598" w:rsidRDefault="00D27093" w:rsidP="00D27093">
      <w:pPr>
        <w:jc w:val="center"/>
        <w:rPr>
          <w:b/>
          <w:bCs/>
          <w:lang w:eastAsia="sk-SK"/>
        </w:rPr>
      </w:pPr>
      <w:r w:rsidRPr="00523598">
        <w:rPr>
          <w:b/>
          <w:bCs/>
          <w:lang w:eastAsia="sk-SK"/>
        </w:rPr>
        <w:lastRenderedPageBreak/>
        <w:t>DOLOŽKA ZLUČITEĽNOSTI</w:t>
      </w:r>
    </w:p>
    <w:p w:rsidR="00D27093" w:rsidRPr="00523598" w:rsidRDefault="00D27093" w:rsidP="00D27093">
      <w:pPr>
        <w:jc w:val="center"/>
        <w:rPr>
          <w:lang w:eastAsia="sk-SK"/>
        </w:rPr>
      </w:pPr>
    </w:p>
    <w:p w:rsidR="00D27093" w:rsidRPr="00523598" w:rsidRDefault="00D27093" w:rsidP="00D27093">
      <w:pPr>
        <w:pBdr>
          <w:bottom w:val="single" w:sz="12" w:space="1" w:color="auto"/>
        </w:pBdr>
        <w:jc w:val="center"/>
        <w:rPr>
          <w:b/>
          <w:bCs/>
          <w:lang w:eastAsia="sk-SK"/>
        </w:rPr>
      </w:pPr>
      <w:r w:rsidRPr="00523598">
        <w:rPr>
          <w:b/>
          <w:bCs/>
          <w:lang w:eastAsia="sk-SK"/>
        </w:rPr>
        <w:t>návrhu zákona s právom Európskej únie</w:t>
      </w:r>
    </w:p>
    <w:p w:rsidR="00D27093" w:rsidRPr="00523598" w:rsidRDefault="00D27093" w:rsidP="00D27093">
      <w:pPr>
        <w:rPr>
          <w:lang w:eastAsia="sk-SK"/>
        </w:rPr>
      </w:pPr>
    </w:p>
    <w:p w:rsidR="00D27093" w:rsidRPr="00523598" w:rsidRDefault="00D27093" w:rsidP="00D27093">
      <w:pPr>
        <w:rPr>
          <w:lang w:eastAsia="sk-SK"/>
        </w:rPr>
      </w:pPr>
    </w:p>
    <w:p w:rsidR="00D27093" w:rsidRPr="00523598" w:rsidRDefault="00D27093" w:rsidP="00D27093">
      <w:pPr>
        <w:pStyle w:val="Odsekzoznamu"/>
        <w:numPr>
          <w:ilvl w:val="0"/>
          <w:numId w:val="9"/>
        </w:numPr>
        <w:ind w:left="426" w:hanging="426"/>
        <w:rPr>
          <w:lang w:eastAsia="sk-SK"/>
        </w:rPr>
      </w:pPr>
      <w:r w:rsidRPr="00523598">
        <w:rPr>
          <w:b/>
          <w:bCs/>
          <w:lang w:eastAsia="sk-SK"/>
        </w:rPr>
        <w:t>Navrhovateľ zákona:</w:t>
      </w:r>
    </w:p>
    <w:p w:rsidR="00D27093" w:rsidRPr="00523598" w:rsidRDefault="005D109E" w:rsidP="00D27093">
      <w:pPr>
        <w:ind w:left="426"/>
        <w:rPr>
          <w:lang w:eastAsia="sk-SK"/>
        </w:rPr>
      </w:pPr>
      <w:r>
        <w:rPr>
          <w:lang w:eastAsia="sk-SK"/>
        </w:rPr>
        <w:t>Vláda</w:t>
      </w:r>
      <w:r w:rsidR="00D27093" w:rsidRPr="00523598">
        <w:rPr>
          <w:lang w:eastAsia="sk-SK"/>
        </w:rPr>
        <w:t xml:space="preserve"> Slovenskej republiky.</w:t>
      </w:r>
    </w:p>
    <w:p w:rsidR="00D27093" w:rsidRPr="00523598" w:rsidRDefault="00D27093" w:rsidP="00D27093">
      <w:pPr>
        <w:rPr>
          <w:lang w:eastAsia="sk-SK"/>
        </w:rPr>
      </w:pPr>
    </w:p>
    <w:p w:rsidR="00D27093" w:rsidRPr="00523598" w:rsidRDefault="00D27093" w:rsidP="00D27093">
      <w:pPr>
        <w:pStyle w:val="Odsekzoznamu"/>
        <w:numPr>
          <w:ilvl w:val="0"/>
          <w:numId w:val="9"/>
        </w:numPr>
        <w:ind w:left="426" w:hanging="426"/>
        <w:rPr>
          <w:lang w:eastAsia="sk-SK"/>
        </w:rPr>
      </w:pPr>
      <w:r w:rsidRPr="00523598">
        <w:rPr>
          <w:b/>
          <w:bCs/>
          <w:lang w:eastAsia="sk-SK"/>
        </w:rPr>
        <w:t>Názov návrhu zákona:</w:t>
      </w:r>
    </w:p>
    <w:p w:rsidR="00D27093" w:rsidRPr="00523598" w:rsidRDefault="00D27093" w:rsidP="00D27093">
      <w:pPr>
        <w:ind w:left="426"/>
        <w:jc w:val="both"/>
        <w:rPr>
          <w:lang w:eastAsia="sk-SK"/>
        </w:rPr>
      </w:pPr>
      <w:r w:rsidRPr="00523598">
        <w:rPr>
          <w:lang w:eastAsia="sk-SK"/>
        </w:rPr>
        <w:t>Návrh</w:t>
      </w:r>
      <w:r w:rsidRPr="00523598">
        <w:rPr>
          <w:spacing w:val="51"/>
          <w:lang w:eastAsia="sk-SK"/>
        </w:rPr>
        <w:t xml:space="preserve"> </w:t>
      </w:r>
      <w:r w:rsidRPr="00523598">
        <w:rPr>
          <w:lang w:eastAsia="sk-SK"/>
        </w:rPr>
        <w:t xml:space="preserve">zákona </w:t>
      </w:r>
      <w:r w:rsidRPr="00523598">
        <w:rPr>
          <w:bCs/>
        </w:rPr>
        <w:t>o niektorých povinnostiach a oprávneniach v oblasti kryptoaktív a o zmene a doplnení niektorých zákonov.</w:t>
      </w:r>
    </w:p>
    <w:p w:rsidR="00D27093" w:rsidRPr="00523598" w:rsidRDefault="00D27093" w:rsidP="00D27093">
      <w:pPr>
        <w:rPr>
          <w:lang w:eastAsia="sk-SK"/>
        </w:rPr>
      </w:pPr>
    </w:p>
    <w:p w:rsidR="00D27093" w:rsidRPr="00523598" w:rsidRDefault="00D27093" w:rsidP="00D27093">
      <w:pPr>
        <w:pStyle w:val="Odsekzoznamu"/>
        <w:numPr>
          <w:ilvl w:val="0"/>
          <w:numId w:val="9"/>
        </w:numPr>
        <w:ind w:left="426" w:hanging="426"/>
        <w:rPr>
          <w:lang w:eastAsia="sk-SK"/>
        </w:rPr>
      </w:pPr>
      <w:r w:rsidRPr="00523598">
        <w:rPr>
          <w:b/>
          <w:bCs/>
          <w:lang w:eastAsia="sk-SK"/>
        </w:rPr>
        <w:t>Predmet návrhu zákona je upravený v práve Európskej únie:</w:t>
      </w:r>
    </w:p>
    <w:p w:rsidR="00D27093" w:rsidRPr="00523598" w:rsidRDefault="00D27093" w:rsidP="00D27093">
      <w:pPr>
        <w:pStyle w:val="Odsekzoznamu"/>
        <w:numPr>
          <w:ilvl w:val="0"/>
          <w:numId w:val="10"/>
        </w:numPr>
        <w:rPr>
          <w:lang w:eastAsia="sk-SK"/>
        </w:rPr>
      </w:pPr>
      <w:r w:rsidRPr="00523598">
        <w:rPr>
          <w:lang w:eastAsia="sk-SK"/>
        </w:rPr>
        <w:t>v primárnom práve</w:t>
      </w:r>
    </w:p>
    <w:p w:rsidR="00D27093" w:rsidRPr="00523598" w:rsidRDefault="00D27093" w:rsidP="00D27093">
      <w:pPr>
        <w:pStyle w:val="Odsekzoznamu"/>
        <w:numPr>
          <w:ilvl w:val="0"/>
          <w:numId w:val="11"/>
        </w:numPr>
        <w:jc w:val="both"/>
        <w:rPr>
          <w:lang w:eastAsia="sk-SK"/>
        </w:rPr>
      </w:pPr>
      <w:r w:rsidRPr="00523598">
        <w:rPr>
          <w:lang w:eastAsia="sk-SK"/>
        </w:rPr>
        <w:t xml:space="preserve">čl. 3 ods. 1 písm. b), čl. 4, čl. 26 ods. 2, čl. 49 až 66, čl. 107 až 109, čl. 114 a čl. 127 Zmluvy o fungovaní Európskej únie </w:t>
      </w:r>
      <w:r w:rsidRPr="00523598">
        <w:t>(</w:t>
      </w:r>
      <w:r w:rsidRPr="00523598">
        <w:rPr>
          <w:rStyle w:val="awspan1"/>
        </w:rPr>
        <w:t>Ú. v. EÚ C 202, 7.6.2016) v platnom znení</w:t>
      </w:r>
      <w:r w:rsidRPr="00523598">
        <w:rPr>
          <w:lang w:eastAsia="sk-SK"/>
        </w:rPr>
        <w:t>,</w:t>
      </w:r>
    </w:p>
    <w:p w:rsidR="00D27093" w:rsidRPr="00523598" w:rsidRDefault="00D27093" w:rsidP="00D27093">
      <w:pPr>
        <w:pStyle w:val="Odsekzoznamu"/>
        <w:numPr>
          <w:ilvl w:val="0"/>
          <w:numId w:val="11"/>
        </w:numPr>
        <w:jc w:val="both"/>
        <w:rPr>
          <w:lang w:eastAsia="sk-SK"/>
        </w:rPr>
      </w:pPr>
      <w:r w:rsidRPr="00523598">
        <w:rPr>
          <w:lang w:eastAsia="sk-SK"/>
        </w:rPr>
        <w:t xml:space="preserve">čl. 3 Zmluvy o Európskej únii </w:t>
      </w:r>
      <w:r w:rsidRPr="00523598">
        <w:t>(</w:t>
      </w:r>
      <w:r w:rsidRPr="00523598">
        <w:rPr>
          <w:rStyle w:val="awspan1"/>
        </w:rPr>
        <w:t>Ú. v. EÚ C 202, 7.6.2016) v platnom znení</w:t>
      </w:r>
      <w:r w:rsidRPr="00523598">
        <w:rPr>
          <w:lang w:eastAsia="sk-SK"/>
        </w:rPr>
        <w:t>,</w:t>
      </w:r>
    </w:p>
    <w:p w:rsidR="00D27093" w:rsidRPr="00523598" w:rsidRDefault="00D27093" w:rsidP="00D27093">
      <w:pPr>
        <w:pStyle w:val="Odsekzoznamu"/>
        <w:numPr>
          <w:ilvl w:val="0"/>
          <w:numId w:val="11"/>
        </w:numPr>
        <w:jc w:val="both"/>
        <w:rPr>
          <w:lang w:eastAsia="sk-SK"/>
        </w:rPr>
      </w:pPr>
      <w:r w:rsidRPr="00523598">
        <w:t xml:space="preserve">Protokol č. 4 o Štatúte Európskeho systému centrálnych bánk a Európskej centrálnej banky </w:t>
      </w:r>
      <w:r w:rsidRPr="00523598">
        <w:rPr>
          <w:color w:val="000000" w:themeColor="text1"/>
        </w:rPr>
        <w:t>pripojený k Zmluve o fungovaní Európskej únie</w:t>
      </w:r>
      <w:r w:rsidRPr="00523598">
        <w:t xml:space="preserve"> (Ú. v. EÚ C 202, 7.6.2016) v platnom znení.</w:t>
      </w:r>
    </w:p>
    <w:p w:rsidR="00D27093" w:rsidRPr="00523598" w:rsidRDefault="00D27093" w:rsidP="00D27093">
      <w:pPr>
        <w:rPr>
          <w:b/>
          <w:bCs/>
          <w:i/>
          <w:iCs/>
          <w:lang w:eastAsia="sk-SK"/>
        </w:rPr>
      </w:pPr>
    </w:p>
    <w:p w:rsidR="00D27093" w:rsidRPr="00523598" w:rsidRDefault="00D27093" w:rsidP="00D27093">
      <w:pPr>
        <w:pStyle w:val="Odsekzoznamu"/>
        <w:numPr>
          <w:ilvl w:val="0"/>
          <w:numId w:val="10"/>
        </w:numPr>
        <w:rPr>
          <w:lang w:eastAsia="sk-SK"/>
        </w:rPr>
      </w:pPr>
      <w:r w:rsidRPr="00523598">
        <w:rPr>
          <w:lang w:eastAsia="sk-SK"/>
        </w:rPr>
        <w:t>v sekundárnom práve</w:t>
      </w:r>
    </w:p>
    <w:p w:rsidR="00D27093" w:rsidRPr="00523598" w:rsidRDefault="00D27093" w:rsidP="00D27093">
      <w:pPr>
        <w:pStyle w:val="Odsekzoznamu"/>
        <w:numPr>
          <w:ilvl w:val="0"/>
          <w:numId w:val="11"/>
        </w:numPr>
        <w:spacing w:line="240" w:lineRule="exact"/>
        <w:jc w:val="both"/>
        <w:rPr>
          <w:lang w:eastAsia="sk-SK"/>
        </w:rPr>
      </w:pPr>
      <w:r w:rsidRPr="007E2FEC">
        <w:rPr>
          <w:rStyle w:val="Siln"/>
          <w:b w:val="0"/>
        </w:rPr>
        <w:t xml:space="preserve">smernica </w:t>
      </w:r>
      <w:r w:rsidRPr="007E2FEC">
        <w:rPr>
          <w:rStyle w:val="Siln"/>
          <w:b w:val="0"/>
          <w:u w:val="single"/>
        </w:rPr>
        <w:t>2001/24/ES</w:t>
      </w:r>
      <w:r w:rsidRPr="007E2FEC">
        <w:rPr>
          <w:rStyle w:val="Siln"/>
          <w:b w:val="0"/>
        </w:rPr>
        <w:t xml:space="preserve"> Európskeho parlamentu a Rady zo 4. apríla 2001 o reorganizácii a likvidácii úverových inštitúcií (Ú. v. ES L 125, 5.5.2001; Mimoriadne vydanie Ú. v. EÚ, kap. 6/zv. 4) v platnom znení, </w:t>
      </w:r>
      <w:r w:rsidRPr="00523598">
        <w:rPr>
          <w:lang w:eastAsia="sk-SK"/>
        </w:rPr>
        <w:t xml:space="preserve">gestor: MF SR, </w:t>
      </w:r>
      <w:proofErr w:type="spellStart"/>
      <w:r w:rsidRPr="00523598">
        <w:rPr>
          <w:lang w:eastAsia="sk-SK"/>
        </w:rPr>
        <w:t>spolugestor</w:t>
      </w:r>
      <w:proofErr w:type="spellEnd"/>
      <w:r w:rsidRPr="00523598">
        <w:rPr>
          <w:lang w:eastAsia="sk-SK"/>
        </w:rPr>
        <w:t>: NBS,</w:t>
      </w:r>
    </w:p>
    <w:p w:rsidR="00D27093" w:rsidRPr="00523598" w:rsidRDefault="00D27093" w:rsidP="00D27093">
      <w:pPr>
        <w:pStyle w:val="Odsekzoznamu"/>
        <w:numPr>
          <w:ilvl w:val="0"/>
          <w:numId w:val="11"/>
        </w:numPr>
        <w:jc w:val="both"/>
        <w:rPr>
          <w:lang w:eastAsia="sk-SK"/>
        </w:rPr>
      </w:pPr>
      <w:r w:rsidRPr="00523598">
        <w:rPr>
          <w:iCs/>
        </w:rPr>
        <w:t xml:space="preserve">smernica Európskeho parlamentu a Rady </w:t>
      </w:r>
      <w:r w:rsidRPr="00523598">
        <w:rPr>
          <w:iCs/>
          <w:u w:val="single"/>
        </w:rPr>
        <w:t>2009/110/ES</w:t>
      </w:r>
      <w:r w:rsidRPr="00523598">
        <w:rPr>
          <w:iCs/>
        </w:rPr>
        <w:t xml:space="preserve"> zo 16. septembra 2009 o začatí a vykonávaní činností a dohľade nad obozretným podnikaním inštitúcií elektronického peňažníctva, ktorou sa menia a dopĺňajú smernice 2005/60/ES a</w:t>
      </w:r>
      <w:r w:rsidRPr="00523598">
        <w:rPr>
          <w:rStyle w:val="Siln"/>
        </w:rPr>
        <w:t> </w:t>
      </w:r>
      <w:r w:rsidRPr="00523598">
        <w:rPr>
          <w:iCs/>
        </w:rPr>
        <w:t xml:space="preserve"> 2006/48/ES a zrušuje smernica 2000/46/ES (Ú. v. EÚ L 267, 10.10. 2009) v platnom znení, </w:t>
      </w:r>
      <w:r w:rsidRPr="00523598">
        <w:rPr>
          <w:lang w:eastAsia="sk-SK"/>
        </w:rPr>
        <w:t xml:space="preserve">gestor: MF SR, </w:t>
      </w:r>
      <w:proofErr w:type="spellStart"/>
      <w:r w:rsidRPr="00523598">
        <w:rPr>
          <w:lang w:eastAsia="sk-SK"/>
        </w:rPr>
        <w:t>spolugestor</w:t>
      </w:r>
      <w:proofErr w:type="spellEnd"/>
      <w:r w:rsidRPr="00523598">
        <w:rPr>
          <w:lang w:eastAsia="sk-SK"/>
        </w:rPr>
        <w:t>: NBS, MV SR,</w:t>
      </w:r>
    </w:p>
    <w:p w:rsidR="00D27093" w:rsidRPr="00523598" w:rsidRDefault="00D27093" w:rsidP="00D27093">
      <w:pPr>
        <w:pStyle w:val="Odsekzoznamu"/>
        <w:numPr>
          <w:ilvl w:val="0"/>
          <w:numId w:val="11"/>
        </w:numPr>
        <w:jc w:val="both"/>
        <w:rPr>
          <w:lang w:eastAsia="sk-SK"/>
        </w:rPr>
      </w:pPr>
      <w:r w:rsidRPr="00523598">
        <w:rPr>
          <w:color w:val="000000"/>
        </w:rPr>
        <w:t>smernica</w:t>
      </w:r>
      <w:r w:rsidRPr="00523598">
        <w:rPr>
          <w:color w:val="000000"/>
          <w:spacing w:val="56"/>
        </w:rPr>
        <w:t xml:space="preserve"> </w:t>
      </w:r>
      <w:r w:rsidRPr="00523598">
        <w:rPr>
          <w:color w:val="000000"/>
        </w:rPr>
        <w:t>Európskeho</w:t>
      </w:r>
      <w:r w:rsidRPr="00523598">
        <w:rPr>
          <w:color w:val="000000"/>
          <w:spacing w:val="56"/>
        </w:rPr>
        <w:t xml:space="preserve"> </w:t>
      </w:r>
      <w:r w:rsidRPr="00523598">
        <w:rPr>
          <w:color w:val="000000"/>
        </w:rPr>
        <w:t>parlamentu</w:t>
      </w:r>
      <w:r w:rsidRPr="00523598">
        <w:rPr>
          <w:color w:val="000000"/>
          <w:spacing w:val="56"/>
        </w:rPr>
        <w:t xml:space="preserve"> </w:t>
      </w:r>
      <w:r w:rsidRPr="00523598">
        <w:rPr>
          <w:color w:val="000000"/>
        </w:rPr>
        <w:t>a</w:t>
      </w:r>
      <w:r w:rsidRPr="00523598">
        <w:rPr>
          <w:color w:val="000000"/>
          <w:spacing w:val="56"/>
        </w:rPr>
        <w:t xml:space="preserve"> </w:t>
      </w:r>
      <w:r w:rsidRPr="00523598">
        <w:rPr>
          <w:color w:val="000000"/>
        </w:rPr>
        <w:t>Rady</w:t>
      </w:r>
      <w:r w:rsidRPr="00523598">
        <w:rPr>
          <w:color w:val="000000"/>
          <w:spacing w:val="56"/>
        </w:rPr>
        <w:t xml:space="preserve"> </w:t>
      </w:r>
      <w:r w:rsidRPr="00523598">
        <w:rPr>
          <w:color w:val="000000"/>
          <w:u w:val="single"/>
        </w:rPr>
        <w:t>2013/34/EÚ</w:t>
      </w:r>
      <w:r w:rsidRPr="00523598">
        <w:rPr>
          <w:color w:val="000000"/>
          <w:spacing w:val="56"/>
        </w:rPr>
        <w:t xml:space="preserve"> </w:t>
      </w:r>
      <w:r w:rsidRPr="00523598">
        <w:rPr>
          <w:color w:val="000000"/>
        </w:rPr>
        <w:t>z</w:t>
      </w:r>
      <w:r w:rsidRPr="00523598">
        <w:rPr>
          <w:color w:val="000000"/>
          <w:spacing w:val="56"/>
        </w:rPr>
        <w:t xml:space="preserve"> </w:t>
      </w:r>
      <w:r w:rsidRPr="00523598">
        <w:rPr>
          <w:color w:val="000000"/>
        </w:rPr>
        <w:t>26.</w:t>
      </w:r>
      <w:r w:rsidRPr="00523598">
        <w:rPr>
          <w:color w:val="000000"/>
          <w:spacing w:val="56"/>
        </w:rPr>
        <w:t xml:space="preserve"> </w:t>
      </w:r>
      <w:r w:rsidRPr="00523598">
        <w:rPr>
          <w:color w:val="000000"/>
        </w:rPr>
        <w:t>júna</w:t>
      </w:r>
      <w:r w:rsidRPr="00523598">
        <w:rPr>
          <w:color w:val="000000"/>
          <w:spacing w:val="56"/>
        </w:rPr>
        <w:t xml:space="preserve"> </w:t>
      </w:r>
      <w:r w:rsidRPr="00523598">
        <w:rPr>
          <w:color w:val="000000"/>
        </w:rPr>
        <w:t>2013</w:t>
      </w:r>
      <w:r w:rsidRPr="00523598">
        <w:rPr>
          <w:color w:val="000000"/>
          <w:spacing w:val="56"/>
        </w:rPr>
        <w:t xml:space="preserve"> </w:t>
      </w:r>
      <w:r w:rsidRPr="00523598">
        <w:rPr>
          <w:color w:val="000000"/>
        </w:rPr>
        <w:t>o</w:t>
      </w:r>
      <w:r w:rsidRPr="00523598">
        <w:rPr>
          <w:color w:val="000000"/>
          <w:spacing w:val="56"/>
        </w:rPr>
        <w:t> </w:t>
      </w:r>
      <w:r w:rsidRPr="00523598">
        <w:rPr>
          <w:color w:val="000000"/>
        </w:rPr>
        <w:t>ročných účtovných závierkach, konsolidovaných účtovných závierkach a súvisiacich správach určitých druhov podnikov, ktorou sa mení smernica Európskeho parlamentu a Rady 2006/43/ES a zrušujú smernice Rady 78/660/EHS a</w:t>
      </w:r>
      <w:r w:rsidRPr="00523598">
        <w:rPr>
          <w:rStyle w:val="Siln"/>
        </w:rPr>
        <w:t> </w:t>
      </w:r>
      <w:r w:rsidRPr="00523598">
        <w:rPr>
          <w:color w:val="000000"/>
        </w:rPr>
        <w:t xml:space="preserve"> 83/349/EHS (Ú. v. EÚ L 182, 29.6.2013) v platnom znení, gestor: MF SR,</w:t>
      </w:r>
    </w:p>
    <w:p w:rsidR="00D27093" w:rsidRPr="00523598" w:rsidRDefault="00D27093" w:rsidP="00D27093">
      <w:pPr>
        <w:pStyle w:val="Odsekzoznamu"/>
        <w:numPr>
          <w:ilvl w:val="0"/>
          <w:numId w:val="11"/>
        </w:numPr>
        <w:jc w:val="both"/>
        <w:rPr>
          <w:lang w:eastAsia="sk-SK"/>
        </w:rPr>
      </w:pPr>
      <w:r w:rsidRPr="00523598">
        <w:rPr>
          <w:lang w:eastAsia="sk-SK"/>
        </w:rPr>
        <w:t>smernica</w:t>
      </w:r>
      <w:r w:rsidRPr="00523598">
        <w:rPr>
          <w:spacing w:val="6"/>
          <w:lang w:eastAsia="sk-SK"/>
        </w:rPr>
        <w:t xml:space="preserve"> </w:t>
      </w:r>
      <w:r w:rsidRPr="00523598">
        <w:rPr>
          <w:shd w:val="clear" w:color="auto" w:fill="FFFFFF"/>
        </w:rPr>
        <w:t xml:space="preserve">Európskeho parlamentu a Rady </w:t>
      </w:r>
      <w:r w:rsidRPr="00523598">
        <w:rPr>
          <w:u w:val="single"/>
          <w:shd w:val="clear" w:color="auto" w:fill="FFFFFF"/>
        </w:rPr>
        <w:t>2013/36/EÚ</w:t>
      </w:r>
      <w:r w:rsidRPr="00523598">
        <w:rPr>
          <w:shd w:val="clear" w:color="auto" w:fill="FFFFFF"/>
        </w:rPr>
        <w:t xml:space="preserve"> z 26. júna 2013 o prístupe k činnosti úverových inštitúcií a </w:t>
      </w:r>
      <w:proofErr w:type="spellStart"/>
      <w:r w:rsidRPr="00523598">
        <w:rPr>
          <w:shd w:val="clear" w:color="auto" w:fill="FFFFFF"/>
        </w:rPr>
        <w:t>prudenciálnom</w:t>
      </w:r>
      <w:proofErr w:type="spellEnd"/>
      <w:r w:rsidRPr="00523598">
        <w:rPr>
          <w:shd w:val="clear" w:color="auto" w:fill="FFFFFF"/>
        </w:rPr>
        <w:t xml:space="preserve"> dohľade nad úverovými inštitúciami, o zmene smernice 2002/87/ES a o zrušení smerníc 2006/48/ES a 2006/49/ES </w:t>
      </w:r>
      <w:r w:rsidRPr="00523598">
        <w:rPr>
          <w:lang w:eastAsia="sk-SK"/>
        </w:rPr>
        <w:t xml:space="preserve">(Ú. v. EÚ L 176, 27.6.2013) v platnom znení, gestor: MF SR, </w:t>
      </w:r>
      <w:proofErr w:type="spellStart"/>
      <w:r w:rsidRPr="00523598">
        <w:rPr>
          <w:lang w:eastAsia="sk-SK"/>
        </w:rPr>
        <w:t>spolugestor</w:t>
      </w:r>
      <w:proofErr w:type="spellEnd"/>
      <w:r w:rsidRPr="00523598">
        <w:rPr>
          <w:lang w:eastAsia="sk-SK"/>
        </w:rPr>
        <w:t>: NBS,</w:t>
      </w:r>
    </w:p>
    <w:p w:rsidR="00D27093" w:rsidRPr="00523598" w:rsidRDefault="00D27093" w:rsidP="00D27093">
      <w:pPr>
        <w:pStyle w:val="Odsekzoznamu"/>
        <w:numPr>
          <w:ilvl w:val="0"/>
          <w:numId w:val="11"/>
        </w:numPr>
        <w:spacing w:after="200"/>
        <w:jc w:val="both"/>
        <w:rPr>
          <w:color w:val="000000"/>
          <w:lang w:eastAsia="sk-SK"/>
        </w:rPr>
      </w:pPr>
      <w:r w:rsidRPr="00523598">
        <w:rPr>
          <w:shd w:val="clear" w:color="auto" w:fill="FFFFFF"/>
        </w:rPr>
        <w:t xml:space="preserve">smernica Európskeho parlamentu a Rady (EÚ) </w:t>
      </w:r>
      <w:r w:rsidRPr="00523598">
        <w:rPr>
          <w:u w:val="single"/>
          <w:shd w:val="clear" w:color="auto" w:fill="FFFFFF"/>
        </w:rPr>
        <w:t>2015/2366</w:t>
      </w:r>
      <w:r w:rsidRPr="00523598">
        <w:rPr>
          <w:shd w:val="clear" w:color="auto" w:fill="FFFFFF"/>
        </w:rPr>
        <w:t xml:space="preserve"> z 25. novembra 2015 o platobných službách na vnútornom trhu, ktorou sa menia smernice 2002/65/ES, 2009/110/ES a 2013/36/EÚ a nariadenie (EÚ) č. 1093/2010 a ktorou sa zrušuje</w:t>
      </w:r>
      <w:r w:rsidRPr="00523598">
        <w:rPr>
          <w:color w:val="000000"/>
          <w:lang w:eastAsia="sk-SK"/>
        </w:rPr>
        <w:t xml:space="preserve"> smernica 2007/64/ES (Ú. v. EÚ L 337, 23.12.2015) v platnom znení, gestor: MF SR, </w:t>
      </w:r>
      <w:proofErr w:type="spellStart"/>
      <w:r w:rsidRPr="00523598">
        <w:rPr>
          <w:color w:val="000000"/>
          <w:lang w:eastAsia="sk-SK"/>
        </w:rPr>
        <w:t>spolugestor</w:t>
      </w:r>
      <w:proofErr w:type="spellEnd"/>
      <w:r w:rsidRPr="00523598">
        <w:rPr>
          <w:color w:val="000000"/>
          <w:lang w:eastAsia="sk-SK"/>
        </w:rPr>
        <w:t>: NBS,</w:t>
      </w:r>
    </w:p>
    <w:p w:rsidR="00D27093" w:rsidRPr="00523598" w:rsidRDefault="00D27093" w:rsidP="00D27093">
      <w:pPr>
        <w:pStyle w:val="Odsekzoznamu"/>
        <w:numPr>
          <w:ilvl w:val="0"/>
          <w:numId w:val="11"/>
        </w:numPr>
        <w:jc w:val="both"/>
        <w:rPr>
          <w:lang w:eastAsia="sk-SK"/>
        </w:rPr>
      </w:pPr>
      <w:r w:rsidRPr="00523598">
        <w:t xml:space="preserve">smernica Európskeho parlamentu a Rady (EÚ) </w:t>
      </w:r>
      <w:r w:rsidRPr="00523598">
        <w:rPr>
          <w:u w:val="single"/>
        </w:rPr>
        <w:t>2019/878</w:t>
      </w:r>
      <w:r w:rsidRPr="00523598">
        <w:t xml:space="preserve"> z 20. mája 2019, ktorou sa mení smernica 2013/36/EÚ, pokiaľ ide o oslobodené subjekty, finančné holdingové spoločnosti, zmiešané finančné holdingové spoločnosti, odmeňovanie, opatrenia a právomoci v oblasti dohľadu a opatrenia na zachovanie kapitálu (Ú. v. EÚ L 150, 7.6.2019) </w:t>
      </w:r>
      <w:r w:rsidRPr="00523598">
        <w:rPr>
          <w:lang w:eastAsia="sk-SK"/>
        </w:rPr>
        <w:t>v platnom znení</w:t>
      </w:r>
      <w:r w:rsidRPr="00523598">
        <w:t xml:space="preserve">, gestor: </w:t>
      </w:r>
      <w:r w:rsidRPr="00523598">
        <w:rPr>
          <w:iCs/>
        </w:rPr>
        <w:t xml:space="preserve">MF SR, </w:t>
      </w:r>
      <w:r w:rsidRPr="00523598">
        <w:rPr>
          <w:iCs/>
          <w:noProof/>
        </w:rPr>
        <w:t>spolugestor: NBS,</w:t>
      </w:r>
    </w:p>
    <w:p w:rsidR="00D27093" w:rsidRPr="00523598" w:rsidRDefault="00D27093" w:rsidP="00D27093">
      <w:pPr>
        <w:pStyle w:val="Odsekzoznamu"/>
        <w:numPr>
          <w:ilvl w:val="0"/>
          <w:numId w:val="11"/>
        </w:numPr>
        <w:spacing w:after="200"/>
        <w:jc w:val="both"/>
        <w:rPr>
          <w:color w:val="000000"/>
          <w:lang w:eastAsia="sk-SK"/>
        </w:rPr>
      </w:pPr>
      <w:r w:rsidRPr="00523598">
        <w:rPr>
          <w:color w:val="000000"/>
          <w:lang w:eastAsia="sk-SK"/>
        </w:rPr>
        <w:lastRenderedPageBreak/>
        <w:t xml:space="preserve">smernica Európskeho parlamentu a Rady (EÚ) </w:t>
      </w:r>
      <w:r w:rsidRPr="00523598">
        <w:rPr>
          <w:color w:val="000000"/>
          <w:u w:val="single"/>
          <w:lang w:eastAsia="sk-SK"/>
        </w:rPr>
        <w:t>2019/2034</w:t>
      </w:r>
      <w:r w:rsidRPr="00523598">
        <w:rPr>
          <w:color w:val="000000"/>
          <w:lang w:eastAsia="sk-SK"/>
        </w:rPr>
        <w:t xml:space="preserve"> z 27. novembra 2019 o </w:t>
      </w:r>
      <w:proofErr w:type="spellStart"/>
      <w:r w:rsidRPr="00523598">
        <w:rPr>
          <w:color w:val="000000"/>
          <w:lang w:eastAsia="sk-SK"/>
        </w:rPr>
        <w:t>prudenciálnom</w:t>
      </w:r>
      <w:proofErr w:type="spellEnd"/>
      <w:r w:rsidRPr="00523598">
        <w:rPr>
          <w:color w:val="000000"/>
          <w:lang w:eastAsia="sk-SK"/>
        </w:rPr>
        <w:t xml:space="preserve"> dohľade nad investičnými spoločnosťami a o zmene smerníc 2002/87/ES, 2009/65/ES, 2011/61/ES, 2013/36/EÚ, 2014/59/EÚ a 2014/65/EÚ (Ú. v. EÚ L 314, 5.12.2019) </w:t>
      </w:r>
      <w:r w:rsidRPr="00523598">
        <w:rPr>
          <w:lang w:eastAsia="sk-SK"/>
        </w:rPr>
        <w:t>v platnom znení</w:t>
      </w:r>
      <w:r w:rsidRPr="00523598">
        <w:rPr>
          <w:color w:val="000000"/>
          <w:lang w:eastAsia="sk-SK"/>
        </w:rPr>
        <w:t xml:space="preserve">, gestor: MF SR, </w:t>
      </w:r>
      <w:proofErr w:type="spellStart"/>
      <w:r w:rsidRPr="00523598">
        <w:rPr>
          <w:color w:val="000000"/>
          <w:lang w:eastAsia="sk-SK"/>
        </w:rPr>
        <w:t>spolugestor</w:t>
      </w:r>
      <w:proofErr w:type="spellEnd"/>
      <w:r w:rsidRPr="00523598">
        <w:rPr>
          <w:color w:val="000000"/>
          <w:lang w:eastAsia="sk-SK"/>
        </w:rPr>
        <w:t>: NBS,</w:t>
      </w:r>
    </w:p>
    <w:p w:rsidR="00D27093" w:rsidRPr="00523598" w:rsidRDefault="00D27093" w:rsidP="00D27093">
      <w:pPr>
        <w:pStyle w:val="Odsekzoznamu"/>
        <w:numPr>
          <w:ilvl w:val="0"/>
          <w:numId w:val="11"/>
        </w:numPr>
        <w:spacing w:after="200"/>
        <w:jc w:val="both"/>
        <w:rPr>
          <w:color w:val="000000"/>
          <w:lang w:eastAsia="sk-SK"/>
        </w:rPr>
      </w:pPr>
      <w:r w:rsidRPr="00523598">
        <w:rPr>
          <w:color w:val="000000"/>
          <w:lang w:eastAsia="sk-SK"/>
        </w:rPr>
        <w:t xml:space="preserve">nariadenie Európskeho parlamentu a Rady (EÚ) </w:t>
      </w:r>
      <w:r w:rsidRPr="00523598">
        <w:rPr>
          <w:color w:val="000000"/>
          <w:u w:val="single"/>
          <w:lang w:eastAsia="sk-SK"/>
        </w:rPr>
        <w:t>2023/1114</w:t>
      </w:r>
      <w:r w:rsidRPr="00523598">
        <w:rPr>
          <w:color w:val="000000"/>
          <w:lang w:eastAsia="sk-SK"/>
        </w:rPr>
        <w:t xml:space="preserve"> z 31. mája 2023 o trhoch s kryptoaktívami a o zmene nariadení (EÚ) č. 1093/2010 a (EÚ) č.</w:t>
      </w:r>
      <w:r w:rsidRPr="00523598">
        <w:rPr>
          <w:shd w:val="clear" w:color="auto" w:fill="FFFFFF"/>
        </w:rPr>
        <w:t> </w:t>
      </w:r>
      <w:r w:rsidRPr="00523598">
        <w:rPr>
          <w:color w:val="000000"/>
          <w:lang w:eastAsia="sk-SK"/>
        </w:rPr>
        <w:t>1095/2010 a smerníc 2013/36/EÚ a (EÚ) 2019/1937 (Ú. v. EÚ L 150, 9.6.2023), v platnom znení, gestori: MF SR, NBS,</w:t>
      </w:r>
    </w:p>
    <w:p w:rsidR="00D27093" w:rsidRPr="00523598" w:rsidRDefault="00D27093" w:rsidP="00D27093">
      <w:pPr>
        <w:pStyle w:val="Odsekzoznamu"/>
        <w:numPr>
          <w:ilvl w:val="0"/>
          <w:numId w:val="11"/>
        </w:numPr>
        <w:jc w:val="both"/>
        <w:rPr>
          <w:lang w:eastAsia="sk-SK"/>
        </w:rPr>
      </w:pPr>
      <w:r w:rsidRPr="00523598">
        <w:rPr>
          <w:color w:val="000000" w:themeColor="text1"/>
        </w:rPr>
        <w:t xml:space="preserve">nariadenie </w:t>
      </w:r>
      <w:r w:rsidRPr="00523598">
        <w:rPr>
          <w:rStyle w:val="PremennHTML"/>
          <w:color w:val="000000" w:themeColor="text1"/>
          <w:shd w:val="clear" w:color="auto" w:fill="FFFFFF"/>
        </w:rPr>
        <w:t xml:space="preserve">Európskeho parlamentu a Rady (EÚ) </w:t>
      </w:r>
      <w:r w:rsidRPr="00523598">
        <w:rPr>
          <w:rStyle w:val="PremennHTML"/>
          <w:color w:val="000000" w:themeColor="text1"/>
          <w:u w:val="single"/>
          <w:shd w:val="clear" w:color="auto" w:fill="FFFFFF"/>
        </w:rPr>
        <w:t>2021/1230</w:t>
      </w:r>
      <w:r w:rsidRPr="00523598">
        <w:rPr>
          <w:rStyle w:val="PremennHTML"/>
          <w:color w:val="000000" w:themeColor="text1"/>
          <w:shd w:val="clear" w:color="auto" w:fill="FFFFFF"/>
        </w:rPr>
        <w:t xml:space="preserve"> </w:t>
      </w:r>
      <w:r w:rsidRPr="00523598">
        <w:rPr>
          <w:color w:val="000000" w:themeColor="text1"/>
        </w:rPr>
        <w:t>zo 14. júla 2021 o cezhraničných platbách v Únii (kodifikované znenie) (Ú. v. EÚ L 274, 30.7.2021) v platnom znení, gestori: MF SR, NBS,</w:t>
      </w:r>
    </w:p>
    <w:p w:rsidR="00D27093" w:rsidRPr="00523598" w:rsidRDefault="00D27093" w:rsidP="00D27093">
      <w:pPr>
        <w:pStyle w:val="Odsekzoznamu"/>
        <w:numPr>
          <w:ilvl w:val="0"/>
          <w:numId w:val="11"/>
        </w:numPr>
        <w:jc w:val="both"/>
        <w:rPr>
          <w:lang w:eastAsia="sk-SK"/>
        </w:rPr>
      </w:pPr>
      <w:r w:rsidRPr="00523598">
        <w:rPr>
          <w:lang w:eastAsia="sk-SK"/>
        </w:rPr>
        <w:t>nariadenie Európskeho</w:t>
      </w:r>
      <w:r w:rsidRPr="00523598">
        <w:rPr>
          <w:spacing w:val="69"/>
          <w:lang w:eastAsia="sk-SK"/>
        </w:rPr>
        <w:t xml:space="preserve"> </w:t>
      </w:r>
      <w:r w:rsidRPr="00523598">
        <w:rPr>
          <w:lang w:eastAsia="sk-SK"/>
        </w:rPr>
        <w:t>parlamentu</w:t>
      </w:r>
      <w:r w:rsidRPr="00523598">
        <w:rPr>
          <w:spacing w:val="69"/>
          <w:lang w:eastAsia="sk-SK"/>
        </w:rPr>
        <w:t xml:space="preserve"> </w:t>
      </w:r>
      <w:r w:rsidRPr="00523598">
        <w:rPr>
          <w:lang w:eastAsia="sk-SK"/>
        </w:rPr>
        <w:t>a Rady</w:t>
      </w:r>
      <w:r w:rsidRPr="00523598">
        <w:rPr>
          <w:spacing w:val="69"/>
          <w:lang w:eastAsia="sk-SK"/>
        </w:rPr>
        <w:t xml:space="preserve"> </w:t>
      </w:r>
      <w:r w:rsidRPr="00523598">
        <w:rPr>
          <w:lang w:eastAsia="sk-SK"/>
        </w:rPr>
        <w:t>(EÚ)</w:t>
      </w:r>
      <w:r w:rsidRPr="00523598">
        <w:rPr>
          <w:spacing w:val="69"/>
          <w:lang w:eastAsia="sk-SK"/>
        </w:rPr>
        <w:t xml:space="preserve"> </w:t>
      </w:r>
      <w:r w:rsidRPr="00523598">
        <w:rPr>
          <w:lang w:eastAsia="sk-SK"/>
        </w:rPr>
        <w:t xml:space="preserve">č. </w:t>
      </w:r>
      <w:r w:rsidRPr="00523598">
        <w:rPr>
          <w:u w:val="single"/>
          <w:lang w:eastAsia="sk-SK"/>
        </w:rPr>
        <w:t>575/2013</w:t>
      </w:r>
      <w:r w:rsidRPr="00523598">
        <w:rPr>
          <w:lang w:eastAsia="sk-SK"/>
        </w:rPr>
        <w:t xml:space="preserve"> z 26. júna 2013 o prudenciálnych požiadavkách na úverové inštitúcie a o zmene nariadenia (EÚ) č. 648/2012 (Ú. v. EÚ L 176, 27.6.2013) v platnom znení, </w:t>
      </w:r>
      <w:r w:rsidRPr="00523598">
        <w:t>gestori: MF SR, NBS,</w:t>
      </w:r>
    </w:p>
    <w:p w:rsidR="00D27093" w:rsidRPr="00523598" w:rsidRDefault="00D27093" w:rsidP="00D27093">
      <w:pPr>
        <w:pStyle w:val="Odsekzoznamu"/>
        <w:numPr>
          <w:ilvl w:val="0"/>
          <w:numId w:val="11"/>
        </w:numPr>
        <w:jc w:val="both"/>
        <w:rPr>
          <w:shd w:val="clear" w:color="auto" w:fill="FFFFFF"/>
        </w:rPr>
      </w:pPr>
      <w:r w:rsidRPr="00523598">
        <w:t xml:space="preserve">nariadenie Európskeho parlamentu a Rady (EÚ) č. </w:t>
      </w:r>
      <w:r w:rsidRPr="00523598">
        <w:rPr>
          <w:u w:val="single"/>
        </w:rPr>
        <w:t>1095/2010</w:t>
      </w:r>
      <w:r w:rsidRPr="00523598">
        <w:t xml:space="preserve"> z 24. novembra 2010, ktorým sa zriaďuje Európsky orgán dohľadu (Európsky orgán pre cenné papiere a trhy) a ktorým sa mení a dopĺňa rozhodnutie č. 716/2009/ES a zrušuje rozhodnutie Komisie 2009/77/ES (Ú. v. EÚ L 331, 15.12.2010) v platnom znení, gestori: MF SR, NBS,</w:t>
      </w:r>
    </w:p>
    <w:p w:rsidR="00D27093" w:rsidRPr="00523598" w:rsidRDefault="00D27093" w:rsidP="00D27093">
      <w:pPr>
        <w:pStyle w:val="Odsekzoznamu"/>
        <w:numPr>
          <w:ilvl w:val="0"/>
          <w:numId w:val="11"/>
        </w:numPr>
        <w:jc w:val="both"/>
        <w:rPr>
          <w:shd w:val="clear" w:color="auto" w:fill="FFFFFF"/>
        </w:rPr>
      </w:pPr>
      <w:r w:rsidRPr="00523598">
        <w:t xml:space="preserve">nariadenie Európskeho parlamentu a Rady (EÚ) č. </w:t>
      </w:r>
      <w:r w:rsidRPr="00523598">
        <w:rPr>
          <w:u w:val="single"/>
        </w:rPr>
        <w:t>1093/2010</w:t>
      </w:r>
      <w:r w:rsidRPr="00523598">
        <w:t xml:space="preserve"> z 24. novembra 2010, ktorým sa zriaďuje Európsky orgán dohľadu (Európsky orgán pre bankovníctvo) a ktorým sa mení a dopĺňa rozhodnutie č. 716/2009/ES a zrušuje rozhodnutie Komisie 2009/78/ES (Ú. v. EÚ L 331, 15.12.2010) v platnom znení, gestori: MF SR, NBS,</w:t>
      </w:r>
    </w:p>
    <w:p w:rsidR="00D27093" w:rsidRPr="00523598" w:rsidRDefault="00D27093" w:rsidP="00D27093">
      <w:pPr>
        <w:pStyle w:val="Odsekzoznamu"/>
        <w:numPr>
          <w:ilvl w:val="0"/>
          <w:numId w:val="11"/>
        </w:numPr>
        <w:jc w:val="both"/>
        <w:rPr>
          <w:shd w:val="clear" w:color="auto" w:fill="FFFFFF"/>
        </w:rPr>
      </w:pPr>
      <w:r w:rsidRPr="00523598">
        <w:t xml:space="preserve">nariadenie Európskeho parlamentu a Rady (EÚ) č. </w:t>
      </w:r>
      <w:r w:rsidRPr="00523598">
        <w:rPr>
          <w:u w:val="single"/>
        </w:rPr>
        <w:t>1092/2010</w:t>
      </w:r>
      <w:r w:rsidRPr="00523598">
        <w:t xml:space="preserve"> z 24. novembra 2010 o makroprudenciálnom dohľade Európskej únie nad finančným systémom a o zriadení Európskeho výboru pre systémové riziká (Ú. v. EÚ L 331, 15. 12. 2010) v platnom znení, gestori: MF SR, NBS,</w:t>
      </w:r>
    </w:p>
    <w:p w:rsidR="00D27093" w:rsidRPr="00523598" w:rsidRDefault="00D27093" w:rsidP="00D27093">
      <w:pPr>
        <w:pStyle w:val="Odsekzoznamu"/>
        <w:numPr>
          <w:ilvl w:val="0"/>
          <w:numId w:val="11"/>
        </w:numPr>
        <w:jc w:val="both"/>
        <w:rPr>
          <w:rStyle w:val="Zvraznenie"/>
          <w:i w:val="0"/>
          <w:iCs w:val="0"/>
          <w:shd w:val="clear" w:color="auto" w:fill="FFFFFF"/>
        </w:rPr>
      </w:pPr>
      <w:r w:rsidRPr="00523598">
        <w:t>nariadenie Rady (ES) č. </w:t>
      </w:r>
      <w:r w:rsidRPr="00523598">
        <w:rPr>
          <w:u w:val="single"/>
        </w:rPr>
        <w:t>2533/98</w:t>
      </w:r>
      <w:r w:rsidRPr="00523598">
        <w:t xml:space="preserve"> z 23. novembra 1998 o zbere štatistických informácií Európskou centrálnou bankou (Ú. v. ES, L 318, 27. 11. 1998; Mimoriadne vydanie Ú. v. EÚ, kap. 1/zv. 3) v platnom znení, gestori: MF SR, NBS.</w:t>
      </w:r>
    </w:p>
    <w:p w:rsidR="00D27093" w:rsidRPr="00523598" w:rsidRDefault="00D27093" w:rsidP="00D27093">
      <w:pPr>
        <w:rPr>
          <w:lang w:eastAsia="sk-SK"/>
        </w:rPr>
      </w:pPr>
    </w:p>
    <w:p w:rsidR="00D27093" w:rsidRPr="00523598" w:rsidRDefault="00D27093" w:rsidP="00D27093">
      <w:pPr>
        <w:rPr>
          <w:lang w:eastAsia="sk-SK"/>
        </w:rPr>
      </w:pPr>
    </w:p>
    <w:p w:rsidR="00D27093" w:rsidRPr="00523598" w:rsidRDefault="00D27093" w:rsidP="00D27093">
      <w:pPr>
        <w:pStyle w:val="Odsekzoznamu"/>
        <w:numPr>
          <w:ilvl w:val="0"/>
          <w:numId w:val="10"/>
        </w:numPr>
        <w:rPr>
          <w:lang w:eastAsia="sk-SK"/>
        </w:rPr>
      </w:pPr>
      <w:r w:rsidRPr="00523598">
        <w:rPr>
          <w:lang w:eastAsia="sk-SK"/>
        </w:rPr>
        <w:t>v judikatúre Súdneho dvora Európskej únie</w:t>
      </w:r>
    </w:p>
    <w:p w:rsidR="00D27093" w:rsidRPr="00523598" w:rsidRDefault="00D27093" w:rsidP="00D27093">
      <w:pPr>
        <w:pStyle w:val="Odsekzoznamu"/>
        <w:numPr>
          <w:ilvl w:val="0"/>
          <w:numId w:val="11"/>
        </w:numPr>
        <w:jc w:val="both"/>
        <w:rPr>
          <w:lang w:eastAsia="sk-SK"/>
        </w:rPr>
      </w:pPr>
      <w:r w:rsidRPr="00523598">
        <w:rPr>
          <w:lang w:eastAsia="sk-SK"/>
        </w:rPr>
        <w:t>rozsudok</w:t>
      </w:r>
      <w:r w:rsidRPr="00523598">
        <w:rPr>
          <w:spacing w:val="15"/>
          <w:lang w:eastAsia="sk-SK"/>
        </w:rPr>
        <w:t xml:space="preserve"> </w:t>
      </w:r>
      <w:r w:rsidRPr="00523598">
        <w:rPr>
          <w:lang w:eastAsia="sk-SK"/>
        </w:rPr>
        <w:t>Súdneho</w:t>
      </w:r>
      <w:r w:rsidRPr="00523598">
        <w:rPr>
          <w:spacing w:val="15"/>
          <w:lang w:eastAsia="sk-SK"/>
        </w:rPr>
        <w:t xml:space="preserve"> </w:t>
      </w:r>
      <w:r w:rsidRPr="00523598">
        <w:rPr>
          <w:lang w:eastAsia="sk-SK"/>
        </w:rPr>
        <w:t>dvora</w:t>
      </w:r>
      <w:r w:rsidRPr="00523598">
        <w:rPr>
          <w:spacing w:val="15"/>
          <w:lang w:eastAsia="sk-SK"/>
        </w:rPr>
        <w:t xml:space="preserve"> </w:t>
      </w:r>
      <w:r w:rsidRPr="00523598">
        <w:rPr>
          <w:lang w:eastAsia="sk-SK"/>
        </w:rPr>
        <w:t>vo</w:t>
      </w:r>
      <w:r w:rsidRPr="00523598">
        <w:rPr>
          <w:spacing w:val="15"/>
          <w:lang w:eastAsia="sk-SK"/>
        </w:rPr>
        <w:t xml:space="preserve"> </w:t>
      </w:r>
      <w:r w:rsidRPr="00523598">
        <w:rPr>
          <w:lang w:eastAsia="sk-SK"/>
        </w:rPr>
        <w:t>veci</w:t>
      </w:r>
      <w:r w:rsidRPr="00523598">
        <w:rPr>
          <w:spacing w:val="15"/>
          <w:lang w:eastAsia="sk-SK"/>
        </w:rPr>
        <w:t xml:space="preserve"> </w:t>
      </w:r>
      <w:r w:rsidRPr="00523598">
        <w:rPr>
          <w:lang w:eastAsia="sk-SK"/>
        </w:rPr>
        <w:t>C</w:t>
      </w:r>
      <w:r w:rsidRPr="00523598">
        <w:noBreakHyphen/>
      </w:r>
      <w:r w:rsidRPr="00523598">
        <w:rPr>
          <w:lang w:eastAsia="sk-SK"/>
        </w:rPr>
        <w:t>452/04,</w:t>
      </w:r>
      <w:r w:rsidRPr="00523598">
        <w:rPr>
          <w:spacing w:val="15"/>
          <w:lang w:eastAsia="sk-SK"/>
        </w:rPr>
        <w:t xml:space="preserve"> </w:t>
      </w:r>
      <w:proofErr w:type="spellStart"/>
      <w:r w:rsidRPr="00523598">
        <w:rPr>
          <w:lang w:eastAsia="sk-SK"/>
        </w:rPr>
        <w:t>Fidium</w:t>
      </w:r>
      <w:proofErr w:type="spellEnd"/>
      <w:r w:rsidRPr="00523598">
        <w:rPr>
          <w:spacing w:val="15"/>
          <w:lang w:eastAsia="sk-SK"/>
        </w:rPr>
        <w:t xml:space="preserve"> </w:t>
      </w:r>
      <w:proofErr w:type="spellStart"/>
      <w:r w:rsidRPr="00523598">
        <w:rPr>
          <w:lang w:eastAsia="sk-SK"/>
        </w:rPr>
        <w:t>Finanz</w:t>
      </w:r>
      <w:proofErr w:type="spellEnd"/>
      <w:r w:rsidRPr="00523598">
        <w:rPr>
          <w:spacing w:val="15"/>
          <w:lang w:eastAsia="sk-SK"/>
        </w:rPr>
        <w:t xml:space="preserve"> </w:t>
      </w:r>
      <w:r w:rsidRPr="00523598">
        <w:rPr>
          <w:lang w:eastAsia="sk-SK"/>
        </w:rPr>
        <w:t>AG</w:t>
      </w:r>
      <w:r w:rsidRPr="00523598">
        <w:rPr>
          <w:spacing w:val="15"/>
          <w:lang w:eastAsia="sk-SK"/>
        </w:rPr>
        <w:t xml:space="preserve"> </w:t>
      </w:r>
      <w:r w:rsidRPr="00523598">
        <w:rPr>
          <w:lang w:eastAsia="sk-SK"/>
        </w:rPr>
        <w:t xml:space="preserve">proti </w:t>
      </w:r>
      <w:proofErr w:type="spellStart"/>
      <w:r w:rsidRPr="00523598">
        <w:rPr>
          <w:lang w:eastAsia="sk-SK"/>
        </w:rPr>
        <w:t>Bundesanstalt</w:t>
      </w:r>
      <w:proofErr w:type="spellEnd"/>
      <w:r w:rsidRPr="00523598">
        <w:rPr>
          <w:lang w:eastAsia="sk-SK"/>
        </w:rPr>
        <w:t xml:space="preserve"> </w:t>
      </w:r>
      <w:proofErr w:type="spellStart"/>
      <w:r w:rsidRPr="00523598">
        <w:rPr>
          <w:lang w:eastAsia="sk-SK"/>
        </w:rPr>
        <w:t>für</w:t>
      </w:r>
      <w:proofErr w:type="spellEnd"/>
      <w:r w:rsidRPr="00523598">
        <w:rPr>
          <w:lang w:eastAsia="sk-SK"/>
        </w:rPr>
        <w:t xml:space="preserve"> </w:t>
      </w:r>
      <w:proofErr w:type="spellStart"/>
      <w:r w:rsidRPr="00523598">
        <w:rPr>
          <w:lang w:eastAsia="sk-SK"/>
        </w:rPr>
        <w:t>Finanzdienstleistungsaufsicht</w:t>
      </w:r>
      <w:proofErr w:type="spellEnd"/>
      <w:r w:rsidRPr="00523598">
        <w:rPr>
          <w:lang w:eastAsia="sk-SK"/>
        </w:rPr>
        <w:t>, [2006],</w:t>
      </w:r>
    </w:p>
    <w:p w:rsidR="00D27093" w:rsidRPr="00523598" w:rsidRDefault="00D27093" w:rsidP="00D27093">
      <w:pPr>
        <w:pStyle w:val="Odsekzoznamu"/>
        <w:ind w:left="1068"/>
        <w:jc w:val="both"/>
        <w:rPr>
          <w:lang w:eastAsia="sk-SK"/>
        </w:rPr>
      </w:pPr>
    </w:p>
    <w:p w:rsidR="00D27093" w:rsidRPr="00523598" w:rsidRDefault="00D27093" w:rsidP="00D27093">
      <w:pPr>
        <w:keepNext/>
        <w:ind w:left="1134"/>
        <w:jc w:val="both"/>
        <w:rPr>
          <w:b/>
          <w:lang w:eastAsia="sk-SK"/>
        </w:rPr>
      </w:pPr>
      <w:r w:rsidRPr="00523598">
        <w:rPr>
          <w:b/>
          <w:lang w:eastAsia="sk-SK"/>
        </w:rPr>
        <w:t xml:space="preserve">Výrok rozhodnutia: </w:t>
      </w:r>
    </w:p>
    <w:p w:rsidR="00D27093" w:rsidRPr="00523598" w:rsidRDefault="00D27093" w:rsidP="00D27093">
      <w:pPr>
        <w:ind w:left="1134"/>
        <w:jc w:val="both"/>
      </w:pPr>
      <w:r w:rsidRPr="00523598">
        <w:t>Vnútroštátna právna úprava, podľa ktorej členský štát na výkon činnosti poskytovania úverov v rámci podnikateľskej činnosti na jeho území spoločnosťou usadenou v treťom štáte vyžaduje predchádzajúce povolenie a podľa ktorej sa takéto povolenie musí zamietnuť najmä vtedy, ak uvedená spoločnosť nemá svoje ústredie alebo pobočku na tomto území, zasahuje prevažne do výkonu slobodného poskytovania služieb v zmysle článku 49 a </w:t>
      </w:r>
      <w:proofErr w:type="spellStart"/>
      <w:r w:rsidRPr="00523598">
        <w:t>nasl</w:t>
      </w:r>
      <w:proofErr w:type="spellEnd"/>
      <w:r w:rsidRPr="00523598">
        <w:t>. ES. Spoločnosť usadená v treťom štáte sa nemôže odvolávať na tieto ustanovenia.  </w:t>
      </w:r>
    </w:p>
    <w:p w:rsidR="00D27093" w:rsidRPr="00523598" w:rsidRDefault="00D27093" w:rsidP="00D27093">
      <w:pPr>
        <w:ind w:left="1134"/>
        <w:jc w:val="both"/>
      </w:pPr>
    </w:p>
    <w:p w:rsidR="00D27093" w:rsidRPr="00523598" w:rsidRDefault="00D27093" w:rsidP="00D27093">
      <w:pPr>
        <w:pStyle w:val="Odsekzoznamu"/>
        <w:numPr>
          <w:ilvl w:val="0"/>
          <w:numId w:val="11"/>
        </w:numPr>
        <w:jc w:val="both"/>
        <w:rPr>
          <w:lang w:eastAsia="sk-SK"/>
        </w:rPr>
      </w:pPr>
      <w:r w:rsidRPr="00523598">
        <w:rPr>
          <w:lang w:eastAsia="sk-SK"/>
        </w:rPr>
        <w:t>rozsudok</w:t>
      </w:r>
      <w:r w:rsidRPr="00523598">
        <w:rPr>
          <w:spacing w:val="7"/>
          <w:lang w:eastAsia="sk-SK"/>
        </w:rPr>
        <w:t xml:space="preserve"> </w:t>
      </w:r>
      <w:r w:rsidRPr="00523598">
        <w:rPr>
          <w:lang w:eastAsia="sk-SK"/>
        </w:rPr>
        <w:t>Súdneho</w:t>
      </w:r>
      <w:r w:rsidRPr="00523598">
        <w:rPr>
          <w:spacing w:val="7"/>
          <w:lang w:eastAsia="sk-SK"/>
        </w:rPr>
        <w:t xml:space="preserve"> </w:t>
      </w:r>
      <w:r w:rsidRPr="00523598">
        <w:rPr>
          <w:lang w:eastAsia="sk-SK"/>
        </w:rPr>
        <w:t>dvora</w:t>
      </w:r>
      <w:r w:rsidRPr="00523598">
        <w:rPr>
          <w:spacing w:val="7"/>
          <w:lang w:eastAsia="sk-SK"/>
        </w:rPr>
        <w:t xml:space="preserve"> </w:t>
      </w:r>
      <w:r w:rsidRPr="00523598">
        <w:rPr>
          <w:lang w:eastAsia="sk-SK"/>
        </w:rPr>
        <w:t>vo</w:t>
      </w:r>
      <w:r w:rsidRPr="00523598">
        <w:rPr>
          <w:spacing w:val="7"/>
          <w:lang w:eastAsia="sk-SK"/>
        </w:rPr>
        <w:t xml:space="preserve"> </w:t>
      </w:r>
      <w:r w:rsidRPr="00523598">
        <w:rPr>
          <w:lang w:eastAsia="sk-SK"/>
        </w:rPr>
        <w:t>veci</w:t>
      </w:r>
      <w:r w:rsidRPr="00523598">
        <w:rPr>
          <w:spacing w:val="7"/>
          <w:lang w:eastAsia="sk-SK"/>
        </w:rPr>
        <w:t xml:space="preserve"> </w:t>
      </w:r>
      <w:r w:rsidRPr="00523598">
        <w:t>C</w:t>
      </w:r>
      <w:r w:rsidRPr="00523598">
        <w:noBreakHyphen/>
        <w:t>52/17</w:t>
      </w:r>
      <w:r w:rsidRPr="00523598">
        <w:rPr>
          <w:lang w:eastAsia="sk-SK"/>
        </w:rPr>
        <w:t>,</w:t>
      </w:r>
      <w:r w:rsidRPr="00523598">
        <w:rPr>
          <w:spacing w:val="7"/>
          <w:lang w:eastAsia="sk-SK"/>
        </w:rPr>
        <w:t xml:space="preserve"> </w:t>
      </w:r>
      <w:r w:rsidRPr="00523598">
        <w:rPr>
          <w:bCs/>
        </w:rPr>
        <w:t>VTB Bank (</w:t>
      </w:r>
      <w:proofErr w:type="spellStart"/>
      <w:r w:rsidRPr="00523598">
        <w:rPr>
          <w:bCs/>
        </w:rPr>
        <w:t>Austria</w:t>
      </w:r>
      <w:proofErr w:type="spellEnd"/>
      <w:r w:rsidRPr="00523598">
        <w:rPr>
          <w:bCs/>
        </w:rPr>
        <w:t xml:space="preserve">) AG </w:t>
      </w:r>
      <w:r w:rsidRPr="00523598">
        <w:rPr>
          <w:lang w:eastAsia="sk-SK"/>
        </w:rPr>
        <w:t>proti</w:t>
      </w:r>
      <w:r w:rsidRPr="00523598">
        <w:rPr>
          <w:spacing w:val="7"/>
          <w:lang w:eastAsia="sk-SK"/>
        </w:rPr>
        <w:t xml:space="preserve"> </w:t>
      </w:r>
      <w:proofErr w:type="spellStart"/>
      <w:r w:rsidRPr="00523598">
        <w:rPr>
          <w:bCs/>
        </w:rPr>
        <w:t>Finanzmarktaufsichtsbehörd</w:t>
      </w:r>
      <w:r w:rsidRPr="00523598">
        <w:rPr>
          <w:lang w:eastAsia="sk-SK"/>
        </w:rPr>
        <w:t>e</w:t>
      </w:r>
      <w:proofErr w:type="spellEnd"/>
      <w:r w:rsidRPr="00523598">
        <w:rPr>
          <w:lang w:eastAsia="sk-SK"/>
        </w:rPr>
        <w:t>, [2018].</w:t>
      </w:r>
    </w:p>
    <w:p w:rsidR="00D27093" w:rsidRPr="00523598" w:rsidRDefault="00D27093" w:rsidP="00D27093">
      <w:pPr>
        <w:ind w:left="708"/>
        <w:jc w:val="both"/>
        <w:rPr>
          <w:b/>
          <w:lang w:eastAsia="sk-SK"/>
        </w:rPr>
      </w:pPr>
    </w:p>
    <w:p w:rsidR="00D27093" w:rsidRPr="00523598" w:rsidRDefault="00D27093" w:rsidP="00D27093">
      <w:pPr>
        <w:keepNext/>
        <w:ind w:left="1134"/>
        <w:jc w:val="both"/>
        <w:rPr>
          <w:b/>
          <w:lang w:eastAsia="sk-SK"/>
        </w:rPr>
      </w:pPr>
      <w:r w:rsidRPr="00523598">
        <w:rPr>
          <w:b/>
          <w:lang w:eastAsia="sk-SK"/>
        </w:rPr>
        <w:lastRenderedPageBreak/>
        <w:t xml:space="preserve">Výrok rozhodnutia: </w:t>
      </w:r>
    </w:p>
    <w:p w:rsidR="00D27093" w:rsidRPr="00523598" w:rsidRDefault="00D27093" w:rsidP="00D27093">
      <w:pPr>
        <w:pStyle w:val="gmail-c08dispositif"/>
        <w:keepNext/>
        <w:spacing w:before="0" w:beforeAutospacing="0" w:after="0" w:afterAutospacing="0"/>
        <w:ind w:left="1134"/>
        <w:jc w:val="both"/>
        <w:rPr>
          <w:bCs/>
        </w:rPr>
      </w:pPr>
      <w:r w:rsidRPr="00523598">
        <w:rPr>
          <w:bCs/>
        </w:rPr>
        <w:t>1. Článok 64 a článok 65 ods. 1 smernice Európskeho parlamentu a Rady </w:t>
      </w:r>
      <w:bookmarkStart w:id="3" w:name="ctx23"/>
      <w:r w:rsidRPr="00523598">
        <w:rPr>
          <w:bCs/>
        </w:rPr>
        <w:t>2013/36</w:t>
      </w:r>
      <w:bookmarkEnd w:id="3"/>
      <w:r w:rsidRPr="00523598">
        <w:rPr>
          <w:bCs/>
        </w:rPr>
        <w:t>/EÚ z 26. júna 2013 o prístupe k činnosti úverových inštitúcií a </w:t>
      </w:r>
      <w:proofErr w:type="spellStart"/>
      <w:r w:rsidRPr="00523598">
        <w:rPr>
          <w:bCs/>
        </w:rPr>
        <w:t>prudenciálnom</w:t>
      </w:r>
      <w:proofErr w:type="spellEnd"/>
      <w:r w:rsidRPr="00523598">
        <w:rPr>
          <w:bCs/>
        </w:rPr>
        <w:t xml:space="preserve"> dohľade nad úverovými inštitúciami a investičnými spoločnosťami, o zmene smernice 2002/87/ES a o zrušení smerníc 2006/48/ES a 2006/49/ES, ako aj článok 395 ods. 1 a 5 nariadenia Európskeho parlamentu a Rady (EÚ) č. 575/2013 z 26. júna 2013 o prudenciálnych požiadavkách na úverové inštitúcie a investičné spoločnosti a o zmene nariadenia (EÚ) č. 648/2012, sa majú vykladať v tom zmysle, že bránia vnútroštátnej právnej úprave, podľa ktorej sa v prípade prekročenia limitov expozície stanovených v článku 395 ods. 1 nariadenia č. 575/2013 úverovej inštitúcii automaticky ukladajú zrážkové úroky, hoci táto inštitúcia spĺňa podmienky stanovené v článku 395 ods. 5 tohto nariadenia, ktoré jej umožňujú prekročiť uvedené limity.</w:t>
      </w:r>
    </w:p>
    <w:p w:rsidR="00D27093" w:rsidRPr="00523598" w:rsidRDefault="00D27093" w:rsidP="00D27093">
      <w:pPr>
        <w:pStyle w:val="gmail-c08dispositif"/>
        <w:spacing w:before="0" w:beforeAutospacing="0" w:after="0" w:afterAutospacing="0"/>
        <w:ind w:left="1134"/>
        <w:jc w:val="both"/>
        <w:rPr>
          <w:bCs/>
        </w:rPr>
      </w:pPr>
    </w:p>
    <w:p w:rsidR="00D27093" w:rsidRPr="00523598" w:rsidRDefault="00D27093" w:rsidP="00D27093">
      <w:pPr>
        <w:pStyle w:val="gmail-c02alineaalta"/>
        <w:spacing w:before="0" w:beforeAutospacing="0" w:after="0" w:afterAutospacing="0"/>
        <w:ind w:left="1134"/>
        <w:jc w:val="both"/>
        <w:rPr>
          <w:bCs/>
        </w:rPr>
      </w:pPr>
      <w:r w:rsidRPr="00523598">
        <w:rPr>
          <w:bCs/>
        </w:rPr>
        <w:t>2. Článok 48 ods. 3 nariadenia Európskej centrálnej banky (EÚ) č. 468/2014 zo 16. apríla 2014 o rámci pre spoluprácu v rámci jednotného mechanizmu dohľadu medzi Európskou centrálnou bankou, príslušnými vnútroštátnymi orgánmi a určenými vnútroštátnymi orgánmi (nariadenie o rámci JMD) sa má vykladať v tom zmysle, že v zmysle tohto ustanovenia nemožno postup vo veci dohľadu považovať za formálne začatý, ani keď úverová inštitúcia oznámi vnútroštátnemu orgánu dohľadu prekročenie limitov stanovených v článku 395 ods. 1 nariadenia č. 575/2013, ani keď tento orgán už prijal rozhodnutie v paralelnom konaní týkajúcom sa podobných porušení.</w:t>
      </w:r>
    </w:p>
    <w:p w:rsidR="00D27093" w:rsidRPr="00523598" w:rsidRDefault="00D27093" w:rsidP="00D27093">
      <w:pPr>
        <w:pStyle w:val="gmail-c02alineaalta"/>
        <w:spacing w:before="0" w:beforeAutospacing="0" w:after="0" w:afterAutospacing="0"/>
        <w:ind w:left="1134"/>
        <w:jc w:val="both"/>
      </w:pPr>
    </w:p>
    <w:p w:rsidR="00D27093" w:rsidRPr="00523598" w:rsidRDefault="00D27093" w:rsidP="00D27093">
      <w:pPr>
        <w:pStyle w:val="Odsekzoznamu"/>
        <w:numPr>
          <w:ilvl w:val="0"/>
          <w:numId w:val="11"/>
        </w:numPr>
        <w:jc w:val="both"/>
        <w:rPr>
          <w:lang w:eastAsia="sk-SK"/>
        </w:rPr>
      </w:pPr>
      <w:r w:rsidRPr="00523598">
        <w:rPr>
          <w:lang w:eastAsia="sk-SK"/>
        </w:rPr>
        <w:t>rozsudok</w:t>
      </w:r>
      <w:r w:rsidRPr="00523598">
        <w:rPr>
          <w:spacing w:val="7"/>
          <w:lang w:eastAsia="sk-SK"/>
        </w:rPr>
        <w:t xml:space="preserve"> </w:t>
      </w:r>
      <w:r w:rsidRPr="00523598">
        <w:rPr>
          <w:lang w:eastAsia="sk-SK"/>
        </w:rPr>
        <w:t>Súdneho</w:t>
      </w:r>
      <w:r w:rsidRPr="00523598">
        <w:rPr>
          <w:spacing w:val="7"/>
          <w:lang w:eastAsia="sk-SK"/>
        </w:rPr>
        <w:t xml:space="preserve"> </w:t>
      </w:r>
      <w:r w:rsidRPr="00523598">
        <w:rPr>
          <w:lang w:eastAsia="sk-SK"/>
        </w:rPr>
        <w:t>dvora</w:t>
      </w:r>
      <w:r w:rsidRPr="00523598">
        <w:rPr>
          <w:spacing w:val="7"/>
          <w:lang w:eastAsia="sk-SK"/>
        </w:rPr>
        <w:t xml:space="preserve"> </w:t>
      </w:r>
      <w:r w:rsidRPr="00523598">
        <w:rPr>
          <w:lang w:eastAsia="sk-SK"/>
        </w:rPr>
        <w:t>vo</w:t>
      </w:r>
      <w:r w:rsidRPr="00523598">
        <w:rPr>
          <w:spacing w:val="7"/>
          <w:lang w:eastAsia="sk-SK"/>
        </w:rPr>
        <w:t xml:space="preserve"> </w:t>
      </w:r>
      <w:r w:rsidRPr="00523598">
        <w:rPr>
          <w:lang w:eastAsia="sk-SK"/>
        </w:rPr>
        <w:t>veci</w:t>
      </w:r>
      <w:r w:rsidRPr="00523598">
        <w:rPr>
          <w:spacing w:val="7"/>
          <w:lang w:eastAsia="sk-SK"/>
        </w:rPr>
        <w:t xml:space="preserve"> </w:t>
      </w:r>
      <w:r w:rsidRPr="00523598">
        <w:t>C</w:t>
      </w:r>
      <w:r w:rsidRPr="00523598">
        <w:noBreakHyphen/>
        <w:t>594/16</w:t>
      </w:r>
      <w:r w:rsidRPr="00523598">
        <w:rPr>
          <w:lang w:eastAsia="sk-SK"/>
        </w:rPr>
        <w:t>,</w:t>
      </w:r>
      <w:r w:rsidRPr="00523598">
        <w:rPr>
          <w:spacing w:val="7"/>
          <w:lang w:eastAsia="sk-SK"/>
        </w:rPr>
        <w:t xml:space="preserve"> </w:t>
      </w:r>
      <w:proofErr w:type="spellStart"/>
      <w:r w:rsidRPr="00523598">
        <w:rPr>
          <w:bCs/>
        </w:rPr>
        <w:t>Enzo</w:t>
      </w:r>
      <w:proofErr w:type="spellEnd"/>
      <w:r w:rsidRPr="00523598">
        <w:rPr>
          <w:bCs/>
        </w:rPr>
        <w:t xml:space="preserve"> </w:t>
      </w:r>
      <w:proofErr w:type="spellStart"/>
      <w:r w:rsidRPr="00523598">
        <w:rPr>
          <w:bCs/>
        </w:rPr>
        <w:t>Buccioni</w:t>
      </w:r>
      <w:proofErr w:type="spellEnd"/>
      <w:r w:rsidRPr="00523598">
        <w:rPr>
          <w:bCs/>
        </w:rPr>
        <w:t xml:space="preserve"> </w:t>
      </w:r>
      <w:r w:rsidRPr="00523598">
        <w:rPr>
          <w:lang w:eastAsia="sk-SK"/>
        </w:rPr>
        <w:t>proti</w:t>
      </w:r>
      <w:r w:rsidRPr="00523598">
        <w:rPr>
          <w:spacing w:val="7"/>
          <w:lang w:eastAsia="sk-SK"/>
        </w:rPr>
        <w:t xml:space="preserve"> </w:t>
      </w:r>
      <w:proofErr w:type="spellStart"/>
      <w:r w:rsidRPr="00523598">
        <w:rPr>
          <w:bCs/>
        </w:rPr>
        <w:t>Banca</w:t>
      </w:r>
      <w:proofErr w:type="spellEnd"/>
      <w:r w:rsidRPr="00523598">
        <w:rPr>
          <w:bCs/>
        </w:rPr>
        <w:t xml:space="preserve"> </w:t>
      </w:r>
      <w:proofErr w:type="spellStart"/>
      <w:r w:rsidRPr="00523598">
        <w:rPr>
          <w:bCs/>
        </w:rPr>
        <w:t>d’Italia</w:t>
      </w:r>
      <w:proofErr w:type="spellEnd"/>
      <w:r w:rsidRPr="00523598">
        <w:rPr>
          <w:bCs/>
        </w:rPr>
        <w:t xml:space="preserve"> za účasti </w:t>
      </w:r>
      <w:proofErr w:type="spellStart"/>
      <w:r w:rsidRPr="00523598">
        <w:rPr>
          <w:bCs/>
        </w:rPr>
        <w:t>Banca</w:t>
      </w:r>
      <w:proofErr w:type="spellEnd"/>
      <w:r w:rsidRPr="00523598">
        <w:rPr>
          <w:bCs/>
        </w:rPr>
        <w:t xml:space="preserve"> </w:t>
      </w:r>
      <w:proofErr w:type="spellStart"/>
      <w:r w:rsidRPr="00523598">
        <w:rPr>
          <w:bCs/>
        </w:rPr>
        <w:t>Network</w:t>
      </w:r>
      <w:proofErr w:type="spellEnd"/>
      <w:r w:rsidRPr="00523598">
        <w:rPr>
          <w:bCs/>
        </w:rPr>
        <w:t xml:space="preserve"> </w:t>
      </w:r>
      <w:proofErr w:type="spellStart"/>
      <w:r w:rsidRPr="00523598">
        <w:rPr>
          <w:bCs/>
        </w:rPr>
        <w:t>Investimenti</w:t>
      </w:r>
      <w:proofErr w:type="spellEnd"/>
      <w:r w:rsidRPr="00523598">
        <w:rPr>
          <w:bCs/>
        </w:rPr>
        <w:t xml:space="preserve"> </w:t>
      </w:r>
      <w:proofErr w:type="spellStart"/>
      <w:r w:rsidRPr="00523598">
        <w:rPr>
          <w:bCs/>
        </w:rPr>
        <w:t>SpA</w:t>
      </w:r>
      <w:proofErr w:type="spellEnd"/>
      <w:r w:rsidRPr="00523598">
        <w:rPr>
          <w:lang w:eastAsia="sk-SK"/>
        </w:rPr>
        <w:t>, [2018].</w:t>
      </w:r>
    </w:p>
    <w:p w:rsidR="00D27093" w:rsidRPr="00523598" w:rsidRDefault="00D27093" w:rsidP="00D27093">
      <w:pPr>
        <w:jc w:val="both"/>
        <w:rPr>
          <w:lang w:eastAsia="sk-SK"/>
        </w:rPr>
      </w:pPr>
    </w:p>
    <w:p w:rsidR="00D27093" w:rsidRPr="00523598" w:rsidRDefault="00D27093" w:rsidP="00D27093">
      <w:pPr>
        <w:ind w:left="1134"/>
        <w:jc w:val="both"/>
        <w:rPr>
          <w:b/>
          <w:lang w:eastAsia="sk-SK"/>
        </w:rPr>
      </w:pPr>
      <w:r w:rsidRPr="00523598">
        <w:rPr>
          <w:b/>
          <w:lang w:eastAsia="sk-SK"/>
        </w:rPr>
        <w:t xml:space="preserve">Výrok rozhodnutia: </w:t>
      </w:r>
    </w:p>
    <w:p w:rsidR="00D27093" w:rsidRPr="00523598" w:rsidRDefault="00D27093" w:rsidP="00D27093">
      <w:pPr>
        <w:ind w:left="1134"/>
        <w:jc w:val="both"/>
      </w:pPr>
      <w:r w:rsidRPr="00523598">
        <w:rPr>
          <w:bCs/>
        </w:rPr>
        <w:t>Článok 53 ods. 1 smernice Európskeho parlamentu a Rady </w:t>
      </w:r>
      <w:bookmarkStart w:id="4" w:name="ctx21"/>
      <w:r w:rsidRPr="00523598">
        <w:rPr>
          <w:bCs/>
        </w:rPr>
        <w:t>2013/36</w:t>
      </w:r>
      <w:bookmarkEnd w:id="4"/>
      <w:r w:rsidRPr="00523598">
        <w:rPr>
          <w:bCs/>
        </w:rPr>
        <w:t>/EÚ z 26. júna 2013 o prístupe k činnosti úverových inštitúcií a </w:t>
      </w:r>
      <w:proofErr w:type="spellStart"/>
      <w:r w:rsidRPr="00523598">
        <w:rPr>
          <w:bCs/>
        </w:rPr>
        <w:t>prudenciálnom</w:t>
      </w:r>
      <w:proofErr w:type="spellEnd"/>
      <w:r w:rsidRPr="00523598">
        <w:rPr>
          <w:bCs/>
        </w:rPr>
        <w:t xml:space="preserve"> dohľade nad úverovými inštitúciami a investičnými spoločnosťami, o zmene smernice 2002/87/ES a o zrušení smerníc 2006/48/ES a 2006/49/ES, sa má vykladať v tom zmysle, že nebráni tomu, aby príslušné orgány členských štátov sprístupnili dôverné informácie osobe, ktorá o </w:t>
      </w:r>
      <w:proofErr w:type="spellStart"/>
      <w:r w:rsidRPr="00523598">
        <w:rPr>
          <w:bCs/>
        </w:rPr>
        <w:t>ne</w:t>
      </w:r>
      <w:proofErr w:type="spellEnd"/>
      <w:r w:rsidRPr="00523598">
        <w:rPr>
          <w:bCs/>
        </w:rPr>
        <w:t xml:space="preserve"> požiada, na účely začatia občianskoprávneho alebo obchodného súdneho konania zameraného na ochranu majetkových záujmov, ktoré mali byť poškodené v dôsledku začatia nútenej likvidácie úverovej inštitúcie. Žiadosť o sprístupnenie informácií sa však musí vzťahovať na informácie, v súvislosti s ktorými žiadateľ predložil presné a súhlasné indície nasvedčujúce tomu, že uvedené informácie sa ukazujú ako relevantné na účely občianskoprávneho alebo obchodného súdneho konania, ktorého predmet musí byť žiadateľom presne identifikovaný, pričom predmetné informácie sa nesmú použiť mimo takého konania. Príslušným orgánom a súdom prináleží, aby pred sprístupnením každej z požadovaných dôverných informácií zaručili rovnováhu medzi záujmom žiadateľa na disponovanie dotknutými informáciami a záujmami súvisiacimi so zachovaním dôvernosti informácií, na ktoré sa vzťahuje povinnosť zachovávať služobné tajomstvo.</w:t>
      </w:r>
    </w:p>
    <w:p w:rsidR="00D27093" w:rsidRPr="00523598" w:rsidRDefault="00D27093" w:rsidP="00D27093">
      <w:pPr>
        <w:ind w:left="1134"/>
        <w:jc w:val="both"/>
      </w:pPr>
    </w:p>
    <w:p w:rsidR="00D27093" w:rsidRPr="00523598" w:rsidRDefault="00D27093" w:rsidP="00D27093">
      <w:pPr>
        <w:ind w:left="1134"/>
        <w:jc w:val="both"/>
      </w:pPr>
    </w:p>
    <w:p w:rsidR="00D27093" w:rsidRPr="00523598" w:rsidRDefault="00D27093" w:rsidP="00D27093">
      <w:pPr>
        <w:pStyle w:val="Odsekzoznamu"/>
        <w:keepNext/>
        <w:numPr>
          <w:ilvl w:val="0"/>
          <w:numId w:val="9"/>
        </w:numPr>
        <w:ind w:left="426" w:hanging="426"/>
        <w:rPr>
          <w:lang w:eastAsia="sk-SK"/>
        </w:rPr>
      </w:pPr>
      <w:r w:rsidRPr="00523598">
        <w:rPr>
          <w:b/>
          <w:bCs/>
          <w:lang w:eastAsia="sk-SK"/>
        </w:rPr>
        <w:lastRenderedPageBreak/>
        <w:t>Záväzky Slovenskej republiky vo vzťahu k Európskej únii:</w:t>
      </w:r>
    </w:p>
    <w:p w:rsidR="00D27093" w:rsidRPr="00523598" w:rsidRDefault="00D27093" w:rsidP="00D27093">
      <w:pPr>
        <w:pStyle w:val="Odsekzoznamu"/>
        <w:keepNext/>
        <w:numPr>
          <w:ilvl w:val="0"/>
          <w:numId w:val="12"/>
        </w:numPr>
        <w:jc w:val="both"/>
        <w:rPr>
          <w:lang w:eastAsia="sk-SK"/>
        </w:rPr>
      </w:pPr>
      <w:r w:rsidRPr="00523598">
        <w:rPr>
          <w:lang w:eastAsia="sk-SK"/>
        </w:rPr>
        <w:t>Lehota na prebratie čl. 146 nariadenia (EÚ) 2023/1114, ktorým sa novelizuje smernica 2013/36/EÚ, je stanovená do 30. decembra 2024.</w:t>
      </w:r>
    </w:p>
    <w:p w:rsidR="00D27093" w:rsidRPr="00523598" w:rsidRDefault="00D27093" w:rsidP="00D27093">
      <w:pPr>
        <w:ind w:left="709" w:hanging="1"/>
        <w:jc w:val="both"/>
        <w:rPr>
          <w:color w:val="000000"/>
          <w:lang w:eastAsia="sk-SK"/>
        </w:rPr>
      </w:pPr>
      <w:r w:rsidRPr="00523598">
        <w:rPr>
          <w:color w:val="000000"/>
          <w:lang w:eastAsia="sk-SK"/>
        </w:rPr>
        <w:t>Lehota</w:t>
      </w:r>
      <w:r w:rsidRPr="00523598">
        <w:rPr>
          <w:color w:val="000000"/>
          <w:spacing w:val="82"/>
          <w:lang w:eastAsia="sk-SK"/>
        </w:rPr>
        <w:t xml:space="preserve"> </w:t>
      </w:r>
      <w:r w:rsidRPr="00523598">
        <w:rPr>
          <w:color w:val="000000"/>
          <w:lang w:eastAsia="sk-SK"/>
        </w:rPr>
        <w:t>na</w:t>
      </w:r>
      <w:r w:rsidRPr="00523598">
        <w:rPr>
          <w:color w:val="000000"/>
          <w:spacing w:val="82"/>
          <w:lang w:eastAsia="sk-SK"/>
        </w:rPr>
        <w:t xml:space="preserve"> </w:t>
      </w:r>
      <w:r w:rsidRPr="00523598">
        <w:rPr>
          <w:color w:val="000000"/>
          <w:lang w:eastAsia="sk-SK"/>
        </w:rPr>
        <w:t>prebratie</w:t>
      </w:r>
      <w:r w:rsidRPr="00523598">
        <w:rPr>
          <w:color w:val="000000"/>
          <w:spacing w:val="82"/>
          <w:lang w:eastAsia="sk-SK"/>
        </w:rPr>
        <w:t xml:space="preserve"> </w:t>
      </w:r>
      <w:r w:rsidRPr="00523598">
        <w:rPr>
          <w:color w:val="000000"/>
          <w:lang w:eastAsia="sk-SK"/>
        </w:rPr>
        <w:t>smernice</w:t>
      </w:r>
      <w:r w:rsidRPr="00523598">
        <w:rPr>
          <w:color w:val="000000"/>
          <w:spacing w:val="82"/>
          <w:lang w:eastAsia="sk-SK"/>
        </w:rPr>
        <w:t xml:space="preserve"> </w:t>
      </w:r>
      <w:r w:rsidRPr="00523598">
        <w:rPr>
          <w:color w:val="000000"/>
          <w:lang w:eastAsia="sk-SK"/>
        </w:rPr>
        <w:t>(EÚ</w:t>
      </w:r>
      <w:r w:rsidRPr="00523598">
        <w:rPr>
          <w:color w:val="000000"/>
          <w:spacing w:val="82"/>
          <w:lang w:eastAsia="sk-SK"/>
        </w:rPr>
        <w:t>)</w:t>
      </w:r>
      <w:r w:rsidRPr="00523598">
        <w:rPr>
          <w:color w:val="000000"/>
          <w:lang w:eastAsia="sk-SK"/>
        </w:rPr>
        <w:t>2019/2034 bola</w:t>
      </w:r>
      <w:r w:rsidRPr="00523598">
        <w:rPr>
          <w:color w:val="000000"/>
          <w:spacing w:val="82"/>
          <w:lang w:eastAsia="sk-SK"/>
        </w:rPr>
        <w:t xml:space="preserve"> </w:t>
      </w:r>
      <w:r w:rsidRPr="00523598">
        <w:rPr>
          <w:color w:val="000000"/>
          <w:lang w:eastAsia="sk-SK"/>
        </w:rPr>
        <w:t>stanovená</w:t>
      </w:r>
      <w:r w:rsidRPr="00523598">
        <w:rPr>
          <w:color w:val="000000"/>
          <w:spacing w:val="82"/>
          <w:lang w:eastAsia="sk-SK"/>
        </w:rPr>
        <w:t xml:space="preserve"> </w:t>
      </w:r>
      <w:r w:rsidRPr="00523598">
        <w:rPr>
          <w:color w:val="000000"/>
          <w:lang w:eastAsia="sk-SK"/>
        </w:rPr>
        <w:t>do</w:t>
      </w:r>
      <w:r w:rsidRPr="00523598">
        <w:rPr>
          <w:color w:val="000000"/>
          <w:spacing w:val="82"/>
          <w:lang w:eastAsia="sk-SK"/>
        </w:rPr>
        <w:t xml:space="preserve"> </w:t>
      </w:r>
      <w:r w:rsidRPr="00523598">
        <w:rPr>
          <w:color w:val="000000"/>
          <w:lang w:eastAsia="sk-SK"/>
        </w:rPr>
        <w:t xml:space="preserve">26. júna 2021 s výnimkou </w:t>
      </w:r>
      <w:r w:rsidRPr="00523598">
        <w:rPr>
          <w:color w:val="000000"/>
        </w:rPr>
        <w:t>článku 64 bod 5, pri ktorom bola stanovená lehota do 26. marca 2020.</w:t>
      </w:r>
    </w:p>
    <w:p w:rsidR="00D27093" w:rsidRPr="00523598" w:rsidRDefault="00D27093" w:rsidP="00D27093">
      <w:pPr>
        <w:ind w:left="709" w:hanging="1"/>
        <w:jc w:val="both"/>
        <w:rPr>
          <w:lang w:eastAsia="sk-SK"/>
        </w:rPr>
      </w:pPr>
      <w:r w:rsidRPr="00523598">
        <w:rPr>
          <w:lang w:eastAsia="sk-SK"/>
        </w:rPr>
        <w:t>Lehota</w:t>
      </w:r>
      <w:r w:rsidRPr="00523598">
        <w:rPr>
          <w:spacing w:val="82"/>
          <w:lang w:eastAsia="sk-SK"/>
        </w:rPr>
        <w:t xml:space="preserve"> </w:t>
      </w:r>
      <w:r w:rsidRPr="00523598">
        <w:rPr>
          <w:lang w:eastAsia="sk-SK"/>
        </w:rPr>
        <w:t>na</w:t>
      </w:r>
      <w:r w:rsidRPr="00523598">
        <w:rPr>
          <w:spacing w:val="82"/>
          <w:lang w:eastAsia="sk-SK"/>
        </w:rPr>
        <w:t xml:space="preserve"> </w:t>
      </w:r>
      <w:r w:rsidRPr="00523598">
        <w:rPr>
          <w:lang w:eastAsia="sk-SK"/>
        </w:rPr>
        <w:t>prebratie</w:t>
      </w:r>
      <w:r w:rsidRPr="00523598">
        <w:rPr>
          <w:spacing w:val="82"/>
          <w:lang w:eastAsia="sk-SK"/>
        </w:rPr>
        <w:t xml:space="preserve"> </w:t>
      </w:r>
      <w:r w:rsidRPr="00523598">
        <w:rPr>
          <w:lang w:eastAsia="sk-SK"/>
        </w:rPr>
        <w:t xml:space="preserve">smernice </w:t>
      </w:r>
      <w:r w:rsidRPr="00523598">
        <w:t>(EÚ) 2019/878 bola stanovená do 28. decembra 2020</w:t>
      </w:r>
      <w:r w:rsidRPr="00523598">
        <w:rPr>
          <w:lang w:eastAsia="sk-SK"/>
        </w:rPr>
        <w:t xml:space="preserve"> s výnimkou niektorých bodov v článku 1.</w:t>
      </w:r>
    </w:p>
    <w:p w:rsidR="00D27093" w:rsidRPr="00523598" w:rsidRDefault="00D27093" w:rsidP="00D27093">
      <w:pPr>
        <w:pStyle w:val="Zkladntext"/>
        <w:tabs>
          <w:tab w:val="left" w:pos="360"/>
          <w:tab w:val="left" w:pos="540"/>
        </w:tabs>
        <w:spacing w:after="0"/>
        <w:ind w:left="720"/>
        <w:jc w:val="both"/>
      </w:pPr>
      <w:r w:rsidRPr="00523598">
        <w:t>Lehota na prebratie smernice (EÚ) 2015/2366 bola stanovená do 13. januára 2018.</w:t>
      </w:r>
    </w:p>
    <w:p w:rsidR="00D27093" w:rsidRPr="00523598" w:rsidRDefault="00D27093" w:rsidP="00D27093">
      <w:pPr>
        <w:pStyle w:val="Odsekzoznamu"/>
        <w:jc w:val="both"/>
        <w:rPr>
          <w:lang w:eastAsia="sk-SK"/>
        </w:rPr>
      </w:pPr>
      <w:r w:rsidRPr="00523598">
        <w:rPr>
          <w:lang w:eastAsia="sk-SK"/>
        </w:rPr>
        <w:t>Lehota</w:t>
      </w:r>
      <w:r w:rsidRPr="00523598">
        <w:rPr>
          <w:spacing w:val="82"/>
          <w:lang w:eastAsia="sk-SK"/>
        </w:rPr>
        <w:t xml:space="preserve"> </w:t>
      </w:r>
      <w:r w:rsidRPr="00523598">
        <w:rPr>
          <w:lang w:eastAsia="sk-SK"/>
        </w:rPr>
        <w:t>na</w:t>
      </w:r>
      <w:r w:rsidRPr="00523598">
        <w:rPr>
          <w:spacing w:val="82"/>
          <w:lang w:eastAsia="sk-SK"/>
        </w:rPr>
        <w:t xml:space="preserve"> </w:t>
      </w:r>
      <w:r w:rsidRPr="00523598">
        <w:rPr>
          <w:lang w:eastAsia="sk-SK"/>
        </w:rPr>
        <w:t>prebratie</w:t>
      </w:r>
      <w:r w:rsidRPr="00523598">
        <w:rPr>
          <w:spacing w:val="82"/>
          <w:lang w:eastAsia="sk-SK"/>
        </w:rPr>
        <w:t xml:space="preserve"> </w:t>
      </w:r>
      <w:r w:rsidRPr="00523598">
        <w:rPr>
          <w:lang w:eastAsia="sk-SK"/>
        </w:rPr>
        <w:t xml:space="preserve">smernice </w:t>
      </w:r>
      <w:r w:rsidRPr="00523598">
        <w:t>2013/36/EÚ bola stanovená do 31. decembra 2013</w:t>
      </w:r>
      <w:r w:rsidRPr="00523598">
        <w:rPr>
          <w:lang w:eastAsia="sk-SK"/>
        </w:rPr>
        <w:t>.</w:t>
      </w:r>
    </w:p>
    <w:p w:rsidR="00D27093" w:rsidRPr="00523598" w:rsidRDefault="00D27093" w:rsidP="00D27093">
      <w:pPr>
        <w:pStyle w:val="Odsekzoznamu"/>
        <w:jc w:val="both"/>
        <w:rPr>
          <w:lang w:eastAsia="sk-SK"/>
        </w:rPr>
      </w:pPr>
      <w:r w:rsidRPr="00523598">
        <w:t>Lehota na prebratie smernice 2013/34/EÚ bola určená do 20. júla 2015.</w:t>
      </w:r>
    </w:p>
    <w:p w:rsidR="00D27093" w:rsidRPr="00523598" w:rsidRDefault="00D27093" w:rsidP="00D27093">
      <w:pPr>
        <w:pStyle w:val="Zkladntext"/>
        <w:tabs>
          <w:tab w:val="left" w:pos="360"/>
          <w:tab w:val="left" w:pos="540"/>
        </w:tabs>
        <w:spacing w:after="0"/>
        <w:ind w:left="720"/>
        <w:jc w:val="both"/>
      </w:pPr>
      <w:r w:rsidRPr="00523598">
        <w:t>Lehota na prebratie smernice 2009/110/ES bola stanovená do 30. apríla 2011.</w:t>
      </w:r>
    </w:p>
    <w:p w:rsidR="00D27093" w:rsidRPr="00523598" w:rsidRDefault="00D27093" w:rsidP="00D27093">
      <w:pPr>
        <w:pStyle w:val="Zkladntext"/>
        <w:tabs>
          <w:tab w:val="left" w:pos="360"/>
          <w:tab w:val="left" w:pos="540"/>
        </w:tabs>
        <w:spacing w:after="0"/>
        <w:ind w:left="720"/>
        <w:jc w:val="both"/>
      </w:pPr>
      <w:r w:rsidRPr="00523598">
        <w:t>Lehota na prebratie smernice 2001/24/ES bola stanovená do 5. mája 2004.</w:t>
      </w:r>
    </w:p>
    <w:p w:rsidR="00D27093" w:rsidRPr="00523598" w:rsidRDefault="00D27093" w:rsidP="00D27093">
      <w:pPr>
        <w:pStyle w:val="Odsekzoznamu"/>
        <w:rPr>
          <w:lang w:eastAsia="sk-SK"/>
        </w:rPr>
      </w:pPr>
    </w:p>
    <w:p w:rsidR="00D27093" w:rsidRPr="00523598" w:rsidRDefault="00D27093" w:rsidP="00D27093">
      <w:pPr>
        <w:pStyle w:val="Odsekzoznamu"/>
        <w:numPr>
          <w:ilvl w:val="0"/>
          <w:numId w:val="12"/>
        </w:numPr>
        <w:jc w:val="both"/>
        <w:rPr>
          <w:lang w:eastAsia="sk-SK"/>
        </w:rPr>
      </w:pPr>
      <w:r w:rsidRPr="00523598">
        <w:t>Proti SR nebolo začaté konanie v rámci „EÚ Pilot“, ani nebol začatý postup Európskej komisie, alebo konanie Súdneho dvora Európskej únie proti Slovenskej republike podľa čl. 258 až 260 Zmluvy o fungovaní Európskej únie v platnom znení.</w:t>
      </w:r>
      <w:r w:rsidRPr="00523598">
        <w:rPr>
          <w:lang w:eastAsia="sk-SK"/>
        </w:rPr>
        <w:t xml:space="preserve">  </w:t>
      </w:r>
    </w:p>
    <w:p w:rsidR="00D27093" w:rsidRPr="00523598" w:rsidRDefault="00D27093" w:rsidP="00D27093">
      <w:pPr>
        <w:pStyle w:val="Odsekzoznamu"/>
        <w:rPr>
          <w:lang w:eastAsia="sk-SK"/>
        </w:rPr>
      </w:pPr>
    </w:p>
    <w:p w:rsidR="00D27093" w:rsidRPr="00523598" w:rsidRDefault="00D27093" w:rsidP="00D27093">
      <w:pPr>
        <w:pStyle w:val="Odsekzoznamu"/>
        <w:numPr>
          <w:ilvl w:val="0"/>
          <w:numId w:val="12"/>
        </w:numPr>
        <w:jc w:val="both"/>
        <w:rPr>
          <w:lang w:eastAsia="sk-SK"/>
        </w:rPr>
      </w:pPr>
      <w:r w:rsidRPr="00523598">
        <w:rPr>
          <w:color w:val="000000"/>
          <w:lang w:eastAsia="sk-SK"/>
        </w:rPr>
        <w:t>Smernica</w:t>
      </w:r>
      <w:r w:rsidRPr="00523598">
        <w:rPr>
          <w:color w:val="000000"/>
          <w:spacing w:val="57"/>
          <w:lang w:eastAsia="sk-SK"/>
        </w:rPr>
        <w:t xml:space="preserve"> </w:t>
      </w:r>
      <w:r w:rsidRPr="00523598">
        <w:rPr>
          <w:bCs/>
          <w:color w:val="333333"/>
          <w:shd w:val="clear" w:color="auto" w:fill="FFFFFF"/>
        </w:rPr>
        <w:t>(EÚ)</w:t>
      </w:r>
      <w:r w:rsidRPr="00523598">
        <w:rPr>
          <w:color w:val="000000"/>
          <w:lang w:eastAsia="sk-SK"/>
        </w:rPr>
        <w:t xml:space="preserve"> </w:t>
      </w:r>
      <w:r w:rsidRPr="00523598">
        <w:rPr>
          <w:color w:val="000000"/>
          <w:u w:val="single"/>
          <w:lang w:eastAsia="sk-SK"/>
        </w:rPr>
        <w:t>2019/2034</w:t>
      </w:r>
      <w:r w:rsidRPr="00523598">
        <w:rPr>
          <w:color w:val="000000"/>
          <w:lang w:eastAsia="sk-SK"/>
        </w:rPr>
        <w:t xml:space="preserve"> </w:t>
      </w:r>
      <w:r w:rsidRPr="00523598">
        <w:rPr>
          <w:bCs/>
        </w:rPr>
        <w:t>bola prebratá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predpisov, do zákona</w:t>
      </w:r>
      <w:r w:rsidRPr="00523598">
        <w:t xml:space="preserve"> č. 429/2002 Z. z. o burze cenných papierov v znení neskorších predpisov, do zákona č. 371/2014 Z. z. o riešení krízových situácií na finančnom trhu a o zmene a doplnení niektorých zákonov v znení neskorších predpisov, </w:t>
      </w:r>
      <w:r w:rsidRPr="00523598">
        <w:rPr>
          <w:bCs/>
        </w:rPr>
        <w:t xml:space="preserve">do zákona </w:t>
      </w:r>
      <w:r w:rsidRPr="00523598">
        <w:t>č.</w:t>
      </w:r>
      <w:r w:rsidRPr="00523598">
        <w:rPr>
          <w:bCs/>
        </w:rPr>
        <w:t> </w:t>
      </w:r>
      <w:r w:rsidRPr="00523598">
        <w:t>747/2004 Z. z. o </w:t>
      </w:r>
      <w:r w:rsidRPr="00523598">
        <w:rPr>
          <w:bCs/>
        </w:rPr>
        <w:t xml:space="preserve">dohľade nad finančným trhom a o zmene a doplnení niektorých zákonov </w:t>
      </w:r>
      <w:r w:rsidRPr="00523598">
        <w:t>v znení neskorších predpisov, do zákona č. 423/2015 Z. z. o štatutárnom audite a o zmene a</w:t>
      </w:r>
      <w:r>
        <w:t> </w:t>
      </w:r>
      <w:r w:rsidRPr="00523598">
        <w:t>doplnení</w:t>
      </w:r>
      <w:r>
        <w:t xml:space="preserve"> </w:t>
      </w:r>
      <w:r w:rsidRPr="00523598">
        <w:t>zákona č. 431/2002 Z. z. o účtovníctve v znení neskorších predpisov v znení neskorších predpisov, do zákona Národnej rady Slovenskej republiky č. 566/1992 Zb. o Národnej banke Slovenska v znení neskorších predpisov a do zákona č. 203/2011 Z.</w:t>
      </w:r>
      <w:r>
        <w:t> </w:t>
      </w:r>
      <w:r w:rsidRPr="00523598">
        <w:t>z. o</w:t>
      </w:r>
      <w:r>
        <w:t> </w:t>
      </w:r>
      <w:r w:rsidRPr="00523598">
        <w:t>kolektívnom</w:t>
      </w:r>
      <w:r>
        <w:t xml:space="preserve"> </w:t>
      </w:r>
      <w:r w:rsidRPr="00523598">
        <w:t>investovaní v znení neskorších predpisov.</w:t>
      </w:r>
    </w:p>
    <w:p w:rsidR="00D27093" w:rsidRPr="00523598" w:rsidRDefault="00D27093" w:rsidP="00D27093">
      <w:pPr>
        <w:pStyle w:val="Odsekzoznamu"/>
        <w:rPr>
          <w:bCs/>
        </w:rPr>
      </w:pPr>
    </w:p>
    <w:p w:rsidR="00D27093" w:rsidRPr="00523598" w:rsidRDefault="00D27093" w:rsidP="00D27093">
      <w:pPr>
        <w:pStyle w:val="Odsekzoznamu"/>
        <w:jc w:val="both"/>
        <w:rPr>
          <w:rFonts w:eastAsiaTheme="minorHAnsi"/>
          <w:bCs/>
          <w:lang w:eastAsia="en-US"/>
        </w:rPr>
      </w:pPr>
      <w:r w:rsidRPr="00523598">
        <w:rPr>
          <w:bCs/>
        </w:rPr>
        <w:t xml:space="preserve">Smernica (EÚ) </w:t>
      </w:r>
      <w:r w:rsidRPr="00523598">
        <w:rPr>
          <w:bCs/>
          <w:u w:val="single"/>
        </w:rPr>
        <w:t>2019/878</w:t>
      </w:r>
      <w:r w:rsidRPr="00523598">
        <w:rPr>
          <w:bCs/>
        </w:rPr>
        <w:t xml:space="preserve"> bola prebratá do zákona č. 483/2001 Z. z. o bankách a o zmene a doplnení niektorých zákonov v znení neskorších predpisov, do zákona </w:t>
      </w:r>
      <w:r w:rsidRPr="00523598">
        <w:t>č. 566/2001 Z. z. o cenných papieroch a investičných službách a o zmene a doplnení niektorých zákonov (zákon o cenných papieroch) v znení neskorších predpisov, do zákona č.</w:t>
      </w:r>
      <w:r w:rsidRPr="00523598">
        <w:rPr>
          <w:bCs/>
        </w:rPr>
        <w:t> </w:t>
      </w:r>
      <w:r w:rsidRPr="00523598">
        <w:t xml:space="preserve">747/2004 Z. z. </w:t>
      </w:r>
      <w:r w:rsidRPr="00523598">
        <w:rPr>
          <w:bCs/>
          <w:shd w:val="clear" w:color="auto" w:fill="FFFFFF"/>
        </w:rPr>
        <w:t xml:space="preserve">o dohľade nad finančným trhom a o zmene a doplnení niektorých zákonov v znení neskorších predpisov, do zákona č. 371/2014 Z. z. o riešení krízových situácií na finančnom trhu a o zmene a doplnení niektorých zákonov v znení neskorších predpisov, do zákona č. </w:t>
      </w:r>
      <w:r w:rsidRPr="00523598">
        <w:rPr>
          <w:bCs/>
        </w:rPr>
        <w:t xml:space="preserve">365/2004 Z. z. </w:t>
      </w:r>
      <w:r w:rsidRPr="00523598">
        <w:rPr>
          <w:bCs/>
          <w:shd w:val="clear" w:color="auto" w:fill="FFFFFF"/>
        </w:rPr>
        <w:t>o rovnakom zaobchádzaní v niektorých oblastiach a o ochrane pred diskrimináciou a o zmene a doplnení niektorých zákonov (antidiskriminačný zákon) v znení neskorších predpisov, do zákona č. 39/2015 Z. z. o poisťovníctve a o zmene a doplnení niektorých zákonov v znení neskorších predpisov, do zákona č. 18/2018 Z. z. o ochrane osobných údajov a o zmene a doplnení niektorých zákonov v znení neskorších predpisov, do opatrenia Národnej banky Slovenska č.</w:t>
      </w:r>
      <w:r w:rsidRPr="00523598">
        <w:rPr>
          <w:rStyle w:val="Siln"/>
        </w:rPr>
        <w:t> </w:t>
      </w:r>
      <w:r w:rsidRPr="00523598">
        <w:rPr>
          <w:bCs/>
          <w:shd w:val="clear" w:color="auto" w:fill="FFFFFF"/>
        </w:rPr>
        <w:t xml:space="preserve">4/2015 </w:t>
      </w:r>
      <w:r w:rsidRPr="00523598">
        <w:rPr>
          <w:shd w:val="clear" w:color="auto" w:fill="FFFFFF"/>
        </w:rPr>
        <w:t xml:space="preserve">z 31. marca 2015 o ďalších druhoch rizík, o podrobnostiach o systéme riadenia rizík banky a pobočky zahraničnej banky a ktorým sa ustanovuje čo sa rozumie náhlou a neočakávanou zmenou úrokových mier na trhu (oznámenie č. 81/2015 Z. z.) v znení neskorších predpisov, do opatrenia </w:t>
      </w:r>
      <w:r w:rsidRPr="00523598">
        <w:rPr>
          <w:rFonts w:eastAsiaTheme="minorHAnsi"/>
          <w:lang w:eastAsia="en-US"/>
        </w:rPr>
        <w:t>N</w:t>
      </w:r>
      <w:r w:rsidRPr="00523598">
        <w:rPr>
          <w:rFonts w:eastAsiaTheme="minorHAnsi"/>
          <w:bCs/>
          <w:lang w:eastAsia="en-US"/>
        </w:rPr>
        <w:t>árodnej banky Slovenska č. 6/2010 z 11. mája 2010, ktorým sa ustanovujú náležitosti žiadosti o predchádzajúci súhlas Národnej banky</w:t>
      </w:r>
      <w:r w:rsidR="00BE2BA2">
        <w:rPr>
          <w:rFonts w:eastAsiaTheme="minorHAnsi"/>
          <w:bCs/>
          <w:lang w:eastAsia="en-US"/>
        </w:rPr>
        <w:t>.</w:t>
      </w:r>
      <w:r w:rsidRPr="00523598">
        <w:rPr>
          <w:rFonts w:eastAsiaTheme="minorHAnsi"/>
          <w:bCs/>
          <w:lang w:eastAsia="en-US"/>
        </w:rPr>
        <w:t xml:space="preserve"> </w:t>
      </w:r>
    </w:p>
    <w:p w:rsidR="00D27093" w:rsidRPr="00523598" w:rsidRDefault="00D27093" w:rsidP="00D27093">
      <w:pPr>
        <w:pStyle w:val="Odsekzoznamu"/>
        <w:jc w:val="both"/>
        <w:rPr>
          <w:bCs/>
          <w:shd w:val="clear" w:color="auto" w:fill="FFFFFF"/>
        </w:rPr>
      </w:pPr>
    </w:p>
    <w:p w:rsidR="00D27093" w:rsidRPr="00523598" w:rsidRDefault="00D27093" w:rsidP="00D27093">
      <w:pPr>
        <w:pStyle w:val="Odsekzoznamu"/>
        <w:jc w:val="both"/>
        <w:rPr>
          <w:bCs/>
          <w:shd w:val="clear" w:color="auto" w:fill="FFFFFF"/>
        </w:rPr>
      </w:pPr>
      <w:r w:rsidRPr="00523598">
        <w:rPr>
          <w:bCs/>
          <w:shd w:val="clear" w:color="auto" w:fill="FFFFFF"/>
        </w:rPr>
        <w:t xml:space="preserve">Smernica (EÚ) </w:t>
      </w:r>
      <w:r w:rsidRPr="00523598">
        <w:rPr>
          <w:bCs/>
          <w:u w:val="single"/>
          <w:shd w:val="clear" w:color="auto" w:fill="FFFFFF"/>
        </w:rPr>
        <w:t>2015/2366</w:t>
      </w:r>
      <w:r w:rsidRPr="00523598">
        <w:rPr>
          <w:bCs/>
          <w:shd w:val="clear" w:color="auto" w:fill="FFFFFF"/>
        </w:rPr>
        <w:t xml:space="preserve"> bola prebratá do zákona č. 492/2009 Z. z. o platobných službách a o zmene a doplnení niektorých zákonov v znení neskorších predpisov, do zákona č. 747/2004 Z. z. o dohľade nad finančným trhom a o zmene a doplnení niektorých zákonov v znení neskorších predpisov, do zákona č. 483/2001 Z. z. o bankách a o zmene a doplnení niektorých zákonov v znení neskorších predpisov, do zákona Národnej rady Slovenskej republiky č. 566/1992 Zb. o Národnej banke Slovenska v znení neskorších predpisov, do zákona č. 160/2015 Z. z. Civilný sporový poriadok </w:t>
      </w:r>
      <w:r w:rsidRPr="00523598">
        <w:rPr>
          <w:color w:val="000000" w:themeColor="text1"/>
        </w:rPr>
        <w:t>v znení neskorších predpisov</w:t>
      </w:r>
      <w:r w:rsidRPr="00523598">
        <w:rPr>
          <w:bCs/>
          <w:shd w:val="clear" w:color="auto" w:fill="FFFFFF"/>
        </w:rPr>
        <w:t xml:space="preserve">, do zákona č. 162/2015 Z. z. Správny súdny poriadok </w:t>
      </w:r>
      <w:r w:rsidRPr="00523598">
        <w:rPr>
          <w:color w:val="000000" w:themeColor="text1"/>
        </w:rPr>
        <w:t>v znení neskorších predpisov</w:t>
      </w:r>
      <w:r w:rsidRPr="00523598">
        <w:rPr>
          <w:bCs/>
          <w:shd w:val="clear" w:color="auto" w:fill="FFFFFF"/>
        </w:rPr>
        <w:t xml:space="preserve">, do zákona č. 391/2015 Z. z. o alternatívnom riešení spotrebiteľských sporov a o zmene a doplnení niektorých zákonov </w:t>
      </w:r>
      <w:r w:rsidRPr="00523598">
        <w:rPr>
          <w:color w:val="000000" w:themeColor="text1"/>
        </w:rPr>
        <w:t>v znení neskorších predpisov</w:t>
      </w:r>
      <w:r w:rsidRPr="00523598">
        <w:rPr>
          <w:bCs/>
          <w:shd w:val="clear" w:color="auto" w:fill="FFFFFF"/>
        </w:rPr>
        <w:t>, do zákona č.</w:t>
      </w:r>
      <w:r w:rsidRPr="00523598">
        <w:rPr>
          <w:shd w:val="clear" w:color="auto" w:fill="FFFFFF"/>
        </w:rPr>
        <w:t> </w:t>
      </w:r>
      <w:r w:rsidRPr="00523598">
        <w:rPr>
          <w:bCs/>
          <w:shd w:val="clear" w:color="auto" w:fill="FFFFFF"/>
        </w:rPr>
        <w:t xml:space="preserve">351/2011 Z. z. o elektronických komunikáciách </w:t>
      </w:r>
      <w:r w:rsidRPr="00523598">
        <w:rPr>
          <w:color w:val="000000" w:themeColor="text1"/>
        </w:rPr>
        <w:t>v znení neskorších predpisov</w:t>
      </w:r>
      <w:r w:rsidRPr="00523598">
        <w:rPr>
          <w:bCs/>
          <w:shd w:val="clear" w:color="auto" w:fill="FFFFFF"/>
        </w:rPr>
        <w:t xml:space="preserve">, do zákona č. 266/2005 Z. z. o ochrane spotrebiteľa pri finančných službách na diaľku a o zmene a doplnení niektorých zákonov </w:t>
      </w:r>
      <w:r w:rsidRPr="00523598">
        <w:rPr>
          <w:color w:val="000000" w:themeColor="text1"/>
        </w:rPr>
        <w:t>v znení neskorších predpisov</w:t>
      </w:r>
      <w:r w:rsidRPr="00523598">
        <w:rPr>
          <w:bCs/>
          <w:shd w:val="clear" w:color="auto" w:fill="FFFFFF"/>
        </w:rPr>
        <w:t xml:space="preserve"> a do zákona č. 460/1992 Zb. Ústava Slovenskej republiky.</w:t>
      </w:r>
    </w:p>
    <w:p w:rsidR="00D27093" w:rsidRPr="00523598" w:rsidRDefault="00D27093" w:rsidP="00D27093">
      <w:pPr>
        <w:pStyle w:val="Odsekzoznamu"/>
        <w:jc w:val="both"/>
        <w:rPr>
          <w:bCs/>
          <w:shd w:val="clear" w:color="auto" w:fill="FFFFFF"/>
        </w:rPr>
      </w:pPr>
    </w:p>
    <w:p w:rsidR="00D27093" w:rsidRPr="00523598" w:rsidRDefault="00D27093" w:rsidP="00D27093">
      <w:pPr>
        <w:pStyle w:val="Odsekzoznamu"/>
        <w:jc w:val="both"/>
        <w:rPr>
          <w:lang w:eastAsia="sk-SK"/>
        </w:rPr>
      </w:pPr>
      <w:r w:rsidRPr="00523598">
        <w:rPr>
          <w:bCs/>
        </w:rPr>
        <w:t xml:space="preserve">Smernica </w:t>
      </w:r>
      <w:r w:rsidRPr="00523598">
        <w:rPr>
          <w:bCs/>
          <w:u w:val="single"/>
        </w:rPr>
        <w:t>2013/36/EÚ</w:t>
      </w:r>
      <w:r w:rsidRPr="00523598">
        <w:rPr>
          <w:bCs/>
        </w:rPr>
        <w:t xml:space="preserve"> v platnom znení bola prebratá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predpisov,</w:t>
      </w:r>
      <w:r w:rsidRPr="00523598">
        <w:t xml:space="preserve"> do zákona č. 513/1991 Zb. Obchodný zákonník v znení neskorších predpisov, do zákona Národnej rady Slovenskej republiky č. 566/1992 Zb. o Národnej banke Slovenska v znení neskorších predpisov, </w:t>
      </w:r>
      <w:r w:rsidRPr="00523598">
        <w:rPr>
          <w:bCs/>
        </w:rPr>
        <w:t xml:space="preserve">do zákona </w:t>
      </w:r>
      <w:r w:rsidRPr="00523598">
        <w:t>č.</w:t>
      </w:r>
      <w:r w:rsidRPr="00523598">
        <w:rPr>
          <w:bCs/>
        </w:rPr>
        <w:t> </w:t>
      </w:r>
      <w:r w:rsidRPr="00523598">
        <w:t>747/2004 Z. z. o </w:t>
      </w:r>
      <w:r w:rsidRPr="00523598">
        <w:rPr>
          <w:bCs/>
        </w:rPr>
        <w:t xml:space="preserve">dohľade nad finančným trhom a o zmene a doplnení niektorých zákonov </w:t>
      </w:r>
      <w:r w:rsidRPr="00523598">
        <w:t>v znení neskorších predpisov, do zákona č. 423/2015 Z. z. o štatutárnom audite a o zmene a doplnení zákona č. 431/2002 Z. z. o účtovníctve v znení neskorších predpisov v znení neskorších predpisov, do zákona č. 186/2009 Z. z. o finančnom sprostredkovaní a finančnom poradenstve a o zmene a doplnení niektorých zákonov v znení neskorších predpisov, do zákona č. 371/2014 Z. z. o riešení krízových situácií na finančnom trhu a o zmene a doplnení niektorých zákonov v znení neskorších predpisov, do zákona č. 39/2015 Z.</w:t>
      </w:r>
      <w:r w:rsidRPr="00523598">
        <w:rPr>
          <w:shd w:val="clear" w:color="auto" w:fill="FFFFFF"/>
        </w:rPr>
        <w:t> </w:t>
      </w:r>
      <w:r w:rsidRPr="00523598">
        <w:t xml:space="preserve">z. o poisťovníctve a o zmene a doplnení niektorých zákonov v znení neskorších predpisov, do </w:t>
      </w:r>
      <w:r w:rsidRPr="00523598">
        <w:rPr>
          <w:color w:val="000000" w:themeColor="text1"/>
        </w:rPr>
        <w:t>opatrenia Národnej banky Slovenska z 28. októbra 2008 č. 18/2008 o likvidite bánk a pobočiek zahraničných bánk a o postupe riadenia rizika likvidity bánk a likvidity pobočiek zahraničných bánk a o zmene opatrenia Národnej banky Slovenska č. 11/2007 o predkladaní výkazov, hlásení a iných správ bankami, pobočkami zahraničných bánk, obchodníkmi s cennými papiermi a pobočkami zahraničných obchodníkov s cennými papiermi na účely vykonávania dohľadu a na štatistické účely v znení neskorších predpisov,</w:t>
      </w:r>
      <w:r w:rsidRPr="00523598">
        <w:t xml:space="preserve"> do </w:t>
      </w:r>
      <w:r w:rsidRPr="00523598">
        <w:rPr>
          <w:color w:val="000000" w:themeColor="text1"/>
        </w:rPr>
        <w:t>opatrenia Národnej banky Slovenska č. 6/2010 z</w:t>
      </w:r>
      <w:r w:rsidRPr="00523598">
        <w:rPr>
          <w:rStyle w:val="Siln"/>
        </w:rPr>
        <w:t> </w:t>
      </w:r>
      <w:r w:rsidRPr="00523598">
        <w:rPr>
          <w:color w:val="000000" w:themeColor="text1"/>
        </w:rPr>
        <w:t>11.</w:t>
      </w:r>
      <w:r w:rsidRPr="00523598">
        <w:rPr>
          <w:rStyle w:val="Siln"/>
        </w:rPr>
        <w:t> </w:t>
      </w:r>
      <w:r w:rsidRPr="00523598">
        <w:rPr>
          <w:color w:val="000000" w:themeColor="text1"/>
        </w:rPr>
        <w:t>mája 2010, ktorým sa ustanovujú náležitosti žiadosti o predchádzajúci súhlas Národnej banky Slovenska podľa § 28 ods. 1 zákona o bankách v znení neskorších predpisov, do opatrenia Národnej banky Slovenska z 31. marca 2015 č. 4/2015 o ďalších druhoch rizík, o podrobnostiach o systéme riadenia rizík banky a pobočky zahraničnej banky a ktorým sa ustanovuje čo sa rozumie náhlou a neočakávanou zmenou úrokových mier na trhu, do</w:t>
      </w:r>
      <w:r w:rsidRPr="00523598">
        <w:t xml:space="preserve"> </w:t>
      </w:r>
      <w:r w:rsidRPr="00523598">
        <w:rPr>
          <w:color w:val="000000" w:themeColor="text1"/>
        </w:rPr>
        <w:t xml:space="preserve">opatrenia Národnej banky Slovenska z 12. decembra 2017 č. 13/2017 o predkladaní výkazov, hlásení a iných správ bankami a pobočkami zahraničných bánk na účely vykonávania dohľadu v znení neskorších predpisov, do opatrenia Národnej banky Slovenska č. 13/2014 z 29. júla 2014 o predkladaní výkazov, hlásení a iných správ obchodníkmi s cennými papiermi a pobočkami zahraničných obchodníkov s cennými papiermi na účely vykonávania dohľadu v znení neskorších predpisov, do opatrenia Národnej banky Slovenska č. 16/2014 z 2. septembra 2014 o uverejňovaní </w:t>
      </w:r>
      <w:r w:rsidRPr="00523598">
        <w:rPr>
          <w:color w:val="000000" w:themeColor="text1"/>
        </w:rPr>
        <w:lastRenderedPageBreak/>
        <w:t>informácií bankami a pobočkami zahraničných bánk v znení neskorších predpisov a do opatrenia Národnej banky Slovenska z 31. marca 2015 č. 4/2015 o ďalších druhoch rizík, o podrobnostiach o systéme riadenia rizík banky a pobočky zahraničnej banky a ktorým sa ustanovuje čo sa rozumie náhlou a neočakávanou zmenou úrokových mier na trhu.</w:t>
      </w:r>
    </w:p>
    <w:p w:rsidR="00D27093" w:rsidRPr="00523598" w:rsidRDefault="00D27093" w:rsidP="00D27093">
      <w:pPr>
        <w:pStyle w:val="Odsekzoznamu"/>
        <w:jc w:val="both"/>
        <w:rPr>
          <w:lang w:eastAsia="sk-SK"/>
        </w:rPr>
      </w:pPr>
    </w:p>
    <w:p w:rsidR="00D27093" w:rsidRPr="00523598" w:rsidRDefault="00D27093" w:rsidP="00D27093">
      <w:pPr>
        <w:ind w:left="709"/>
        <w:jc w:val="both"/>
        <w:rPr>
          <w:lang w:eastAsia="sk-SK"/>
        </w:rPr>
      </w:pPr>
      <w:r w:rsidRPr="00523598">
        <w:t xml:space="preserve">Smernica </w:t>
      </w:r>
      <w:r w:rsidRPr="00523598">
        <w:rPr>
          <w:u w:val="single"/>
        </w:rPr>
        <w:t>2013/34/EÚ</w:t>
      </w:r>
      <w:r w:rsidRPr="00523598">
        <w:t xml:space="preserve"> bola prebratá do zákona č. 431/2002 Z. z. o účtovníctve v znení neskorších predpisov, do zákona č. 333/2014 Z. z., ktorým sa mení a dopĺňa zákon č.</w:t>
      </w:r>
      <w:r w:rsidRPr="00523598">
        <w:rPr>
          <w:rStyle w:val="Siln"/>
        </w:rPr>
        <w:t xml:space="preserve">  </w:t>
      </w:r>
      <w:r w:rsidRPr="00523598">
        <w:t xml:space="preserve"> 595/2003 Z. z. o dani z príjmov v znení neskorších predpisov a ktorým sa menia a dopĺňajú niektoré zákony, do zákona č. 423/2015 Z. z. o štatutárnom audite a o zmene a doplnení zákona č. 431/2002 Z. z. o účtovníctve v znení neskorších predpisov v znení neskorších predpisov a do zákona č. 500/2001 Z. z., ktorým sa mení a dopĺňa Obchodný zákonník v znení neskorších predpisov.</w:t>
      </w:r>
    </w:p>
    <w:p w:rsidR="00D27093" w:rsidRPr="00523598" w:rsidRDefault="00D27093" w:rsidP="00D27093">
      <w:pPr>
        <w:pStyle w:val="Odsekzoznamu"/>
        <w:jc w:val="both"/>
        <w:rPr>
          <w:lang w:eastAsia="sk-SK"/>
        </w:rPr>
      </w:pPr>
    </w:p>
    <w:p w:rsidR="00D27093" w:rsidRPr="00523598" w:rsidRDefault="00D27093" w:rsidP="00D27093">
      <w:pPr>
        <w:pStyle w:val="Odsekzoznamu"/>
        <w:jc w:val="both"/>
        <w:rPr>
          <w:bCs/>
          <w:shd w:val="clear" w:color="auto" w:fill="FFFFFF"/>
        </w:rPr>
      </w:pPr>
      <w:r w:rsidRPr="00523598">
        <w:rPr>
          <w:bCs/>
          <w:shd w:val="clear" w:color="auto" w:fill="FFFFFF"/>
        </w:rPr>
        <w:t xml:space="preserve">Smernica </w:t>
      </w:r>
      <w:r w:rsidRPr="00523598">
        <w:rPr>
          <w:bCs/>
          <w:u w:val="single"/>
          <w:shd w:val="clear" w:color="auto" w:fill="FFFFFF"/>
        </w:rPr>
        <w:t>2009/110/ES</w:t>
      </w:r>
      <w:r w:rsidRPr="00523598">
        <w:rPr>
          <w:bCs/>
          <w:shd w:val="clear" w:color="auto" w:fill="FFFFFF"/>
        </w:rPr>
        <w:t xml:space="preserve"> bola prebratá do zákona č. 492/2009 Z. z. o platobných službách a o zmene a doplnení niektorých zákonov v znení neskorších predpisov, do zákona č. 747/2004 Z. z. o dohľade nad finančným trhom a o zmene a doplnení niektorých zákonov v znení neskorších predpisov, do zákona č. 483/2001 Z. z. o bankách a o zmene a doplnení niektorých zákonov v znení neskorších predpisov, do zákona Národnej rady Slovenskej republiky č. 566/1992 Zb. o Národnej banke Slovenska v znení neskorších predpisov a do zákona č. 297/2008 Z. z. o ochrane pred legalizáciou príjmov z trestnej činnosti a o ochrane pred financovaním terorizmu a o zmene a doplnení niektorých zákonov v znení neskorších predpisov.</w:t>
      </w:r>
    </w:p>
    <w:p w:rsidR="00D27093" w:rsidRPr="00523598" w:rsidRDefault="00D27093" w:rsidP="00D27093">
      <w:pPr>
        <w:pStyle w:val="Odsekzoznamu"/>
        <w:jc w:val="both"/>
        <w:rPr>
          <w:bCs/>
          <w:shd w:val="clear" w:color="auto" w:fill="FFFFFF"/>
        </w:rPr>
      </w:pPr>
    </w:p>
    <w:p w:rsidR="00D27093" w:rsidRPr="00523598" w:rsidRDefault="00D27093" w:rsidP="00D27093">
      <w:pPr>
        <w:pStyle w:val="Odsekzoznamu"/>
        <w:jc w:val="both"/>
        <w:rPr>
          <w:bCs/>
          <w:shd w:val="clear" w:color="auto" w:fill="FFFFFF"/>
        </w:rPr>
      </w:pPr>
      <w:r w:rsidRPr="00523598">
        <w:rPr>
          <w:color w:val="000000"/>
          <w:lang w:eastAsia="sk-SK"/>
        </w:rPr>
        <w:t>Smernica</w:t>
      </w:r>
      <w:r w:rsidRPr="00523598">
        <w:rPr>
          <w:color w:val="000000"/>
          <w:spacing w:val="57"/>
          <w:lang w:eastAsia="sk-SK"/>
        </w:rPr>
        <w:t xml:space="preserve"> </w:t>
      </w:r>
      <w:r w:rsidRPr="00523598">
        <w:rPr>
          <w:color w:val="000000"/>
          <w:u w:val="single"/>
          <w:lang w:eastAsia="sk-SK"/>
        </w:rPr>
        <w:t>2001/24/ES</w:t>
      </w:r>
      <w:r w:rsidRPr="00523598">
        <w:rPr>
          <w:color w:val="000000"/>
          <w:lang w:eastAsia="sk-SK"/>
        </w:rPr>
        <w:t xml:space="preserve"> </w:t>
      </w:r>
      <w:r w:rsidRPr="00523598">
        <w:rPr>
          <w:bCs/>
        </w:rPr>
        <w:t xml:space="preserve">bola prebratá do zákona č. 483/2001 Z. z. o bankách a o zmene a doplnení niektorých zákonov v znení neskorších predpisov a do zákona č. 7/2005 Z. z. </w:t>
      </w:r>
      <w:r w:rsidRPr="00523598">
        <w:rPr>
          <w:rStyle w:val="awspan"/>
          <w:bCs/>
          <w:color w:val="000000"/>
        </w:rPr>
        <w:t>o</w:t>
      </w:r>
      <w:r w:rsidRPr="00523598">
        <w:rPr>
          <w:rStyle w:val="awspan"/>
          <w:bCs/>
          <w:color w:val="000000"/>
          <w:spacing w:val="103"/>
        </w:rPr>
        <w:t> </w:t>
      </w:r>
      <w:r w:rsidRPr="00523598">
        <w:rPr>
          <w:rStyle w:val="awspan"/>
          <w:bCs/>
          <w:color w:val="000000"/>
        </w:rPr>
        <w:t>konkurze a reštrukturalizácii a</w:t>
      </w:r>
      <w:r w:rsidRPr="00523598">
        <w:rPr>
          <w:rStyle w:val="awspan"/>
          <w:bCs/>
          <w:color w:val="000000"/>
          <w:spacing w:val="74"/>
        </w:rPr>
        <w:t> </w:t>
      </w:r>
      <w:r w:rsidRPr="00523598">
        <w:rPr>
          <w:rStyle w:val="awspan"/>
          <w:bCs/>
          <w:color w:val="000000"/>
        </w:rPr>
        <w:t>o zmene a</w:t>
      </w:r>
      <w:r w:rsidRPr="00523598">
        <w:rPr>
          <w:rStyle w:val="awspan"/>
          <w:bCs/>
          <w:color w:val="000000"/>
          <w:spacing w:val="74"/>
        </w:rPr>
        <w:t> </w:t>
      </w:r>
      <w:r w:rsidRPr="00523598">
        <w:rPr>
          <w:rStyle w:val="awspan"/>
          <w:bCs/>
          <w:color w:val="000000"/>
        </w:rPr>
        <w:t>doplnení niektorých</w:t>
      </w:r>
      <w:r w:rsidRPr="00523598">
        <w:rPr>
          <w:rStyle w:val="awspan"/>
          <w:bCs/>
          <w:color w:val="000000"/>
          <w:spacing w:val="74"/>
        </w:rPr>
        <w:t xml:space="preserve"> </w:t>
      </w:r>
      <w:r w:rsidRPr="00523598">
        <w:rPr>
          <w:rStyle w:val="awspan"/>
          <w:bCs/>
          <w:color w:val="000000"/>
        </w:rPr>
        <w:t>zákonov</w:t>
      </w:r>
      <w:r w:rsidRPr="00523598">
        <w:rPr>
          <w:rStyle w:val="awspan"/>
          <w:bCs/>
          <w:color w:val="000000"/>
          <w:spacing w:val="74"/>
        </w:rPr>
        <w:t xml:space="preserve"> </w:t>
      </w:r>
      <w:r w:rsidRPr="00523598">
        <w:rPr>
          <w:rStyle w:val="awspan"/>
          <w:bCs/>
          <w:color w:val="000000"/>
        </w:rPr>
        <w:t>v</w:t>
      </w:r>
      <w:r w:rsidRPr="00523598">
        <w:rPr>
          <w:rStyle w:val="awspan"/>
          <w:bCs/>
          <w:color w:val="000000"/>
          <w:spacing w:val="74"/>
        </w:rPr>
        <w:t> </w:t>
      </w:r>
      <w:r w:rsidRPr="00523598">
        <w:rPr>
          <w:rStyle w:val="awspan"/>
          <w:bCs/>
          <w:color w:val="000000"/>
        </w:rPr>
        <w:t>znení neskorších predpisov.</w:t>
      </w:r>
    </w:p>
    <w:p w:rsidR="00D27093" w:rsidRPr="00523598" w:rsidRDefault="00D27093" w:rsidP="00D27093">
      <w:pPr>
        <w:pStyle w:val="Odsekzoznamu"/>
        <w:jc w:val="both"/>
        <w:rPr>
          <w:bCs/>
          <w:shd w:val="clear" w:color="auto" w:fill="FFFFFF"/>
        </w:rPr>
      </w:pPr>
    </w:p>
    <w:p w:rsidR="00D27093" w:rsidRPr="00523598" w:rsidRDefault="00D27093" w:rsidP="00D27093">
      <w:pPr>
        <w:pStyle w:val="Odsekzoznamu"/>
        <w:jc w:val="both"/>
        <w:rPr>
          <w:bCs/>
          <w:shd w:val="clear" w:color="auto" w:fill="FFFFFF"/>
        </w:rPr>
      </w:pPr>
    </w:p>
    <w:p w:rsidR="00D27093" w:rsidRPr="00523598" w:rsidRDefault="00D27093" w:rsidP="00D27093">
      <w:pPr>
        <w:pStyle w:val="Odsekzoznamu"/>
        <w:keepNext/>
        <w:numPr>
          <w:ilvl w:val="0"/>
          <w:numId w:val="9"/>
        </w:numPr>
        <w:ind w:left="426" w:hanging="426"/>
        <w:rPr>
          <w:lang w:eastAsia="sk-SK"/>
        </w:rPr>
      </w:pPr>
      <w:r w:rsidRPr="00523598">
        <w:rPr>
          <w:b/>
          <w:bCs/>
          <w:lang w:eastAsia="sk-SK"/>
        </w:rPr>
        <w:t>Návrh zákona je zlučiteľný s právom Európskej únie:</w:t>
      </w:r>
    </w:p>
    <w:p w:rsidR="00D27093" w:rsidRPr="00523598" w:rsidRDefault="00D27093" w:rsidP="00D27093">
      <w:pPr>
        <w:pStyle w:val="Odsekzoznamu"/>
        <w:keepNext/>
        <w:numPr>
          <w:ilvl w:val="0"/>
          <w:numId w:val="13"/>
        </w:numPr>
        <w:jc w:val="both"/>
        <w:rPr>
          <w:lang w:eastAsia="sk-SK"/>
        </w:rPr>
      </w:pPr>
      <w:r w:rsidRPr="00523598">
        <w:rPr>
          <w:lang w:eastAsia="sk-SK"/>
        </w:rPr>
        <w:t>úplne.</w:t>
      </w:r>
    </w:p>
    <w:p w:rsidR="00D27093" w:rsidRDefault="00D27093" w:rsidP="00D27093"/>
    <w:p w:rsidR="00D27093" w:rsidRPr="00882087" w:rsidRDefault="00D27093" w:rsidP="00D27093"/>
    <w:p w:rsidR="00D27093" w:rsidRDefault="00D27093" w:rsidP="00D27093"/>
    <w:p w:rsidR="00D27093" w:rsidRDefault="00D27093">
      <w:pPr>
        <w:spacing w:after="160" w:line="259" w:lineRule="auto"/>
      </w:pPr>
      <w:r>
        <w:br w:type="page"/>
      </w:r>
    </w:p>
    <w:p w:rsidR="00D27093" w:rsidRPr="0032099C" w:rsidRDefault="00D27093" w:rsidP="00D27093">
      <w:pPr>
        <w:spacing w:after="120"/>
        <w:jc w:val="center"/>
        <w:rPr>
          <w:b/>
          <w:caps/>
          <w:sz w:val="27"/>
          <w:szCs w:val="27"/>
          <w:lang w:eastAsia="sk-SK"/>
        </w:rPr>
      </w:pPr>
      <w:r w:rsidRPr="0032099C">
        <w:rPr>
          <w:b/>
          <w:caps/>
        </w:rPr>
        <w:lastRenderedPageBreak/>
        <w:t>Dôvodová správa</w:t>
      </w:r>
    </w:p>
    <w:p w:rsidR="00D27093" w:rsidRPr="0032099C" w:rsidRDefault="00D27093" w:rsidP="00D27093">
      <w:pPr>
        <w:jc w:val="both"/>
        <w:rPr>
          <w:b/>
        </w:rPr>
      </w:pPr>
    </w:p>
    <w:p w:rsidR="00D27093" w:rsidRPr="0032099C" w:rsidRDefault="00D27093" w:rsidP="00D27093">
      <w:pPr>
        <w:jc w:val="both"/>
        <w:rPr>
          <w:b/>
        </w:rPr>
      </w:pPr>
      <w:r w:rsidRPr="0032099C">
        <w:rPr>
          <w:b/>
        </w:rPr>
        <w:t xml:space="preserve">Osobitná časť </w:t>
      </w:r>
    </w:p>
    <w:p w:rsidR="00D27093" w:rsidRPr="0032099C" w:rsidRDefault="00D27093" w:rsidP="00D27093">
      <w:pPr>
        <w:jc w:val="both"/>
      </w:pPr>
    </w:p>
    <w:p w:rsidR="00D27093" w:rsidRPr="0032099C" w:rsidRDefault="00D27093" w:rsidP="00D27093">
      <w:pPr>
        <w:jc w:val="center"/>
        <w:rPr>
          <w:b/>
        </w:rPr>
      </w:pPr>
      <w:r w:rsidRPr="0032099C">
        <w:rPr>
          <w:b/>
        </w:rPr>
        <w:t>K čl. I</w:t>
      </w:r>
    </w:p>
    <w:p w:rsidR="00D27093" w:rsidRPr="0032099C" w:rsidRDefault="00D27093" w:rsidP="00D27093">
      <w:pPr>
        <w:jc w:val="center"/>
        <w:rPr>
          <w:b/>
        </w:rPr>
      </w:pPr>
      <w:r w:rsidRPr="0032099C">
        <w:rPr>
          <w:b/>
        </w:rPr>
        <w:t>Návrh zákona o niektorých povinnostiach a oprávneniach v oblasti kryptoaktív a o zmene a doplnení niektorých zákonov</w:t>
      </w:r>
    </w:p>
    <w:p w:rsidR="00D27093" w:rsidRPr="0032099C" w:rsidRDefault="00D27093" w:rsidP="00D27093">
      <w:pPr>
        <w:jc w:val="both"/>
      </w:pPr>
    </w:p>
    <w:p w:rsidR="00D27093" w:rsidRPr="0032099C" w:rsidRDefault="00D27093" w:rsidP="00D27093">
      <w:pPr>
        <w:jc w:val="both"/>
      </w:pPr>
    </w:p>
    <w:p w:rsidR="00D27093" w:rsidRPr="0032099C" w:rsidRDefault="00D27093" w:rsidP="00D27093">
      <w:pPr>
        <w:jc w:val="both"/>
        <w:rPr>
          <w:b/>
        </w:rPr>
      </w:pPr>
      <w:r w:rsidRPr="0032099C">
        <w:rPr>
          <w:b/>
        </w:rPr>
        <w:t>K § 1:</w:t>
      </w:r>
    </w:p>
    <w:p w:rsidR="00D27093" w:rsidRPr="0032099C" w:rsidRDefault="00D27093" w:rsidP="00D27093">
      <w:pPr>
        <w:jc w:val="both"/>
      </w:pPr>
      <w:r w:rsidRPr="0032099C">
        <w:tab/>
        <w:t>Návrh zákona o niektorých povinnostiach a oprávneniach v oblasti kryptoaktív a o zmene a doplnení niektorých zákonov (ďalej len „návrh zákona“) je implementáciou nariadenia Európskeho parlamentu a Rady (EÚ) 2023/1114 z 31. mája 2023 o trhoch s kryptoaktívami a o zmene nariadení (EÚ) č. 1093/2010 a (EÚ) č. 1095/2010 a smerníc 2013/36/EÚ a (EÚ) 2019/1937 (Ú. v. EÚ L 150, 9.6.2023) v platnom znení (ďalej len „nariadenie MiCA“). Vzhľadom na to, že nariadenie MiCA je priamo účinné, návrh zákona obsahuje ustanovenia, ktoré sú nevyhnutné na hladkú aplikáciu nariadenia MiCA v Slovenskej republike. Návrh zákona teda upravuje len niektoré práva a povinnosti osôb, na ktoré sa priamo vzťahuje nariadenie MiCA a dohľad nad tými osobami v Slovenskej republike v rozsahu podľa nariadenia MiCA. Návrh zákona primárne rieši pôsobnosť Národnej banky Slovenska ako určeného príslušného orgánu dohľadu a jej právomoci a ustanovuje sankcie za porušenie nariadenia MiCA alebo návrhu zákona.</w:t>
      </w:r>
    </w:p>
    <w:p w:rsidR="00D27093" w:rsidRPr="0032099C" w:rsidRDefault="00D27093" w:rsidP="00D27093">
      <w:pPr>
        <w:jc w:val="both"/>
      </w:pPr>
    </w:p>
    <w:p w:rsidR="00D27093" w:rsidRPr="0032099C" w:rsidRDefault="00D27093" w:rsidP="00D27093">
      <w:pPr>
        <w:jc w:val="both"/>
        <w:rPr>
          <w:b/>
        </w:rPr>
      </w:pPr>
      <w:r w:rsidRPr="0032099C">
        <w:rPr>
          <w:b/>
        </w:rPr>
        <w:t>K § 2:</w:t>
      </w:r>
    </w:p>
    <w:p w:rsidR="00D27093" w:rsidRPr="0032099C" w:rsidRDefault="00D27093" w:rsidP="00D27093">
      <w:pPr>
        <w:jc w:val="both"/>
      </w:pPr>
      <w:r w:rsidRPr="0032099C">
        <w:tab/>
        <w:t>Ustanovenia odsekov 1 a 2 reagujú na článok 36 ods. 2 nariadenia MiCA, podľa ktorého v záujme majiteľov tokenov naviazaných na aktíva musí byt rezerva aktív emitent</w:t>
      </w:r>
      <w:r>
        <w:t>a</w:t>
      </w:r>
      <w:r w:rsidRPr="0032099C">
        <w:t xml:space="preserve"> tokenov naviazaných na aktíva v súlade s príslušným právom (t. j. národným právom jednotlivých členských štátov) oddelená od majetku </w:t>
      </w:r>
      <w:r>
        <w:t xml:space="preserve">tohto </w:t>
      </w:r>
      <w:r w:rsidRPr="0032099C">
        <w:t xml:space="preserve">emitenta, ako aj od rezervy aktív iných tokenov naviazaných na aktíva </w:t>
      </w:r>
      <w:r>
        <w:t xml:space="preserve">tohto emitenta </w:t>
      </w:r>
      <w:r w:rsidRPr="0032099C">
        <w:t>tak, aby v</w:t>
      </w:r>
      <w:r>
        <w:t>eritelia emitenta</w:t>
      </w:r>
      <w:r w:rsidRPr="0032099C">
        <w:t xml:space="preserve"> nemali žiadny nárok na túto rezervu aktív, najmä v prípade platobnej neschopnosti. Rezerva aktív tak nepodlieha výkonu rozhodnutia podľa Správneho poriadku, nepodlieha exekúcii ani vymáhaniu súdnych pohľadávok. Taktiež sa upravuje, aby rezerva aktív nebola zahrnutá do konkurznej podstaty emitenta alebo nemali na ňu právo iní veritelia. V praxi to bude znamenať, že z predmetnej rezervy aktív sa budú prednostne uhrádzať platby pre držiteľov tokenov naviazaných na aktíva, ktorí majú právo na vyplatenie svojich pohľadávok z rezervy aktív v okamihu, keď je spustený plán spätnej výmeny podľa čl. 47 nariadenia MiCA. Keďže rezerva aktív môže byť v súlade s čl. 38 nariadenia MiCA investovaná, ani výnosy z investovania tejto rezervy</w:t>
      </w:r>
      <w:r>
        <w:t xml:space="preserve"> aktív</w:t>
      </w:r>
      <w:r w:rsidRPr="0032099C">
        <w:t xml:space="preserve"> nepodliehajú výkonu rozhodnutia a nie sú dotknuté vyhlásením konkurzu na majetok emitenta tokenov naviazaných na aktíva, povolením jeho reštrukturalizácie alebo zastavením platieb</w:t>
      </w:r>
      <w:r>
        <w:t xml:space="preserve"> (napríklad v prípade nútenej správy ak emitentom tokenov naviazaných na aktíva bude banka alebo obchodník s cennými papiermi)</w:t>
      </w:r>
      <w:r w:rsidRPr="0032099C">
        <w:t>.</w:t>
      </w:r>
    </w:p>
    <w:p w:rsidR="00D27093" w:rsidRPr="0032099C" w:rsidRDefault="00D27093" w:rsidP="00D27093">
      <w:pPr>
        <w:jc w:val="both"/>
      </w:pPr>
      <w:r w:rsidRPr="0032099C">
        <w:tab/>
        <w:t>Odseky 3 až 5 upravujú obdobný postup aj pri rezerve aktív inštitúcie elektronických peňazí emitujúcej významné tokeny elektronických peňazí (čl. 58 ods. 1 nariadenia MiCA) alebo ak rezervu aktív musia na základe rozhodnutia Národnej banky Slovenska v súlade s čl.</w:t>
      </w:r>
      <w:r w:rsidR="00454637" w:rsidRPr="0032099C">
        <w:t> </w:t>
      </w:r>
      <w:r w:rsidRPr="0032099C">
        <w:t>58 ods. 2 nariadenia MiCA tvoriť inštitúcie elektronických peňazí emitujúce tokeny elektronických peňazí.</w:t>
      </w:r>
    </w:p>
    <w:p w:rsidR="00D27093" w:rsidRPr="0032099C" w:rsidRDefault="00D27093" w:rsidP="00D27093">
      <w:pPr>
        <w:jc w:val="both"/>
      </w:pPr>
    </w:p>
    <w:p w:rsidR="00D27093" w:rsidRPr="0032099C" w:rsidRDefault="00D27093" w:rsidP="00D27093">
      <w:pPr>
        <w:jc w:val="both"/>
        <w:rPr>
          <w:b/>
        </w:rPr>
      </w:pPr>
      <w:r w:rsidRPr="0032099C">
        <w:rPr>
          <w:b/>
        </w:rPr>
        <w:t>K § 3</w:t>
      </w:r>
    </w:p>
    <w:p w:rsidR="00D27093" w:rsidRPr="0032099C" w:rsidRDefault="00D27093" w:rsidP="00D27093">
      <w:pPr>
        <w:jc w:val="both"/>
      </w:pPr>
      <w:r w:rsidRPr="0032099C">
        <w:tab/>
        <w:t xml:space="preserve">Ustanovenia súvisia s čl. 75 ods. 7 nariadenia MiCA, ktorý sa zaoberá ochranou majetku klientov (zverených prostriedkov) pri poskytovaní úschovy a správy kryptoaktív v mene </w:t>
      </w:r>
      <w:r w:rsidRPr="0032099C">
        <w:lastRenderedPageBreak/>
        <w:t xml:space="preserve">klientov. Poskytovateľ služieb kryptoaktív je povinný podľa nariadenia MiCA zabezpečiť, aby kryptoaktíva držané v úschove v mene svojich klientov boli oddelené od jeho vlastných podielov. Takisto musí zabezpečiť, aby tieto kryptoaktíva držané v úschove boli prevádzkovo oddelené od jeho majetku. V tejto súvislosti je potrebné implementovať čl. 75 ods. 7 druhý pododsek nariadenia MiCA, preto sa ustanovuje, že kryptoaktíva držané v úschove netvoria súčasť majetku poskytovateľa služieb kryptoaktív poskytujúceho úschovu a správu kryptoaktív v mene klientov a ani nepodliehajú výkonu rozhodnutia podľa Správneho poriadku, nepodliehajú exekúcii ani vymáhaniu súdnych pohľadávok. Rovnako ako pri rezerve aktív tieto zverené kryptoaktíva nebudú zahrnuté do konkurznej podstaty emitenta, ani na </w:t>
      </w:r>
      <w:proofErr w:type="spellStart"/>
      <w:r w:rsidRPr="0032099C">
        <w:t>ne</w:t>
      </w:r>
      <w:proofErr w:type="spellEnd"/>
      <w:r w:rsidRPr="0032099C">
        <w:t xml:space="preserve"> nebudú mať právo iní veritelia.</w:t>
      </w:r>
    </w:p>
    <w:p w:rsidR="00D27093" w:rsidRPr="0032099C" w:rsidRDefault="00D27093" w:rsidP="00D27093">
      <w:pPr>
        <w:jc w:val="both"/>
      </w:pPr>
    </w:p>
    <w:p w:rsidR="00D27093" w:rsidRPr="0032099C" w:rsidRDefault="00D27093" w:rsidP="00D27093">
      <w:pPr>
        <w:jc w:val="both"/>
        <w:rPr>
          <w:b/>
        </w:rPr>
      </w:pPr>
      <w:r w:rsidRPr="0032099C">
        <w:rPr>
          <w:b/>
        </w:rPr>
        <w:t>K § 4</w:t>
      </w:r>
    </w:p>
    <w:p w:rsidR="00D27093" w:rsidRPr="0032099C" w:rsidRDefault="00D27093" w:rsidP="00D27093">
      <w:pPr>
        <w:jc w:val="both"/>
      </w:pPr>
      <w:r w:rsidRPr="0032099C">
        <w:tab/>
        <w:t xml:space="preserve">Vzhľadom na to, že nariadenie MiCA priamo ustanovuje požiadavky na poskytovanie sprostredkovania a poradenstva v oblasti kryptoaktív, nie je možné riadiť sa v tejto oblasti národnou úpravou v zákone č. 186/2009 Z. z. o finančnom sprostredkovaní a poradenstve a o zmene a doplnení niektorých zákonov v znení neskorších predpisov. Ustanovenie odseku 1 preto upravuje, že na poskytovanie poradenstva v oblasti kryptoaktív, ktoré sa poskytuje podľa nariadenia MiCA, sa neuplatňuje zákon č. 186/2009 Z. z. </w:t>
      </w:r>
    </w:p>
    <w:p w:rsidR="00D27093" w:rsidRPr="0032099C" w:rsidRDefault="00D27093" w:rsidP="00D27093">
      <w:pPr>
        <w:jc w:val="both"/>
      </w:pPr>
      <w:r w:rsidRPr="0032099C">
        <w:tab/>
        <w:t xml:space="preserve">Ustanovením odseku 2 sa v súlade s nariadením MiCA (napr. čl. </w:t>
      </w:r>
      <w:r>
        <w:t>60 ods. 7 písm. i), čl.</w:t>
      </w:r>
      <w:r w:rsidR="00454637" w:rsidRPr="0032099C">
        <w:t> </w:t>
      </w:r>
      <w:r w:rsidRPr="0032099C">
        <w:t xml:space="preserve">62 ods. 2 písm. q)) vyžaduje, aby fyzické osoby, ktoré poskytujú poradenstvo alebo informácie o kryptoaktívach alebo služby kryptoaktív v mene poskytovateľa služieb kryptoaktív, mali potrebné </w:t>
      </w:r>
      <w:r>
        <w:t>odborné znalosti</w:t>
      </w:r>
      <w:r w:rsidRPr="0032099C">
        <w:t xml:space="preserve"> a schopnosti na plnenie svojich povinností</w:t>
      </w:r>
      <w:r>
        <w:t>, pričom terminológia použitá v ustanoveniach tohto paragrafu vychádza z anglického znenia nariadenia MiCA</w:t>
      </w:r>
      <w:r w:rsidRPr="0032099C">
        <w:t>.</w:t>
      </w:r>
    </w:p>
    <w:p w:rsidR="00D27093" w:rsidRPr="0032099C" w:rsidRDefault="00D27093" w:rsidP="00D27093">
      <w:pPr>
        <w:jc w:val="both"/>
      </w:pPr>
      <w:r w:rsidRPr="0032099C">
        <w:tab/>
        <w:t xml:space="preserve">Nariadenie MiCA v čl. 81 ods. 7 požaduje, aby členské štáty uverejnili kritériá, ktoré sa majú používať na posudzovanie </w:t>
      </w:r>
      <w:r>
        <w:t xml:space="preserve">odborných </w:t>
      </w:r>
      <w:r w:rsidRPr="0032099C">
        <w:t>znalostí a schopností fyzických osôb, ktoré poskytujú poradenstvo alebo informácie o kryptoaktívach alebo služby kryptoaktív v mene poskytovateľov služieb kryptoaktív poskytujúcich poradenstvo v oblasti kryptoaktív. Vzhľadom na to, že tieto kritériá môžu byť veľmi podrobné a môžu sa veľmi dynamicky meniť spolu s tým, ako sa vyvíja trh s kryptoaktívami, je vhodné ich stanoviť podzákonnou normou – opatrením, ktoré vydá Národná banka Slovenska. V odseku 3 je preto splnomocňovacie ustanovenie na vydanie tohto opatrenia.</w:t>
      </w:r>
    </w:p>
    <w:p w:rsidR="00D27093" w:rsidRPr="0032099C" w:rsidRDefault="00D27093" w:rsidP="00D27093">
      <w:pPr>
        <w:jc w:val="both"/>
      </w:pPr>
      <w:r w:rsidRPr="0032099C">
        <w:tab/>
        <w:t>Odsekom 4 sa zakladá povinnosť pre poskytovateľov služieb kryptoaktív, aby zabezpečovali odbornú prípravu fyzických osôb, ktoré v jeho mene poskytujú poradenstvo alebo informácie o kryptoaktívach alebo o službách kryptoaktív, pričom táto odborná príprava musí byť rozsahu kritérií ustanovených v opatrení Národnej banky Slovenska najmenej raz ročne a vždy pred tým, ako takáto fyzická osoba začne poskytovať poradenstvo alebo informácie o kryptoaktívach alebo o službách kryptoaktív v mene tohto poskytovateľa služieb kryptoaktív. Dodržiavanie týchto povinností je poskytovateľ služieb kryptoaktív povinný preukázať na požiadanie Národnej banke Slovenska.</w:t>
      </w:r>
    </w:p>
    <w:p w:rsidR="00D27093" w:rsidRPr="0032099C" w:rsidRDefault="00D27093" w:rsidP="00D27093">
      <w:pPr>
        <w:jc w:val="both"/>
      </w:pPr>
    </w:p>
    <w:p w:rsidR="00D27093" w:rsidRPr="0032099C" w:rsidRDefault="00D27093" w:rsidP="00D27093">
      <w:pPr>
        <w:jc w:val="both"/>
        <w:rPr>
          <w:b/>
        </w:rPr>
      </w:pPr>
      <w:r w:rsidRPr="0032099C">
        <w:rPr>
          <w:b/>
        </w:rPr>
        <w:t>K § 5</w:t>
      </w:r>
    </w:p>
    <w:p w:rsidR="00D27093" w:rsidRPr="0032099C" w:rsidRDefault="00D27093" w:rsidP="00D27093">
      <w:pPr>
        <w:jc w:val="both"/>
      </w:pPr>
      <w:r w:rsidRPr="0032099C">
        <w:tab/>
        <w:t xml:space="preserve">Stanovuje sa povinnosť pre poskytovateľov služieb kryptoaktív, emitentov tokenov naviazaných na aktíva, banky, ktoré sú oprávnené emitovať tokeny naviazané na aktíva, banky a inštitúcie elektronických peňazí, ktoré sú oprávnené emitovať tokeny elektronických peňazí, a finančné subjekty, ktoré sú oprávnené poskytovať služby kryptoaktív, predkladať Národnej banke Slovenska v súlade s čl. 94 ods. 1 písm. a) nariadenia MiCA informácie (výkazy, hlásenia a iné správy), na základe ktorých by Národná banka Slovenska ako orgán dohľadu mohla posudzovať, či dané subjekty spĺňajú nariadenie MiCA. Z tohto dôvodu sa do zákona dopĺňa splnomocňovacie ustanovenie pre Národnú banku Slovenska na vydanie opatrenia, ktoré upraví </w:t>
      </w:r>
      <w:r w:rsidRPr="0032099C">
        <w:lastRenderedPageBreak/>
        <w:t xml:space="preserve">ich vzory, štruktúru, rozsah, obsah, formu, členenie, termíny, spôsob, postup a miesto predkladania týchto informácií vrátane metodiky na ich vypracúvanie. </w:t>
      </w:r>
    </w:p>
    <w:p w:rsidR="00D27093" w:rsidRPr="0032099C" w:rsidRDefault="00D27093" w:rsidP="00D27093">
      <w:pPr>
        <w:jc w:val="both"/>
      </w:pPr>
      <w:r w:rsidRPr="0032099C">
        <w:tab/>
        <w:t>Ďalej sa ustanovuje, že ak predložené výkazy, hlásenia a iné správy nezodpovedajú ustanovenej metodike alebo ak vzniknú dôvodné pochybnosti o ich správnosti alebo úplnosti, povinné osoby musia na vyžiadanie Národnej banky Slovenska predložiť podklady a podať vysvetlenia v ňou určených lehotách.</w:t>
      </w:r>
    </w:p>
    <w:p w:rsidR="00D27093" w:rsidRPr="0032099C" w:rsidRDefault="00D27093" w:rsidP="00D27093">
      <w:pPr>
        <w:jc w:val="both"/>
      </w:pPr>
    </w:p>
    <w:p w:rsidR="00D27093" w:rsidRPr="0032099C" w:rsidRDefault="00D27093" w:rsidP="00D27093">
      <w:pPr>
        <w:jc w:val="both"/>
        <w:rPr>
          <w:b/>
        </w:rPr>
      </w:pPr>
      <w:r w:rsidRPr="0032099C">
        <w:rPr>
          <w:b/>
        </w:rPr>
        <w:t>K § 6</w:t>
      </w:r>
    </w:p>
    <w:p w:rsidR="00D27093" w:rsidRPr="0032099C" w:rsidRDefault="00D27093" w:rsidP="00D27093">
      <w:pPr>
        <w:jc w:val="both"/>
      </w:pPr>
      <w:r w:rsidRPr="0032099C">
        <w:tab/>
        <w:t xml:space="preserve">Ustanovením tohto paragrafu sa implementujú požiadavky čl. 42 ods. 3 a čl. 84 ods. 3 nariadenia MiCA, teda, že členské štáty nesmú uložiť žiadne predchádzajúce podmienky v súvislosti s výškou kvalifikovaného podielu, ktorý je potrebné nadobudnúť podľa nariadenia MiCA (Slovenská republika žiadne takéto podmienky neustanovila), a najmä nesmú povoliť svojim príslušným orgánom dohľadu skúmať navrhované nadobudnutie z hľadiska hospodárskych potrieb trhu. </w:t>
      </w:r>
    </w:p>
    <w:p w:rsidR="00D27093" w:rsidRPr="0032099C" w:rsidRDefault="00D27093" w:rsidP="00D27093">
      <w:pPr>
        <w:jc w:val="both"/>
      </w:pPr>
    </w:p>
    <w:p w:rsidR="00D27093" w:rsidRPr="0032099C" w:rsidRDefault="00D27093" w:rsidP="00D27093">
      <w:pPr>
        <w:jc w:val="both"/>
        <w:rPr>
          <w:b/>
        </w:rPr>
      </w:pPr>
      <w:r w:rsidRPr="0032099C">
        <w:rPr>
          <w:b/>
        </w:rPr>
        <w:t>K § 7</w:t>
      </w:r>
    </w:p>
    <w:p w:rsidR="00D27093" w:rsidRPr="0032099C" w:rsidRDefault="00D27093" w:rsidP="00D27093">
      <w:pPr>
        <w:jc w:val="both"/>
      </w:pPr>
      <w:r w:rsidRPr="0032099C">
        <w:tab/>
        <w:t>V súlade s čl. 93 sa Národná banka Slovenska ustanovuje za orgán dohľadu nad dodržiavaním povinností podľa nariadenia MiCA. Vzhľadom na to, že v Slovenskej republike je jednotný dohľad nad finančným trhom vykonávaný práve Národnou bankou Slovenska, je jej zvolenie za príslušný orgán podľa nariadenia MiCA pochopiteľné. Zároveň sa Národnej banke Slovenska odsekom 1 udeľujú všetky právomoci v oblasti dohľadu nad dodržiavaním ustanovení nariadenia MiCA.</w:t>
      </w:r>
    </w:p>
    <w:p w:rsidR="00D27093" w:rsidRPr="0032099C" w:rsidRDefault="00D27093" w:rsidP="00D27093">
      <w:pPr>
        <w:jc w:val="both"/>
      </w:pPr>
      <w:r w:rsidRPr="0032099C">
        <w:tab/>
        <w:t>Národná banka Slovenska uplatňuje tieto právomoci v oblasti dohľadu a vyšetrovania vo vzťahu k osobám ponúkajúcim kryptoaktíva verejnosti alebo poskytovateľom služieb kryptoaktív a tiež vo vzťahu k osobám, na ktoré sa vzťahuje hlava VI nariadenia MiCA, ktoré sa týka predchádzaniu a zákazu zneužívania trhu zahŕňajúceho kryptoaktíva.</w:t>
      </w:r>
    </w:p>
    <w:p w:rsidR="00D27093" w:rsidRPr="0032099C" w:rsidRDefault="00D27093" w:rsidP="00D27093">
      <w:pPr>
        <w:jc w:val="both"/>
      </w:pPr>
      <w:r w:rsidRPr="0032099C">
        <w:tab/>
        <w:t>Odsekom 3 sa implementuje čl. 115 ods. 3 druhá veta nariadenia MiCA, podľa ktorej členské štáty zabezpečia, aby príslušné orgány dostali informácie a konečný rozsudok v súvislosti s každou udelenou trestnou sankciou a následne ich predložili Európskemu orgánu dohľadu – Európskemu orgánu dohľadu pre bankovníctvo a Európskemu orgánu pre cenné papiere a trhy. Národná banka Slovenska ako orgán dohľadu udeľujúci povolenie k činnosti podľa nariadenia MiCA je podľa § 23 zákona č. 91/2016 Z. z. o trestnej zodpovednosti právnických osôb a o zmene a doplnení niektorých zákonov v znení neskorších predpisov informovaná jednak o začatí trestného stíhania proti právnickej osobe, ktorá spadá pod dohľad Národnej banky Slovenska, ale aj o právoplatnom skončení trestného stíhania. Po takomto upovedomení Národná banka Slovenska zabezpečí vyžiadanie tohto rozsudku, proti ktorému už nie je prípustný opravný prostriedok. Tento konečný rozsudok je Národná banka Slovenska povinná predložiť príslušnému Európskemu orgánu dohľadu (Európskemu orgánu pre bankovníctvo a Európskemu orgánu pre cenné papiere a trhy).</w:t>
      </w:r>
    </w:p>
    <w:p w:rsidR="00D27093" w:rsidRPr="0032099C" w:rsidRDefault="00D27093" w:rsidP="00D27093">
      <w:pPr>
        <w:jc w:val="both"/>
      </w:pPr>
    </w:p>
    <w:p w:rsidR="00D27093" w:rsidRPr="0032099C" w:rsidRDefault="00D27093" w:rsidP="00D27093">
      <w:pPr>
        <w:jc w:val="both"/>
        <w:rPr>
          <w:b/>
        </w:rPr>
      </w:pPr>
      <w:r w:rsidRPr="0032099C">
        <w:rPr>
          <w:b/>
        </w:rPr>
        <w:t>K § 8</w:t>
      </w:r>
    </w:p>
    <w:p w:rsidR="00D27093" w:rsidRPr="0032099C" w:rsidRDefault="00D27093" w:rsidP="00D27093">
      <w:pPr>
        <w:jc w:val="both"/>
      </w:pPr>
      <w:r w:rsidRPr="0032099C">
        <w:tab/>
        <w:t xml:space="preserve">Ustanovujú sa právomoci Národnej banky Slovenska ukladať opatrenia na nápravu a pokuty. Ak osoba, na ktorú sa vzťahuje tento zákon a nariadenie MiCA, poruší niektorú z povinností danú týmito právnymi predpismi, môže Národná banka Slovenska v súlade s čl. 111 nariadenia MiCA uložiť opatrenie na nápravu alebo pokutu. Pri určovaní druhu a úrovne sankcie berie Národná banka Slovenska do úvahy všetky relevantné okolnosti podľa čl. 112 nariadenia MiCA, tak aby uložené sankcie boli účinné, primerané a odrádzajúce. Vzhľadom na to, že správne sankcie a iné správne opatrenia sú v nariadení MiCA dostatočne upravené a jasne rozpísané, na základe dohody s Národnou bankou Slovenska ako príslušným orgánom bolo rozhodnuté, že nie je účelné ich duplicitne regulovať v zákone. Obdobný postup v oblasti </w:t>
      </w:r>
      <w:r w:rsidRPr="0032099C">
        <w:lastRenderedPageBreak/>
        <w:t>finančného trhu sa využíva aj pri iných nariadeniach EÚ obsahujúcich ustanovenia o sankciách, ktoré ukladá Národná banka Slovenska za porušenie povinností podľa týchto nariadení. V súlade s čl. 111 ods. 6 nariadenia MiCA sa rozširujú právomoci príslušného orgánu a Národná banka Slovenska môže ukladať opatrenia a sankcie aj podľa zákona č. 747/2004 Z. z. o dohľade nad finančným trhom a o zmene a doplnení niektorých zákonov v znení neskorších predpisov. Medzi opatrenia a sankcie v zmysle zákona č. 747/2004 Z. z. o dohľade nad finančným trhom a o zmene a doplnení niektorých zákonov v znení neskorších predpisov, ktoré rozsahovo presahujú správne sankcie a iné správne opatrenia podľa nariadenia MiCA, patrí napríklad uloženie pokuty v blokovom konaní v zmysle § 35b, vydanie rozkazu o uložení sankcie v zmysle § 35c a uloženie poriadkovej pokuty v zmysle § 38 zákona č. 747/2004 Z. z. o dohľade nad finančným trhom a o zmene a doplnení niektorých zákonov v znení neskorších predpisov.</w:t>
      </w:r>
    </w:p>
    <w:p w:rsidR="00D27093" w:rsidRPr="0032099C" w:rsidRDefault="00D27093" w:rsidP="00D27093">
      <w:pPr>
        <w:jc w:val="both"/>
      </w:pPr>
    </w:p>
    <w:p w:rsidR="00D27093" w:rsidRPr="0032099C" w:rsidRDefault="00D27093" w:rsidP="00D27093">
      <w:pPr>
        <w:jc w:val="both"/>
      </w:pPr>
    </w:p>
    <w:p w:rsidR="00D27093" w:rsidRPr="0032099C" w:rsidRDefault="00D27093" w:rsidP="00D27093">
      <w:pPr>
        <w:keepNext/>
        <w:jc w:val="both"/>
        <w:rPr>
          <w:b/>
        </w:rPr>
      </w:pPr>
      <w:r w:rsidRPr="0032099C">
        <w:rPr>
          <w:b/>
        </w:rPr>
        <w:t>K § 9</w:t>
      </w:r>
    </w:p>
    <w:p w:rsidR="00D27093" w:rsidRPr="0032099C" w:rsidRDefault="00D27093" w:rsidP="00D27093">
      <w:pPr>
        <w:keepNext/>
        <w:jc w:val="both"/>
      </w:pPr>
      <w:r w:rsidRPr="0032099C">
        <w:tab/>
        <w:t xml:space="preserve">Účelom navrhovaného ustanovenia § 9 je zabezpečenie legislatívneho rámca implementujúceho do slovenského právneho poriadku právomoc vydávať opatrenia a naliehavé dočasné opatrenia, ktorú Národná banka Slovenska nadobudne podľa článku 105 nariadenia MiCA. Navrhované ustanovenie reflektuje na judikatúru Súdneho dvora ES v známej právnej kauze </w:t>
      </w:r>
      <w:proofErr w:type="spellStart"/>
      <w:r w:rsidRPr="0032099C">
        <w:t>Variola</w:t>
      </w:r>
      <w:proofErr w:type="spellEnd"/>
      <w:r w:rsidRPr="0032099C">
        <w:t xml:space="preserve"> [v rozsudku vo veci </w:t>
      </w:r>
      <w:proofErr w:type="spellStart"/>
      <w:r w:rsidRPr="0032099C">
        <w:t>Fratelli</w:t>
      </w:r>
      <w:proofErr w:type="spellEnd"/>
      <w:r w:rsidRPr="0032099C">
        <w:t xml:space="preserve"> </w:t>
      </w:r>
      <w:proofErr w:type="spellStart"/>
      <w:r w:rsidRPr="0032099C">
        <w:t>Variola</w:t>
      </w:r>
      <w:proofErr w:type="spellEnd"/>
      <w:r w:rsidRPr="0032099C">
        <w:t xml:space="preserve">, </w:t>
      </w:r>
      <w:proofErr w:type="spellStart"/>
      <w:r w:rsidRPr="0032099C">
        <w:t>S.p.A</w:t>
      </w:r>
      <w:proofErr w:type="spellEnd"/>
      <w:r w:rsidRPr="0032099C">
        <w:t xml:space="preserve">. v. </w:t>
      </w:r>
      <w:proofErr w:type="spellStart"/>
      <w:r w:rsidRPr="0032099C">
        <w:t>Administrazione</w:t>
      </w:r>
      <w:proofErr w:type="spellEnd"/>
      <w:r w:rsidRPr="0032099C">
        <w:t xml:space="preserve"> </w:t>
      </w:r>
      <w:proofErr w:type="spellStart"/>
      <w:r w:rsidRPr="0032099C">
        <w:t>italiana</w:t>
      </w:r>
      <w:proofErr w:type="spellEnd"/>
      <w:r w:rsidRPr="0032099C">
        <w:t xml:space="preserve"> </w:t>
      </w:r>
      <w:proofErr w:type="spellStart"/>
      <w:r w:rsidRPr="0032099C">
        <w:t>delle</w:t>
      </w:r>
      <w:proofErr w:type="spellEnd"/>
      <w:r w:rsidRPr="0032099C">
        <w:t xml:space="preserve"> </w:t>
      </w:r>
      <w:proofErr w:type="spellStart"/>
      <w:r w:rsidRPr="0032099C">
        <w:t>finanze</w:t>
      </w:r>
      <w:proofErr w:type="spellEnd"/>
      <w:r w:rsidRPr="0032099C">
        <w:t xml:space="preserve"> </w:t>
      </w:r>
      <w:proofErr w:type="spellStart"/>
      <w:r w:rsidRPr="0032099C">
        <w:t>dello</w:t>
      </w:r>
      <w:proofErr w:type="spellEnd"/>
      <w:r w:rsidRPr="0032099C">
        <w:t xml:space="preserve"> </w:t>
      </w:r>
      <w:proofErr w:type="spellStart"/>
      <w:r w:rsidRPr="0032099C">
        <w:t>Stato</w:t>
      </w:r>
      <w:proofErr w:type="spellEnd"/>
      <w:r w:rsidRPr="0032099C">
        <w:t xml:space="preserve"> C-34/73 z 10. 10. 1973, Zbierka ECR 1973, 981], ale taktiež v kauze Komisia proti Talianskej republike [v rozsudku vo veci C-272/83 z 28. 3. 1985, Zbierka ECR 1985, 1057], podľa ktorej je možné do vnútroštátneho právneho poriadku členského štátu EÚ preniesť a začleniť aj obsah a prvky niektorých ustanovení záväzných právnych aktov EÚ/ES (nariadení), pokiaľ sa to vykoná precízne bez zastierania ich komunitárneho pôvodu a bez modifikácie ich obsahu. Pre úplnosť možno uviesť, že táto judikatúra Súdneho dvora ES bola v SR využitá napríklad už aj v rámci tzv. generálneho zákona o eure (zákona č. 659/2007 Z. z. v znení neskorších predpisov).</w:t>
      </w:r>
    </w:p>
    <w:p w:rsidR="00D27093" w:rsidRPr="0032099C" w:rsidRDefault="00D27093" w:rsidP="00D27093">
      <w:pPr>
        <w:jc w:val="both"/>
      </w:pPr>
      <w:r w:rsidRPr="0032099C">
        <w:tab/>
        <w:t xml:space="preserve">V odseku 1 ustanovenia sa v súlade so znením čl. 105 nariadenia MiCA upravuje podstata právomocí, t. j. právomoc zakázať alebo obmedziť uvádzanie na trh, distribúciu alebo predaj príslušných kryptoaktív alebo kryptoaktív s určitými vlastnosťami alebo zakázať alebo obmedziť určitú finančnú činnosť alebo postup dohliadaného subjektu, resp. inej osoby (vyplývajúcej z nariadenia MiCA). Podmienky, kedy je Národná banka Slovenska ako príslušný orgán oprávnená vydať rozhodnutie, sú vymedzené v článku 105 ods. 2 nariadenia MiCA. Takéto opatrenie je správnym aktom </w:t>
      </w:r>
      <w:proofErr w:type="spellStart"/>
      <w:r w:rsidRPr="0032099C">
        <w:t>sui</w:t>
      </w:r>
      <w:proofErr w:type="spellEnd"/>
      <w:r w:rsidRPr="0032099C">
        <w:t xml:space="preserve"> </w:t>
      </w:r>
      <w:proofErr w:type="spellStart"/>
      <w:r w:rsidRPr="0032099C">
        <w:t>generis</w:t>
      </w:r>
      <w:proofErr w:type="spellEnd"/>
      <w:r w:rsidRPr="0032099C">
        <w:t xml:space="preserve">, ktorý na rozdiel od správneho rozhodnutia upravuje povinnosti relatívne neurčitej množiny adresátov. Obsahové náležitosti takéhoto rozhodnutia sú vymedzené v odseku 2 ustanovenia s odkazom na príslušné ustanovenia nariadenia MiCA. </w:t>
      </w:r>
    </w:p>
    <w:p w:rsidR="00D27093" w:rsidRPr="0032099C" w:rsidRDefault="00D27093" w:rsidP="00D27093">
      <w:pPr>
        <w:jc w:val="both"/>
      </w:pPr>
      <w:r w:rsidRPr="0032099C">
        <w:tab/>
        <w:t>V odseku 3 je upravená otázka zverejňovania rozhodnutí o vydaní opatrenia alebo rozhodnutí o vydaní dočasného naliehavého opatrenia. Tieto rozhodnutia sa bezodkladne zverejňujú na webovom sídle Národnej banky Slovenska.</w:t>
      </w:r>
    </w:p>
    <w:p w:rsidR="00D27093" w:rsidRPr="0032099C" w:rsidRDefault="00D27093" w:rsidP="00D27093">
      <w:pPr>
        <w:jc w:val="both"/>
      </w:pPr>
      <w:r w:rsidRPr="0032099C">
        <w:tab/>
        <w:t xml:space="preserve">Národná banka Slovenska bude mať povinnosť (podľa odseku 4 ustanovenia) zrušiť takéto rozhodnutie v prípade, ak pominuli dôvody na jeho vydanie (uvedené v rozhodnutí). </w:t>
      </w:r>
    </w:p>
    <w:p w:rsidR="00D27093" w:rsidRPr="0032099C" w:rsidRDefault="00D27093" w:rsidP="00D27093">
      <w:pPr>
        <w:jc w:val="both"/>
      </w:pPr>
      <w:r w:rsidRPr="0032099C">
        <w:tab/>
        <w:t xml:space="preserve">Vzhľadom na zvláštnu povahu rozhodnutia, ktoré nie je výsledkom konania vedeného s určitými účastníkmi administratívneho (resp. správneho) konania, odsek 5 vylučuje aplikáciu ustanovení o konaní vo veciach dohľadu podľa zákona č. 747/2004 Z. z. v znení neskorších predpisov a osobitných predpisov, resp. aplikáciu všeobecných predpisov o správnom konaní na rozhodovanie o vydaní takéhoto opatrenia alebo o vydaní dočasného naliehavého opatrenia. </w:t>
      </w:r>
    </w:p>
    <w:p w:rsidR="00D27093" w:rsidRPr="0032099C" w:rsidRDefault="00D27093" w:rsidP="00D27093">
      <w:pPr>
        <w:jc w:val="both"/>
      </w:pPr>
      <w:r w:rsidRPr="0032099C">
        <w:rPr>
          <w:i/>
        </w:rPr>
        <w:tab/>
      </w:r>
      <w:r w:rsidRPr="0032099C">
        <w:t xml:space="preserve">Otázka nadobudnutia záväznosti, právoplatnosti a vykonateľnosti spomínaných rozhodnutí je upravená v odseku 6. V súlade so základnými princípmi právneho štátu nemôže </w:t>
      </w:r>
      <w:r w:rsidRPr="0032099C">
        <w:lastRenderedPageBreak/>
        <w:t xml:space="preserve">rozhodnutie nikoho zaväzovať skôr, ako mal možnosť sa s ním zoznámiť. Pokiaľ sa nejedná o dočasné naliehavé opatrenie, dotknuté subjekty by mali dostať primeranú lehotu na to, aby svoje správanie prispôsobili novým povinnostiam uloženým v rozhodnutí. Vzhľadom na osobitnú povahu takéhoto rozhodnutia sa zároveň navrhuje, aby voči takýmto rozhodnutiam nebol prípustný opravný prostriedok. V súlade s čl. 113 nariadenia MiCA sú rozhodnutia o vydaní opatrenia a rozhodnutia o vydaní dočasného naliehavého opatrenia preskúmateľné správnym súdom. </w:t>
      </w:r>
    </w:p>
    <w:p w:rsidR="00D27093" w:rsidRPr="0032099C" w:rsidRDefault="00D27093" w:rsidP="00D27093">
      <w:pPr>
        <w:jc w:val="both"/>
      </w:pPr>
      <w:r w:rsidRPr="0032099C">
        <w:rPr>
          <w:i/>
        </w:rPr>
        <w:tab/>
      </w:r>
      <w:r w:rsidRPr="0032099C">
        <w:t>V záujme zabezpečenia vysokej transparentnosti ohľadom pripravovaného opatrenia (nie však dočasného naliehavého opatrenia, pri ktorom, z povahy veci, takýto postup nie je možný) sa v odseku 7 navrhuje, aby Národná banka Slovenska mohla zverejniť návrh takéhoto rozhodnutia o vydaní opatrenia a stanoviť lehotu, do ktorej môže verejnosť, resp. týmto opatrením dotknuté osoby, podávať vo vzťahu k takémuto návrhu podnety. Národná banka Slovenska následne bude mať povinnosť uviesť v odôvodnení vydaného opatrenia ako sa s podnetmi vysporiadala a v prípade, ak to uzná za opodstatnené, bude môcť pripravované opatrenie pred jeho vydaním upraviť. Predmetná konzultácia nevyplýva z vyššie uvedených ustanovení nariadenia MiCA a odlišuje sa od povinnej konzultácie podľa nariadenia MiCA.</w:t>
      </w:r>
    </w:p>
    <w:p w:rsidR="00D27093" w:rsidRPr="0032099C" w:rsidRDefault="00D27093" w:rsidP="00D27093">
      <w:pPr>
        <w:jc w:val="both"/>
        <w:rPr>
          <w:i/>
        </w:rPr>
      </w:pPr>
    </w:p>
    <w:p w:rsidR="00D27093" w:rsidRPr="0032099C" w:rsidRDefault="00D27093" w:rsidP="00D27093">
      <w:pPr>
        <w:jc w:val="both"/>
        <w:rPr>
          <w:b/>
        </w:rPr>
      </w:pPr>
      <w:r w:rsidRPr="0032099C">
        <w:rPr>
          <w:b/>
        </w:rPr>
        <w:t>K § 10</w:t>
      </w:r>
    </w:p>
    <w:p w:rsidR="00D27093" w:rsidRPr="0032099C" w:rsidRDefault="00D27093" w:rsidP="00D27093">
      <w:pPr>
        <w:jc w:val="both"/>
      </w:pPr>
      <w:r w:rsidRPr="0032099C">
        <w:tab/>
        <w:t xml:space="preserve">Ustanovením sa implementuje čl. 94 ods. 1 písm. </w:t>
      </w:r>
      <w:proofErr w:type="spellStart"/>
      <w:r w:rsidRPr="0032099C">
        <w:t>aa</w:t>
      </w:r>
      <w:proofErr w:type="spellEnd"/>
      <w:r w:rsidRPr="0032099C">
        <w:t>) nariadenia MiCA, podľa ktorého ak nie sú k dispozícii žiadne iné účinné prostriedky na dosiahnutie ukončenia porušovania tohto nariadenia a aby sa zabránilo riziku závažného poškodenia záujmov klientov alebo držiteľov kryptoaktív, môže Národná banka Slovenska za okolností a podmienok presne vymedzených v nariadení MiCA vydať opatrenie, cieľom ktorého je v súlade s nariadením MiCA</w:t>
      </w:r>
    </w:p>
    <w:p w:rsidR="00D27093" w:rsidRPr="0032099C" w:rsidRDefault="00D27093" w:rsidP="00D27093">
      <w:pPr>
        <w:pStyle w:val="Odsekzoznamu"/>
        <w:numPr>
          <w:ilvl w:val="0"/>
          <w:numId w:val="14"/>
        </w:numPr>
        <w:jc w:val="both"/>
        <w:rPr>
          <w:rFonts w:eastAsiaTheme="minorHAnsi"/>
          <w:color w:val="000000"/>
          <w:lang w:eastAsia="en-US"/>
        </w:rPr>
      </w:pPr>
      <w:r w:rsidRPr="0032099C">
        <w:t>odstrániť alebo obmedziť prístup k online</w:t>
      </w:r>
      <w:r w:rsidRPr="0032099C">
        <w:rPr>
          <w:rFonts w:eastAsiaTheme="minorHAnsi"/>
          <w:color w:val="000000"/>
          <w:lang w:eastAsia="en-US"/>
        </w:rPr>
        <w:t xml:space="preserve"> rozhraniu alebo nariadiť výslovné zobrazenie upozornenia klientom a držiteľom kryptoaktív pri prístupe k online rozhraniu,</w:t>
      </w:r>
    </w:p>
    <w:p w:rsidR="00D27093" w:rsidRPr="0032099C" w:rsidRDefault="00D27093" w:rsidP="00D27093">
      <w:pPr>
        <w:pStyle w:val="Odsekzoznamu"/>
        <w:numPr>
          <w:ilvl w:val="0"/>
          <w:numId w:val="14"/>
        </w:numPr>
        <w:autoSpaceDE w:val="0"/>
        <w:autoSpaceDN w:val="0"/>
        <w:adjustRightInd w:val="0"/>
        <w:jc w:val="both"/>
        <w:rPr>
          <w:rFonts w:eastAsiaTheme="minorHAnsi"/>
          <w:color w:val="000000"/>
          <w:lang w:eastAsia="en-US"/>
        </w:rPr>
      </w:pPr>
      <w:r w:rsidRPr="0032099C">
        <w:rPr>
          <w:rFonts w:eastAsiaTheme="minorHAnsi"/>
          <w:color w:val="000000"/>
          <w:lang w:eastAsia="en-US"/>
        </w:rPr>
        <w:t xml:space="preserve">nariadiť poskytovateľovi hostingových služieb, aby odstránil, deaktivoval alebo obmedzil prístup k online rozhraniu, alebo </w:t>
      </w:r>
    </w:p>
    <w:p w:rsidR="00D27093" w:rsidRPr="0032099C" w:rsidRDefault="00D27093" w:rsidP="00D27093">
      <w:pPr>
        <w:pStyle w:val="Odsekzoznamu"/>
        <w:numPr>
          <w:ilvl w:val="0"/>
          <w:numId w:val="14"/>
        </w:numPr>
        <w:jc w:val="both"/>
      </w:pPr>
      <w:r w:rsidRPr="0032099C">
        <w:rPr>
          <w:rFonts w:eastAsiaTheme="minorHAnsi"/>
          <w:color w:val="000000"/>
          <w:lang w:eastAsia="en-US"/>
        </w:rPr>
        <w:t>nariadiť registrom alebo registrátorom domén, aby vymazali presne stanovený názov domény a umožnili dotknutému príslušnému orgánu zaregistrovať ho.</w:t>
      </w:r>
    </w:p>
    <w:p w:rsidR="00D27093" w:rsidRPr="0032099C" w:rsidRDefault="00D27093" w:rsidP="00D27093">
      <w:pPr>
        <w:jc w:val="both"/>
      </w:pPr>
    </w:p>
    <w:p w:rsidR="00D27093" w:rsidRPr="0032099C" w:rsidRDefault="00D27093" w:rsidP="00D27093">
      <w:pPr>
        <w:jc w:val="both"/>
      </w:pPr>
      <w:r w:rsidRPr="0032099C">
        <w:tab/>
        <w:t xml:space="preserve">Obsahové náležitosti takéhoto rozhodnutia sú vymedzené v odseku 2 najmä s odkazom na čl. 94 ods. 1 písm. </w:t>
      </w:r>
      <w:proofErr w:type="spellStart"/>
      <w:r w:rsidRPr="0032099C">
        <w:t>aa</w:t>
      </w:r>
      <w:proofErr w:type="spellEnd"/>
      <w:r w:rsidRPr="0032099C">
        <w:t xml:space="preserve">) nariadenia MiCA. Rozhodnutie teda musí obsahovať </w:t>
      </w:r>
    </w:p>
    <w:p w:rsidR="00D27093" w:rsidRPr="0032099C" w:rsidRDefault="00D27093" w:rsidP="00D27093">
      <w:pPr>
        <w:pStyle w:val="Odsekzoznamu"/>
        <w:numPr>
          <w:ilvl w:val="1"/>
          <w:numId w:val="15"/>
        </w:numPr>
        <w:ind w:left="993"/>
        <w:jc w:val="both"/>
      </w:pPr>
      <w:r w:rsidRPr="0032099C">
        <w:t>presné vymedzenie online rozhrania alebo domény, na ktoré sa opatrenie vzťahuje,</w:t>
      </w:r>
    </w:p>
    <w:p w:rsidR="00D27093" w:rsidRPr="0032099C" w:rsidRDefault="00D27093" w:rsidP="00D27093">
      <w:pPr>
        <w:pStyle w:val="Odsekzoznamu"/>
        <w:numPr>
          <w:ilvl w:val="1"/>
          <w:numId w:val="15"/>
        </w:numPr>
        <w:ind w:left="993"/>
        <w:jc w:val="both"/>
      </w:pPr>
      <w:r w:rsidRPr="0032099C">
        <w:t xml:space="preserve">určenie jedného alebo viacerých cieľov opatrenia podľa čl. 94 ods. 1 písm. </w:t>
      </w:r>
      <w:proofErr w:type="spellStart"/>
      <w:r w:rsidRPr="0032099C">
        <w:t>aa</w:t>
      </w:r>
      <w:proofErr w:type="spellEnd"/>
      <w:r w:rsidRPr="0032099C">
        <w:t xml:space="preserve">) body i) až iii) nariadenia MiCA, </w:t>
      </w:r>
    </w:p>
    <w:p w:rsidR="00D27093" w:rsidRPr="0032099C" w:rsidRDefault="00D27093" w:rsidP="00D27093">
      <w:pPr>
        <w:pStyle w:val="Odsekzoznamu"/>
        <w:numPr>
          <w:ilvl w:val="1"/>
          <w:numId w:val="15"/>
        </w:numPr>
        <w:ind w:left="993" w:hanging="426"/>
        <w:jc w:val="both"/>
      </w:pPr>
      <w:r w:rsidRPr="0032099C">
        <w:t xml:space="preserve">určenie, či rozhodnutie vykoná Národná banka Slovenska, alebo o jeho vykonanie požiada tretiu stranu alebo verejný orgán, napríklad Národný bezpečnostný úrad, </w:t>
      </w:r>
    </w:p>
    <w:p w:rsidR="00D27093" w:rsidRPr="0032099C" w:rsidRDefault="00D27093" w:rsidP="00D27093">
      <w:pPr>
        <w:pStyle w:val="Odsekzoznamu"/>
        <w:numPr>
          <w:ilvl w:val="1"/>
          <w:numId w:val="15"/>
        </w:numPr>
        <w:ind w:left="993" w:hanging="426"/>
        <w:jc w:val="both"/>
      </w:pPr>
      <w:r w:rsidRPr="0032099C">
        <w:rPr>
          <w:iCs/>
        </w:rPr>
        <w:t xml:space="preserve">odôvodnenie obsahujúce identifikáciu </w:t>
      </w:r>
      <w:r w:rsidRPr="0032099C">
        <w:t xml:space="preserve">porušovania nariadenia MiCA, rizika závažného poškodenia záujmov klientov alebo držiteľov kryptoaktív vyplývajúce z tohto porušovania, </w:t>
      </w:r>
      <w:r w:rsidRPr="0032099C">
        <w:rPr>
          <w:iCs/>
        </w:rPr>
        <w:t>účinných prostriedkov na dosiahnutie ukončenia tohto porušovania</w:t>
      </w:r>
      <w:r w:rsidRPr="0032099C">
        <w:t xml:space="preserve">, ktoré Národná banka Slovenska využila a splnenie ďalších podmienok podľa čl. 94 ods. 1 písm. </w:t>
      </w:r>
      <w:proofErr w:type="spellStart"/>
      <w:r w:rsidRPr="0032099C">
        <w:t>aa</w:t>
      </w:r>
      <w:proofErr w:type="spellEnd"/>
      <w:r w:rsidRPr="0032099C">
        <w:t>) nariadenia MiCA,</w:t>
      </w:r>
    </w:p>
    <w:p w:rsidR="00D27093" w:rsidRPr="0032099C" w:rsidRDefault="00D27093" w:rsidP="00D27093">
      <w:pPr>
        <w:pStyle w:val="Odsekzoznamu"/>
        <w:numPr>
          <w:ilvl w:val="1"/>
          <w:numId w:val="15"/>
        </w:numPr>
        <w:ind w:left="993" w:hanging="426"/>
        <w:jc w:val="both"/>
      </w:pPr>
      <w:r w:rsidRPr="0032099C">
        <w:t xml:space="preserve">poučenie o opravnom prostriedku, </w:t>
      </w:r>
      <w:proofErr w:type="spellStart"/>
      <w:r w:rsidRPr="0032099C">
        <w:t>preskúmateľnosti</w:t>
      </w:r>
      <w:proofErr w:type="spellEnd"/>
      <w:r w:rsidRPr="0032099C">
        <w:t xml:space="preserve"> správnym súdom a podmienkach pre zrušenie opatrenia.</w:t>
      </w:r>
    </w:p>
    <w:p w:rsidR="00D27093" w:rsidRPr="0032099C" w:rsidRDefault="00D27093" w:rsidP="00D27093">
      <w:pPr>
        <w:jc w:val="both"/>
      </w:pPr>
    </w:p>
    <w:p w:rsidR="00D27093" w:rsidRPr="0032099C" w:rsidRDefault="00D27093" w:rsidP="00D27093">
      <w:pPr>
        <w:jc w:val="both"/>
      </w:pPr>
      <w:r w:rsidRPr="0032099C">
        <w:tab/>
        <w:t>V odseku 3 je upravená otázka zverejňovania rozhodnutí o týchto opatreniach. Rozhodnutie o opatrení sa oznámi verejnosti zverejnením na webovom sídle Národnej banky Slovenska, kde sa zverejní celé rozhodnutie.</w:t>
      </w:r>
    </w:p>
    <w:p w:rsidR="00D27093" w:rsidRPr="0032099C" w:rsidRDefault="00D27093" w:rsidP="00D27093">
      <w:pPr>
        <w:jc w:val="both"/>
      </w:pPr>
      <w:r w:rsidRPr="0032099C">
        <w:tab/>
        <w:t xml:space="preserve">Podľa odseku 4 Národná banka Slovenska bude mať povinnosť zrušiť takéto rozhodnutia v prípade, ak pominuli dôvody na ich vydanie. </w:t>
      </w:r>
    </w:p>
    <w:p w:rsidR="00D27093" w:rsidRPr="0032099C" w:rsidRDefault="00D27093" w:rsidP="00D27093">
      <w:pPr>
        <w:jc w:val="both"/>
      </w:pPr>
      <w:r w:rsidRPr="0032099C">
        <w:lastRenderedPageBreak/>
        <w:tab/>
        <w:t>Vzhľadom na zvláštnu povahu rozhodnutia, ktoré nemusí byť výsledkom konania vedeného s určitými účastníkmi administratívneho (resp. správneho) konania, odsek 5 vylučuje aplikáciu ustanovení o konaní vo veciach dohľadu podľa zákona č. 747/2004 Z. z. v znení neskorších predpisov a osobitných predpisov, resp. aplikáciu všeobecných predpisov o správnom konaní na rozhodovanie o</w:t>
      </w:r>
      <w:r>
        <w:t> </w:t>
      </w:r>
      <w:r w:rsidRPr="0032099C">
        <w:t>vydaní</w:t>
      </w:r>
      <w:r>
        <w:t xml:space="preserve"> alebo zrušení</w:t>
      </w:r>
      <w:r w:rsidRPr="0032099C">
        <w:t xml:space="preserve"> opatrenia. </w:t>
      </w:r>
    </w:p>
    <w:p w:rsidR="00D27093" w:rsidRPr="0032099C" w:rsidRDefault="00D27093" w:rsidP="00D27093">
      <w:pPr>
        <w:jc w:val="both"/>
      </w:pPr>
      <w:r w:rsidRPr="0032099C">
        <w:rPr>
          <w:i/>
        </w:rPr>
        <w:tab/>
      </w:r>
      <w:r w:rsidRPr="0032099C">
        <w:t xml:space="preserve">Otázka nadobudnutia záväznosti, právoplatnosti a vykonateľnosti spomínaných rozhodnutí je upravená v odseku 6. Vzhľadom na osobitnú povahu takéhoto rozhodnutia sa zároveň navrhuje, aby voči takýmto rozhodnutiam nebol prípustný opravný prostriedok a v súlade s čl. 113 nariadenia MiCA boli takéto rozhodnutia o vydaní opatrenia preskúmateľné správnym súdom. </w:t>
      </w:r>
    </w:p>
    <w:p w:rsidR="00D27093" w:rsidRPr="0032099C" w:rsidRDefault="00D27093" w:rsidP="00D27093">
      <w:pPr>
        <w:jc w:val="both"/>
      </w:pPr>
      <w:r w:rsidRPr="0032099C">
        <w:tab/>
        <w:t>Vzhľadom na to, že reálne vykonanie tejto právomoci sa môže uskutočniť v súčinnosti s Národným bezpečnostným úradom podľa § 27c zákona č. 69/2018 Z. z. o kybernetickej bezpečnosti a o zmene a doplnení niektorých zákonov v znení neskorších predpisov, odseky 7 a 8 riešia takýto postup.</w:t>
      </w:r>
    </w:p>
    <w:p w:rsidR="00D27093" w:rsidRPr="0032099C" w:rsidRDefault="00D27093" w:rsidP="00D27093">
      <w:pPr>
        <w:jc w:val="both"/>
      </w:pPr>
      <w:r w:rsidRPr="0032099C">
        <w:tab/>
        <w:t>Odsekom 9 sa ustanovuje, že na účely identifikácie porušovania nariadenia MiCA, napríklad čo sa týka overenia, či podozrivý subjekt umožňuje registráciu slovenským klientom, je zamestnanec Národnej banky Slovenska pri výkone dohľadu oprávnený používať identifikačné údaje inej fyzickej osoby s jej súhlasom alebo údaje fiktívnej osoby.</w:t>
      </w:r>
    </w:p>
    <w:p w:rsidR="00D27093" w:rsidRPr="0032099C" w:rsidRDefault="00D27093" w:rsidP="00D27093">
      <w:pPr>
        <w:jc w:val="both"/>
      </w:pPr>
    </w:p>
    <w:p w:rsidR="00D27093" w:rsidRPr="0032099C" w:rsidRDefault="00D27093" w:rsidP="00D27093">
      <w:pPr>
        <w:jc w:val="both"/>
        <w:rPr>
          <w:b/>
        </w:rPr>
      </w:pPr>
      <w:r w:rsidRPr="0032099C">
        <w:rPr>
          <w:b/>
        </w:rPr>
        <w:t>K § 11</w:t>
      </w:r>
    </w:p>
    <w:p w:rsidR="00D27093" w:rsidRPr="0032099C" w:rsidRDefault="00D27093" w:rsidP="00D27093">
      <w:pPr>
        <w:jc w:val="both"/>
      </w:pPr>
      <w:r w:rsidRPr="0032099C">
        <w:tab/>
        <w:t xml:space="preserve">Ak nie je v zákone a nariadení MiCA ustanovené inak, na konanie podľa tohto zákona a nariadenia MiCA sa vzťahuje zákon č. 747/2004 Z. z. o dohľade nad finančným trhom a o zmene a doplnení niektorých zákonov v znení neskorších predpisov. </w:t>
      </w:r>
    </w:p>
    <w:p w:rsidR="00D27093" w:rsidRPr="0032099C" w:rsidRDefault="00D27093" w:rsidP="00D27093">
      <w:pPr>
        <w:jc w:val="both"/>
      </w:pPr>
    </w:p>
    <w:p w:rsidR="00D27093" w:rsidRPr="0032099C" w:rsidRDefault="00D27093" w:rsidP="00D27093">
      <w:pPr>
        <w:jc w:val="both"/>
        <w:rPr>
          <w:b/>
        </w:rPr>
      </w:pPr>
      <w:r w:rsidRPr="0032099C">
        <w:rPr>
          <w:b/>
        </w:rPr>
        <w:t>K § 12</w:t>
      </w:r>
    </w:p>
    <w:p w:rsidR="00D27093" w:rsidRPr="0032099C" w:rsidRDefault="00D27093" w:rsidP="00D27093">
      <w:pPr>
        <w:jc w:val="both"/>
      </w:pPr>
      <w:r w:rsidRPr="0032099C">
        <w:tab/>
        <w:t xml:space="preserve">Prechodným ustanovením sa implementuje čl. 143 ods. 3 nariadenia MiCA, podľa ktorého poskytovatelia služieb kryptoaktív, ktorí poskytovali svoje služby v súlade so živnostenským zákonom pred 30. decembrom 2024, môžu v tom pokračovať až do 1. júla 2026 alebo dovtedy, pokiaľ im nebude udelené alebo odmietnuté udelenie povolenia podľa článku 63 nariadenia MiCA, podľa toho, čo nastane skôr. </w:t>
      </w:r>
    </w:p>
    <w:p w:rsidR="00D27093" w:rsidRPr="0032099C" w:rsidRDefault="00D27093" w:rsidP="00D27093">
      <w:pPr>
        <w:jc w:val="both"/>
        <w:rPr>
          <w:iCs/>
          <w:lang w:eastAsia="en-US"/>
        </w:rPr>
      </w:pPr>
      <w:r w:rsidRPr="0032099C">
        <w:tab/>
        <w:t>Na základe odporúčania Národnej banky Slovenska dôvodom využitia maximálnej lehoty podľa čl. 143 ods. 3 nariadenia MiCA bolo, že s</w:t>
      </w:r>
      <w:r w:rsidRPr="0032099C">
        <w:rPr>
          <w:iCs/>
        </w:rPr>
        <w:t>ubjekty, ktoré v súčasnosti poskytujú v súlade so živnostenským zákonom služby peňaženky a služby zmenárne virtuálnej meny alebo služby a činnosti, ktoré svojím obsahom spĺňajú znaky služieb kryptoaktív, doteraz na rozdiel od subjektov s obdobnou činnosťou v iných členských štátoch, nemali skúsenosť s reguláciou finančného trhu. Ide väčšinou o malé subjekty s limitovanými zdrojmi. Z týchto dôvodov sa dá predpokladať, že na splnenie požiadaviek vyplývajúcich z prichádzajúcej regulácie, budú potrebovať určitý čas. Skrátenie prechodného obdobia by mohlo spôsobiť, že mnohé z týchto subjektov by nestihli získať povolenie na poskytovanie služieb kryptoaktív v prechodnom období a museli by do získania príslušného povolenia ukončiť svoju činnosť.</w:t>
      </w:r>
    </w:p>
    <w:p w:rsidR="00D27093" w:rsidRPr="0032099C" w:rsidRDefault="00D27093" w:rsidP="00D27093">
      <w:pPr>
        <w:jc w:val="both"/>
        <w:rPr>
          <w:b/>
        </w:rPr>
      </w:pPr>
      <w:r w:rsidRPr="0032099C">
        <w:rPr>
          <w:b/>
        </w:rPr>
        <w:br w:type="page"/>
      </w:r>
    </w:p>
    <w:p w:rsidR="00D27093" w:rsidRPr="0032099C" w:rsidRDefault="00D27093" w:rsidP="00D27093">
      <w:pPr>
        <w:jc w:val="both"/>
      </w:pPr>
    </w:p>
    <w:p w:rsidR="00D27093" w:rsidRPr="0032099C" w:rsidRDefault="00D27093" w:rsidP="00D27093">
      <w:pPr>
        <w:keepNext/>
        <w:jc w:val="center"/>
        <w:rPr>
          <w:b/>
        </w:rPr>
      </w:pPr>
      <w:r w:rsidRPr="0032099C">
        <w:rPr>
          <w:b/>
        </w:rPr>
        <w:t>K čl. II, III, VI, VII a XII</w:t>
      </w:r>
    </w:p>
    <w:p w:rsidR="00D27093" w:rsidRPr="0032099C" w:rsidRDefault="00D27093" w:rsidP="00D27093">
      <w:pPr>
        <w:keepNext/>
        <w:jc w:val="both"/>
      </w:pPr>
    </w:p>
    <w:p w:rsidR="00D27093" w:rsidRPr="0032099C" w:rsidRDefault="00D27093" w:rsidP="00D27093">
      <w:pPr>
        <w:keepNext/>
        <w:jc w:val="both"/>
      </w:pPr>
      <w:r w:rsidRPr="0032099C">
        <w:tab/>
        <w:t>Vzhľadom na to, že nariadenie MiCA obsahuje definíciu kryptoaktíva, boli identifikované zákony, v ktorých bolo taktiež treba zohľadniť túto novú definíciu kryptoaktíva, ako aj nahradiť pojem „virtuálna mena“ pojmom „kryptoaktívum“, ktoré v sebe subsumuje aj pojem virtuálna mena. V tejto súvislosti je potrebné poznamenať, že definícia kryptoaktíva ako takého nie je obmedzená rozsahom pôsobnosti nariadenia MiCA. Tzn. že hoci sa na niektoré kryptoaktíva nariadenie MiCA nevzťahuje, tieto kryptoaktíva spadajú pod definíciu kryptoaktíva podľa čl. 3 ods. 1 bod 5 nariadenia MiCA. Z tohto dôvodu sa preto v osobitných článkoch II, III, VI, VII a XII novelizujú zákony, v ktorých sa vyskytuje pojem virtuálna mena.</w:t>
      </w:r>
    </w:p>
    <w:p w:rsidR="00D27093" w:rsidRPr="0032099C" w:rsidRDefault="00D27093" w:rsidP="00D27093">
      <w:pPr>
        <w:keepNext/>
        <w:jc w:val="both"/>
      </w:pPr>
      <w:r w:rsidRPr="0032099C">
        <w:rPr>
          <w:bCs/>
        </w:rPr>
        <w:tab/>
        <w:t>Pri posudzovaní obsahového vymedzenia pojmu „kryptoaktívum“ treba na účely trestných kódexov vychádzať z čl. 3 ods. 5 nariadenia MiCA: „</w:t>
      </w:r>
      <w:r w:rsidRPr="0032099C">
        <w:rPr>
          <w:bCs/>
          <w:i/>
        </w:rPr>
        <w:t>kryptoaktívum je digitálne vyjadrenie hodnoty alebo práva, ktoré možno prevádzať a elektronicky uchovávať použitím technológie distribuovanej databázy transakcií alebo podobnej technológie</w:t>
      </w:r>
      <w:r w:rsidRPr="0032099C">
        <w:rPr>
          <w:bCs/>
        </w:rPr>
        <w:t>“, pretože ide o priamo aplikovateľný právny akt EÚ.</w:t>
      </w:r>
    </w:p>
    <w:p w:rsidR="00D27093" w:rsidRPr="0032099C" w:rsidRDefault="00D27093" w:rsidP="00D27093">
      <w:pPr>
        <w:jc w:val="both"/>
      </w:pPr>
    </w:p>
    <w:p w:rsidR="00D27093" w:rsidRPr="0032099C" w:rsidRDefault="00D27093" w:rsidP="00D27093">
      <w:pPr>
        <w:keepNext/>
        <w:jc w:val="center"/>
        <w:rPr>
          <w:b/>
        </w:rPr>
      </w:pPr>
    </w:p>
    <w:p w:rsidR="00D27093" w:rsidRPr="0032099C" w:rsidRDefault="00D27093" w:rsidP="00D27093">
      <w:pPr>
        <w:keepNext/>
        <w:jc w:val="center"/>
        <w:rPr>
          <w:b/>
        </w:rPr>
      </w:pPr>
    </w:p>
    <w:p w:rsidR="00D27093" w:rsidRPr="0032099C" w:rsidRDefault="00D27093" w:rsidP="00D27093">
      <w:pPr>
        <w:keepNext/>
        <w:jc w:val="center"/>
        <w:rPr>
          <w:b/>
        </w:rPr>
      </w:pPr>
      <w:r w:rsidRPr="0032099C">
        <w:rPr>
          <w:b/>
        </w:rPr>
        <w:t>K čl. IV</w:t>
      </w:r>
    </w:p>
    <w:p w:rsidR="00D27093" w:rsidRPr="0032099C" w:rsidRDefault="00D27093" w:rsidP="00D27093">
      <w:pPr>
        <w:keepNext/>
        <w:jc w:val="center"/>
        <w:rPr>
          <w:b/>
        </w:rPr>
      </w:pPr>
      <w:r w:rsidRPr="0032099C">
        <w:rPr>
          <w:b/>
        </w:rPr>
        <w:t>Novela zákona č. 455/1991 Zb. o živnostenskom podnikaní (živnostenský zákon) v znení neskorších predpisov</w:t>
      </w:r>
    </w:p>
    <w:p w:rsidR="00D27093" w:rsidRPr="0032099C" w:rsidRDefault="00D27093" w:rsidP="00D27093">
      <w:pPr>
        <w:jc w:val="both"/>
      </w:pPr>
    </w:p>
    <w:p w:rsidR="00D27093" w:rsidRPr="0032099C" w:rsidRDefault="00D27093" w:rsidP="00D27093">
      <w:pPr>
        <w:jc w:val="both"/>
        <w:rPr>
          <w:b/>
        </w:rPr>
      </w:pPr>
      <w:r w:rsidRPr="0032099C">
        <w:rPr>
          <w:b/>
        </w:rPr>
        <w:t>K bodu 1, 2 a 3 [§ 3 ods. 2 písm. a), § 80ao, príloha č. 2]</w:t>
      </w:r>
    </w:p>
    <w:p w:rsidR="00D27093" w:rsidRPr="0032099C" w:rsidRDefault="00D27093" w:rsidP="00D27093">
      <w:pPr>
        <w:jc w:val="both"/>
      </w:pPr>
      <w:r w:rsidRPr="0032099C">
        <w:tab/>
        <w:t>Na základe nariadenia MiCA, ktoré predstavuje harmonizovaný rámec pre trhy s kryptoaktívami a ktorým sa ustanovujú osobitné pravidlá pre kryptoaktíva a súvisiace služby a činnosti vrátane povoľovania s pôsobnosťou pre celú Európsku úniu, budú emitenti tokenov naviazaných na aktíva, poskytovatelia služieb kryptoaktív a iné osoby oprávnené vykonávať činnosť v oblasti kryptoaktív potrebovať povolenie od Národnej banky Slovenska na výkon definovaných činností súvisiacich s kryptoaktívami. Z tohto dôvodu je nutné činnosť týchto osôb vyňať spod pôsobnosti živnostenského zákona. Činnosť poskytovateľov služieb kryptoaktív a činnosť emitentov tokenov naviazaných na aktíva a emitentov tokenov elektronických peňazí sa pridáva do § 3 ods. 2 písm. a), t. j. medzi činnosti, ktoré nie sú živnosťou.</w:t>
      </w:r>
    </w:p>
    <w:p w:rsidR="00D27093" w:rsidRPr="0032099C" w:rsidRDefault="00D27093" w:rsidP="00D27093">
      <w:pPr>
        <w:jc w:val="both"/>
        <w:rPr>
          <w:bCs/>
          <w:color w:val="000000" w:themeColor="text1"/>
        </w:rPr>
      </w:pPr>
      <w:r w:rsidRPr="0032099C">
        <w:tab/>
        <w:t>Živnostenské oprávnenie už nebude pre služby spadajúce do pôsobnosti nariadenia MiCA dostačujúce, avšak v súlade s prechodným ustanovením bude možné poskytovať služby na základe už platného živnostenského oprávnenia (oprávnenie na poskytovanie služby zmenárne virtuálnej meny alebo služby peňaženky virtuálnej meny alebo služby a činnosti, ktoré svojím obsahom spĺňajú znaky služieb kryptoaktív podľa nariadenia MiCA) po obmedzenú dobu – v súlade s čl. 143 ods. 3 nariadenia MiCA až do 1. júla 2026 alebo do dňa udelenia povolenia alebo odmietnutia udelenia povolenia na činnosť poskytovateľa služieb kryptoaktív podľa nariadenia MiCA, podľa toho, čo nastane skôr.</w:t>
      </w:r>
    </w:p>
    <w:p w:rsidR="00D27093" w:rsidRPr="0032099C" w:rsidRDefault="00D27093" w:rsidP="00D27093">
      <w:pPr>
        <w:jc w:val="both"/>
      </w:pPr>
      <w:r w:rsidRPr="0032099C">
        <w:tab/>
        <w:t xml:space="preserve">Z uvedeného vyplýva, že je potrebné doplniť prechodné ustanovenie v živnostenskom zákone tak, aby existujúce osoby so živnostenským oprávnením vydaným do 30. decembra 2024, ktoré uskutočňujú svoju podnikateľskú činnosť s predmetom činnosti definovaným podľa živnostenského zákona ako živnosť, ktorá svojím obsahom spĺňa znaky poskytovania služieb zmenárne virtuálnej meny alebo poskytovania služieb peňaženky virtuálnej meny alebo poskytovania služby alebo činnosti, ktorá svojím obsahom spĺňa znaky služieb kryptoaktíva podľa nariadenia MiCA, mohli vykonávať svoju podnikateľskú činnosť až do udelenia povolenia podľa nariadenia MiCA, najneskôr však do 1. júla 2026. </w:t>
      </w:r>
    </w:p>
    <w:p w:rsidR="00D27093" w:rsidRPr="0032099C" w:rsidRDefault="00D27093" w:rsidP="00D27093">
      <w:pPr>
        <w:jc w:val="both"/>
      </w:pPr>
      <w:r w:rsidRPr="0032099C">
        <w:lastRenderedPageBreak/>
        <w:tab/>
        <w:t xml:space="preserve">V súlade s príslušnými ustanoveniami nariadenia MiCA priamo aplikovateľnej definície služieb kryptoaktív (čl. 3, bod 16 a </w:t>
      </w:r>
      <w:proofErr w:type="spellStart"/>
      <w:r w:rsidRPr="0032099C">
        <w:t>nasl</w:t>
      </w:r>
      <w:proofErr w:type="spellEnd"/>
      <w:r w:rsidRPr="0032099C">
        <w:t xml:space="preserve">.) je potrebné sa vysporiadať nielen so subjektami uskutočňujúcimi svoju podnikateľskú činnosť v predmetoch podnikania viazaných – regulovaných živností „poskytovanie služby zmenárne virtuálnej meny“ a „služby peňaženky virtuálnej meny“, ale aj – a o to precíznejšie – i s podnikateľskými subjektami podnikajúcimi v oblasti voľných živností, tak a) definične nespadajúcich pod vymedzenie čl. 3, bod 16 a </w:t>
      </w:r>
      <w:proofErr w:type="spellStart"/>
      <w:r w:rsidRPr="0032099C">
        <w:t>nasl</w:t>
      </w:r>
      <w:proofErr w:type="spellEnd"/>
      <w:r w:rsidRPr="0032099C">
        <w:t xml:space="preserve">. nariadenia, ako i b) obsahovo aktuálne podobnými novej legislatívnej definícii (nahradzujúcej pojem virtuálna mena pojmom kryptoaktívum), ktoré boli vydané subjektom pred účinnosťou novelizácie prostredníctvom zákona č. 279/2020 Z. z., ktorým sa mení a dopĺňa zákon č. 297/2008 Z. z. o ochrane pred legalizáciou príjmov z trestnej činnosti a o ochrane pred financovaním terorizmu a o zmene a doplnení niektorých zákonov v znení neskorších predpisov a ktorým sa menia a dopĺňajú niektoré zákony, s účinnosťou od 1. novembra 2020, ktorým sa predmetné živnosti č. 82a a 82b stali viazanými živnosťami. Aj napriek tomu, že sa živnosti č. 82a a 82b stali viazanými, pričom ich súčasne navrhovaný zákon ruší, existuje stále riziko, že bude zo strany podnikateľských subjektov snaha obchádzať tento zákon prostredníctvom slobody formulácie predmetu podnikania voľných živností. Preto prechodné ustanovenie obsahuje formuláciu „poskytovanie služby a činnosti, ktoré svojím obsahom spĺňajú znaky služieb kryptoaktív“ podľa nariadenia MiCA, ktoré by mali rovnako podliehať povoleniu vydanému Národnou bankou Slovenska. Uvedené je žiadúce a významné najmä s ohľadom na zabránenie obchádzania plnenia regulačných požiadaviek záujemcov o podnikanie prostredníctvom slobody formulácie predmetu podnikania voľných živností. </w:t>
      </w:r>
    </w:p>
    <w:p w:rsidR="00D27093" w:rsidRPr="0032099C" w:rsidRDefault="00D27093" w:rsidP="00D27093">
      <w:pPr>
        <w:jc w:val="both"/>
      </w:pPr>
    </w:p>
    <w:p w:rsidR="00D27093" w:rsidRPr="0032099C" w:rsidRDefault="00D27093" w:rsidP="00D27093">
      <w:pPr>
        <w:jc w:val="both"/>
      </w:pPr>
    </w:p>
    <w:p w:rsidR="00D27093" w:rsidRPr="0032099C" w:rsidRDefault="00D27093" w:rsidP="00D27093">
      <w:pPr>
        <w:keepNext/>
        <w:jc w:val="center"/>
        <w:rPr>
          <w:b/>
        </w:rPr>
      </w:pPr>
      <w:r w:rsidRPr="0032099C">
        <w:rPr>
          <w:b/>
        </w:rPr>
        <w:t>K čl. V</w:t>
      </w:r>
    </w:p>
    <w:p w:rsidR="00D27093" w:rsidRPr="0032099C" w:rsidRDefault="00D27093" w:rsidP="00D27093">
      <w:pPr>
        <w:keepNext/>
        <w:jc w:val="center"/>
        <w:rPr>
          <w:b/>
        </w:rPr>
      </w:pPr>
      <w:r w:rsidRPr="0032099C">
        <w:rPr>
          <w:b/>
        </w:rPr>
        <w:t>Novela zákona č. 483/2001 Z. z. o bankách a o zmene a doplnení niektorých zákonov v znení neskorších predpisov</w:t>
      </w:r>
    </w:p>
    <w:p w:rsidR="00D27093" w:rsidRPr="0032099C" w:rsidRDefault="00D27093" w:rsidP="00D27093">
      <w:pPr>
        <w:keepNext/>
        <w:jc w:val="both"/>
        <w:rPr>
          <w:b/>
        </w:rPr>
      </w:pPr>
    </w:p>
    <w:p w:rsidR="00D27093" w:rsidRPr="0032099C" w:rsidRDefault="00D27093" w:rsidP="00D27093">
      <w:pPr>
        <w:jc w:val="both"/>
        <w:rPr>
          <w:b/>
        </w:rPr>
      </w:pPr>
      <w:r w:rsidRPr="0032099C">
        <w:rPr>
          <w:b/>
        </w:rPr>
        <w:t>K bodu 1, 2, 3 a 42 [§ 2 ods. 2 písm. o) až q), § 2 ods. 18 až 20, § 122yh]</w:t>
      </w:r>
    </w:p>
    <w:p w:rsidR="00D27093" w:rsidRPr="0032099C" w:rsidRDefault="00D27093" w:rsidP="00D27093">
      <w:pPr>
        <w:jc w:val="both"/>
      </w:pPr>
      <w:r w:rsidRPr="0032099C">
        <w:tab/>
        <w:t xml:space="preserve">Ustanovenia sú transpozíciou čl. 146 nariadenia MiCA, ktorým sa rozširuje príloha smernice </w:t>
      </w:r>
      <w:r w:rsidRPr="0032099C">
        <w:rPr>
          <w:bCs/>
          <w:shd w:val="clear" w:color="auto" w:fill="FFFFFF"/>
        </w:rPr>
        <w:t>Európskeho parlamentu a Rady 2013/36/EÚ z 26. júna 2013 o prístupe k činnosti úverových inštitúcií a </w:t>
      </w:r>
      <w:proofErr w:type="spellStart"/>
      <w:r w:rsidRPr="0032099C">
        <w:rPr>
          <w:bCs/>
          <w:shd w:val="clear" w:color="auto" w:fill="FFFFFF"/>
        </w:rPr>
        <w:t>prudenciálnom</w:t>
      </w:r>
      <w:proofErr w:type="spellEnd"/>
      <w:r w:rsidRPr="0032099C">
        <w:rPr>
          <w:bCs/>
          <w:shd w:val="clear" w:color="auto" w:fill="FFFFFF"/>
        </w:rPr>
        <w:t xml:space="preserve"> dohľade nad úverovými inštitúciami, o zmene smernice 2002/87/ES a o zrušení smerníc 2006/48/ES a 2006/49/ES (Ú. v. EÚ L 176, 27.6.2013) v platnom znení (ďalej len „smernica CRD“) </w:t>
      </w:r>
      <w:r w:rsidRPr="0032099C">
        <w:t xml:space="preserve">o nové vzájomne uznávané činnosti bánk. </w:t>
      </w:r>
    </w:p>
    <w:p w:rsidR="00D27093" w:rsidRPr="0032099C" w:rsidRDefault="00D27093" w:rsidP="00D27093">
      <w:pPr>
        <w:jc w:val="both"/>
      </w:pPr>
      <w:r w:rsidRPr="0032099C">
        <w:tab/>
        <w:t xml:space="preserve">Zákon č. 483/2001 Z. z. o bankách bankové povolenie v SR historicky koncipuje tak, že všetky bankové činnosti z prílohy I smernice 2013/36/EÚ (zoznam vzájomne uznávaných bankových činností) sa zapisujú do bankového povolenia. Ide o systém tzv. „užšej licencie“, kedy banky pred vykonávaním nejakej činnosti z tejto prílohy musia požiadať NBS o udelenie povolenia na výkon tejto činnosti. Z tohto dôvodu nové činnosti súvisiace s kryptoaktívami, o ktoré sa rozšírila príloha smernice 2013/36/EÚ, musia mať slovenské banky zapísané v bankovom povolení, ak ich chcú vykonávať. Uvedené je v súlade aj s recitálom 44 nariadenia MiCA, ako aj s odpoveďou Európskej komisie, ktorú v tejto súvislosti oslovilo Ministerstvo financií Slovenskej republiky. Národná banka Slovenska vzniesla v rámci pripomienkového konania pripomienku, v odôvodnení ktorej poukázala na kompetenciu Európskej centrálnej banky udeľovať a odoberať bankové povolenia v krajinách zúčastnených v tzv. jednotnom mechanizme dohľadu, čo by znamenalo administratívne a časovo náročný licenčný proces pre banky. Keďže banky majú v kontexte nariadenia MiCA najprivilegovanejšie postavenie, pretože budú môcť bez osobitnej licencie podľa nariadenia MiCA vykonávať všetky základné okruhy činnosti podľa MiCA, z týchto vyššie uvedených dôvodov sa pristúpilo k zjednodušenému postupu rozšírenia bankovej licencie na vykonávanie činnosti podľa § 2 ods. 2 písm. o) až q) – t. j. činnosti vydávania tokenov elektronických peňazí, činnosti vydávania </w:t>
      </w:r>
      <w:r w:rsidRPr="0032099C">
        <w:lastRenderedPageBreak/>
        <w:t xml:space="preserve">tokenov naviazaných na aktíva a na poskytovanie služieb kryptoaktív podľa nariadenia MiCA. To znamená, že banka pred tým, ako začne vykonávať tieto činnosti, oznámi Národnej banke Slovenska svoj zámer vykonávať činnosť podľa § 2 ods. 2 písm. o), p) alebo q) a Národná banka Slovenska tejto banke túto činnosť zapíše do bankového povolenia. Samozrejme banka pri vykonávaní takýchto činností musí dodržiavať všetky povinnosti, ktoré jej vyplývajú z nariadenia MiCA. Zároveň sa na základe pripomienky Národnej banky Slovenska v súlade s nariadením MiCA a smernicou CRD do § 2 dopĺňa ustanovenie, podľa ktorého zahraničnej banky z tretej krajiny (t. j. mimo územia SR) nemôže udeliť povolenie podľa § 8 pre jej pobočku na vykonávanie bankových činností – vydávanie tokenov elektronických peňazí, vydávanie tokenov naviazaných na aktíva, ani poskytovanie služieb kryptoaktív. </w:t>
      </w:r>
    </w:p>
    <w:p w:rsidR="00D27093" w:rsidRPr="0032099C" w:rsidRDefault="00D27093" w:rsidP="00D27093">
      <w:pPr>
        <w:jc w:val="both"/>
      </w:pPr>
      <w:r w:rsidRPr="0032099C">
        <w:tab/>
        <w:t>Vzhľadom na zmenu názvu už aktuálne existujúcej bankovej činnosti podľa § 2 ods. 2 písm. o), je potrebné z dôvodu právnej istoty doplniť aj prechodné ustanovenie.</w:t>
      </w:r>
    </w:p>
    <w:p w:rsidR="00D27093" w:rsidRPr="0032099C" w:rsidRDefault="00D27093" w:rsidP="00D27093">
      <w:pPr>
        <w:jc w:val="both"/>
      </w:pPr>
    </w:p>
    <w:p w:rsidR="00D27093" w:rsidRPr="0032099C" w:rsidRDefault="00D27093" w:rsidP="00D27093">
      <w:pPr>
        <w:jc w:val="both"/>
        <w:rPr>
          <w:b/>
        </w:rPr>
      </w:pPr>
      <w:r w:rsidRPr="0032099C">
        <w:rPr>
          <w:b/>
        </w:rPr>
        <w:t>K bodu 4 [§ 3 ods. 1]</w:t>
      </w:r>
    </w:p>
    <w:p w:rsidR="00D27093" w:rsidRPr="0032099C" w:rsidRDefault="00D27093" w:rsidP="00D27093">
      <w:pPr>
        <w:jc w:val="both"/>
      </w:pPr>
      <w:r w:rsidRPr="0032099C">
        <w:tab/>
        <w:t xml:space="preserve">Z hľadiska zrozumiteľnosti sa precizuje ustanovenie, podľa ktorého podnikať v oblasti prijímania vkladov a iných návratných zdrojov od verejnosti sa môže v Slovenskej republike len na základe bankového povolenia. </w:t>
      </w:r>
    </w:p>
    <w:p w:rsidR="00D27093" w:rsidRPr="0032099C" w:rsidRDefault="00D27093" w:rsidP="00D27093">
      <w:pPr>
        <w:jc w:val="both"/>
      </w:pPr>
    </w:p>
    <w:p w:rsidR="00D27093" w:rsidRPr="0032099C" w:rsidRDefault="00D27093" w:rsidP="00D27093">
      <w:pPr>
        <w:jc w:val="both"/>
        <w:rPr>
          <w:b/>
        </w:rPr>
      </w:pPr>
      <w:r w:rsidRPr="0032099C">
        <w:rPr>
          <w:b/>
        </w:rPr>
        <w:t>K bodom 5 až 11, 41 a 42 [§ 7 ods. 2 písm. e), § 7 ods. 14, § 8 ods. 2 písm. c), § 9 ods. 4, § 9 ods. 5, § 50 ods. 11 a § 122yg]</w:t>
      </w:r>
    </w:p>
    <w:p w:rsidR="00D27093" w:rsidRPr="0032099C" w:rsidRDefault="00D27093" w:rsidP="00D27093">
      <w:pPr>
        <w:jc w:val="both"/>
      </w:pPr>
      <w:r w:rsidRPr="0032099C">
        <w:tab/>
        <w:t>Osoba zabezpečujúca plnenie úloh pri ochrane pred legalizáciou príjmov z trestnej činnosti a pred financovaním terorizmu podľa § 20 ods. 2 písm. h) zákona č. 297/2008 Z. z. o</w:t>
      </w:r>
      <w:r>
        <w:t> </w:t>
      </w:r>
      <w:r w:rsidRPr="0032099C">
        <w:t>ochrane</w:t>
      </w:r>
      <w:r>
        <w:t xml:space="preserve"> </w:t>
      </w:r>
      <w:r w:rsidRPr="0032099C">
        <w:t xml:space="preserve">pred legalizáciou príjmov z trestnej činnosti a o ochrane pred financovaním terorizmu a o zmene a doplnení niektorých zákonov sa dopĺňa do zoznamu funkcií, ktoré podliehajú schvaľovaniu Národnou bankou Slovenska/Európskou centrálnou bankou. Účelom je najmä obozretný dohľad, pretože táto osoba zodpovedá za dôležitú oblasť v banke a pobočke zahraničnej banky. V tejto súvislosti sa legislatívne upravujú aj súvisiace ustanovenia zákona o bankách. Zároveň sa dopĺňa aj prechodné ustanovenie, podľa ktorého sú banky a pobočky zahraničných bánk podľa § 8 povinné požiadať Národnú banku Slovenska o súhlas na výkon funkcie takejto osoby, ktorá túto činnosť vykonáva pred účinnosťou novely. Účelom je, aby aj existujúce osoby, ktoré zabezpečujú plnenie úloh pri ochrane pred legalizáciou príjmov z trestnej činnosti a pred financovaním terorizmu, boli posúdené z hľadiska zákonných požiadaviek a schválené Národnou bankou Slovenska. </w:t>
      </w:r>
    </w:p>
    <w:p w:rsidR="00D27093" w:rsidRPr="0032099C" w:rsidRDefault="00D27093" w:rsidP="00D27093">
      <w:pPr>
        <w:jc w:val="both"/>
      </w:pPr>
    </w:p>
    <w:p w:rsidR="00D27093" w:rsidRPr="0032099C" w:rsidRDefault="00D27093" w:rsidP="00D27093">
      <w:pPr>
        <w:jc w:val="both"/>
        <w:rPr>
          <w:b/>
        </w:rPr>
      </w:pPr>
      <w:r w:rsidRPr="0032099C">
        <w:rPr>
          <w:b/>
        </w:rPr>
        <w:t>K bodom 12 až 23 [§ 20a, 20aa, 20ab, 20b a 20c]</w:t>
      </w:r>
    </w:p>
    <w:p w:rsidR="00D27093" w:rsidRPr="0032099C" w:rsidRDefault="00D27093" w:rsidP="00D27093">
      <w:pPr>
        <w:jc w:val="both"/>
      </w:pPr>
      <w:r w:rsidRPr="0032099C">
        <w:tab/>
        <w:t xml:space="preserve">Na základe poznatkov aplikačnej praxe sa precizuje transpozícia čl. 21a a 21b smernice CRD. Doterajšie ustanovenie § 20a ods. 8 sa presúva do samostatného § 20aa, tzn. Národná banka Slovenska ako orgán dohľadu bude schvaľovať výnimku z povinnosti získať súhlas podľa § 20a. V súčasnosti takúto výnimku neschvaľuje a § 20a ods. 8 sa spolieha na </w:t>
      </w:r>
      <w:proofErr w:type="spellStart"/>
      <w:r w:rsidRPr="0032099C">
        <w:t>sebavyhodnotenie</w:t>
      </w:r>
      <w:proofErr w:type="spellEnd"/>
      <w:r w:rsidRPr="0032099C">
        <w:t xml:space="preserve"> finančnej holdingovej spoločnosti alebo zmiešanej finančnej holdingovej spoločnosti a následné konkludentné odsúhlasenie výnimky, čo by v aplikačnej praxi mohlo spôsobovať problémy. Presunutie ustanovenia § 20a ods. 8 do samostatného § 20aa si vyžiadalo aj presun ustanovení § 20a ods. 12 až 19 do samostatného § 20ab a následné legislatívno-technické úpravy v § 20a, 20b a 20c. Niektoré ustanovenia z § 20a boli presunuté bez vecných zmien do § 20aa a § 20ab. Čo sa týka odôvodnenia § 20a, zostáva v platnosti odôvodnenie, ktoré bolo k § 20a uvedené v zákone č. 340/2020 Z. z., ktorým sa tento paragraf doplnil do zákona o bankách. </w:t>
      </w:r>
    </w:p>
    <w:p w:rsidR="00D27093" w:rsidRPr="0032099C" w:rsidRDefault="00D27093" w:rsidP="00D27093">
      <w:pPr>
        <w:jc w:val="both"/>
      </w:pPr>
      <w:r w:rsidRPr="0032099C">
        <w:tab/>
        <w:t xml:space="preserve">Podľa § 20aa postupuje finančná holdingová spoločnosť a zmiešaná finančná holdingová spoločnosť, ktorá podá Národnej banke Slovenska žiadosť o udelenie výnimky z povinnosti získať súhlas na vykonávanie činnosti finančnej holdingovej spoločnosti </w:t>
      </w:r>
      <w:r w:rsidRPr="0032099C">
        <w:lastRenderedPageBreak/>
        <w:t xml:space="preserve">a zmiešanej finančnej holdingovej spoločnosti. Ak takáto spoločnosť spĺňa podmienky uvedené v § 20aa ods. 2, Národná banka Slovenska jej takúto výnimku udelí. Udelenie takejto výnimky neznamená, že sú tieto spoločnosti vyňaté z rozsahu konsolidácie podľa tohto zákona alebo nariadenia Európskeho parlamentu a Rady (EÚ) č. 575/2013 z 26. júna 2013 o prudenciálnych požiadavkách na úverové inštitúcie a o zmene nariadenia (EÚ) č. 648/2012 (Ú. v. EÚ L 176, 27.6.2013) v platnom znení (ďalej len „nariadenie CRR“).  </w:t>
      </w:r>
    </w:p>
    <w:p w:rsidR="00D27093" w:rsidRPr="0032099C" w:rsidRDefault="00D27093" w:rsidP="00D27093">
      <w:pPr>
        <w:jc w:val="both"/>
      </w:pPr>
      <w:r w:rsidRPr="0032099C">
        <w:tab/>
        <w:t>Ustanovenia § 20ab ods. 1 až 5 sú transpozíciou čl. 21a ods. 8 a 9 smernice CRD upravujú výmenu informácií a spoluprácu medzi Národnou bankou Slovenska s príslušnými orgánmi v inom členskom štáte na účely prijímania spoločných rozhodnutí, riešenia situácie, keď sa nepodarí dosiahnuť spoločné rozhodnutie vrátane príslušných lehôt. § 20ab ods. 6 sa transponuje ustanovenie čl. 21a ods. 10 smernice CRD a upravuje sa ním dĺžka trvania konania. § 20a ods. 7 transpozíciou čl. 21a ods. 5 smernice CRD a zaisťuje monitorovanie dodržiavania podmienok, za ktorých bol udelený súhlas. Taktiež je doplnené oprávnenie Národnej banky Slovenska žiadať od finančnej holdingovej spoločnosti alebo zmiešanej finančnej holdingovej spoločnosti informácie potrebné na zisťovanie dodržiavania podmienok udelenia súhlasu podľa § 20a alebo výnimky podľa § 20aa. Zároveň je upravené aj vymieňanie týchto informácií medzi Národnou bankou Slovenska a príslušnými orgánmi dohľadu v inom členskom štáte. § 20ab ods. 8 a 9 sú transpozíciou čl. 21a ods. 2 písm. e) smernice CRD a upravujú poskytovanie informácií Národnej banke Slovenska na účely dohľadu. Náležitosti žiadosti o udelenie súhlasu podľa § 20a ods. 1 a žiadosti o udelenie výnimky podľa § 20aa ods. 1 a dokladov prikladaných k žiadosti, ako aj ďalšie informácie potrebné na posúdenie splnenia podmienok podľa § 20a ods. 5 a § 20aa ods. 2 sa upraví Opatrením Národnej banky, na vydanie ktorého ju splnomocňuje ustanovenie § 20ab ods. 10.</w:t>
      </w:r>
    </w:p>
    <w:p w:rsidR="00D27093" w:rsidRPr="0032099C" w:rsidRDefault="00D27093" w:rsidP="00D27093">
      <w:pPr>
        <w:jc w:val="both"/>
      </w:pPr>
      <w:r w:rsidRPr="0032099C">
        <w:tab/>
        <w:t>Zmeny v § 20b ods. 1 sú legislatívno-technického charakteru a súvisia s opravou vnútorných odkazov v zákone. Zmeny v § 20c ods. 5 súvisia s úplnou transpozíciou čl. 21b ods. 5 smernice CRD a ustanovuje metodiku určovania celkovej hodnoty aktív na účely odsekov 4, 6, 7 a § 122yd.</w:t>
      </w:r>
    </w:p>
    <w:p w:rsidR="00D27093" w:rsidRPr="0032099C" w:rsidRDefault="00D27093" w:rsidP="00D27093">
      <w:pPr>
        <w:jc w:val="both"/>
      </w:pPr>
    </w:p>
    <w:p w:rsidR="00D27093" w:rsidRPr="0032099C" w:rsidRDefault="00D27093" w:rsidP="00D27093">
      <w:pPr>
        <w:jc w:val="both"/>
        <w:rPr>
          <w:b/>
        </w:rPr>
      </w:pPr>
      <w:r w:rsidRPr="0032099C">
        <w:rPr>
          <w:b/>
        </w:rPr>
        <w:t>K bodu 24 [§ 27 ods. 7]</w:t>
      </w:r>
    </w:p>
    <w:p w:rsidR="00D27093" w:rsidRPr="0032099C" w:rsidRDefault="00D27093" w:rsidP="00D27093">
      <w:pPr>
        <w:jc w:val="both"/>
      </w:pPr>
      <w:r w:rsidRPr="0032099C">
        <w:tab/>
        <w:t>Precizovaním ustanovenia sa dosiahne spresnenie transpozície čl. 104b ods. 1 smernice CRD, tzn. že banka je povinná mať vlastný systém hodnotenia primeranosti vnútorného kapitálu, ktorý považuje za primeraný na krytie rizík, ktorým je alebo môže byť vystavená, a potenciálnych strát vyplývajúcich zo stresových scenárov vrátane tých, ktoré boli zistené stresovými testami podľa § 6 ods. 27.</w:t>
      </w:r>
    </w:p>
    <w:p w:rsidR="00D27093" w:rsidRPr="0032099C" w:rsidRDefault="00D27093" w:rsidP="00D27093">
      <w:pPr>
        <w:jc w:val="both"/>
      </w:pPr>
    </w:p>
    <w:p w:rsidR="00D27093" w:rsidRPr="0032099C" w:rsidRDefault="00D27093" w:rsidP="00D27093">
      <w:pPr>
        <w:jc w:val="both"/>
        <w:rPr>
          <w:b/>
        </w:rPr>
      </w:pPr>
      <w:r w:rsidRPr="0032099C">
        <w:rPr>
          <w:b/>
        </w:rPr>
        <w:t>K bodu 25 [§ 33d ods. 13]</w:t>
      </w:r>
    </w:p>
    <w:p w:rsidR="00D27093" w:rsidRPr="0032099C" w:rsidRDefault="00D27093" w:rsidP="00D27093">
      <w:pPr>
        <w:jc w:val="both"/>
      </w:pPr>
      <w:r w:rsidRPr="0032099C">
        <w:tab/>
        <w:t xml:space="preserve">Precizovaním ustanovenia sa dosiahne spresnenie transpozície úvodnej vety čl. 131 ods. 10 smernice CRD. Národná banka Slovenska teda na základe posúdenia s využitím </w:t>
      </w:r>
      <w:proofErr w:type="spellStart"/>
      <w:r w:rsidRPr="0032099C">
        <w:t>podkategórií</w:t>
      </w:r>
      <w:proofErr w:type="spellEnd"/>
      <w:r w:rsidRPr="0032099C">
        <w:t xml:space="preserve"> a hraničných výsledkov podľa odseku 12 môže pristúpiť k postupu vymedzenému v § 33d ods. 13 písm. a) až c).</w:t>
      </w:r>
    </w:p>
    <w:p w:rsidR="00D27093" w:rsidRPr="0032099C" w:rsidRDefault="00D27093" w:rsidP="00D27093">
      <w:pPr>
        <w:jc w:val="both"/>
      </w:pPr>
    </w:p>
    <w:p w:rsidR="00D27093" w:rsidRPr="0032099C" w:rsidRDefault="00D27093" w:rsidP="00D27093">
      <w:pPr>
        <w:keepNext/>
        <w:jc w:val="both"/>
        <w:rPr>
          <w:b/>
        </w:rPr>
      </w:pPr>
      <w:r w:rsidRPr="0032099C">
        <w:rPr>
          <w:b/>
        </w:rPr>
        <w:t>K bodu 26 [§ 40 ods. 2]</w:t>
      </w:r>
    </w:p>
    <w:p w:rsidR="00D27093" w:rsidRPr="0032099C" w:rsidRDefault="00D27093" w:rsidP="00D27093">
      <w:pPr>
        <w:keepNext/>
        <w:jc w:val="both"/>
      </w:pPr>
      <w:r w:rsidRPr="0032099C">
        <w:tab/>
        <w:t>Cieľom navrhovanej zmeny je odstrániť nadbytočnú špecifikáciu konkrétnej časti registra účtovných závierok, do ktorej sa ukladajú jednotlivé dokumenty. Predmetná špecifikácia je upravená v § 23  zákona č. 431/2002 Z. z. o účtovníctve, na ktorý ustanovenie odkazuje. Zároveň sa aktualizuje poznámka pod čiarou k odkazu 40 s ohľadom na legislatívnu zmenu – zákon č. 540/2007 Z. z. bol zrušený zákonom 423/2015 Z. z.</w:t>
      </w:r>
    </w:p>
    <w:p w:rsidR="00D27093" w:rsidRPr="0032099C" w:rsidRDefault="00D27093" w:rsidP="00D27093">
      <w:pPr>
        <w:jc w:val="both"/>
        <w:rPr>
          <w:b/>
        </w:rPr>
      </w:pPr>
    </w:p>
    <w:p w:rsidR="00D27093" w:rsidRPr="0032099C" w:rsidRDefault="00D27093" w:rsidP="00D27093">
      <w:pPr>
        <w:keepNext/>
        <w:jc w:val="both"/>
        <w:rPr>
          <w:b/>
        </w:rPr>
      </w:pPr>
      <w:r w:rsidRPr="0032099C">
        <w:rPr>
          <w:b/>
        </w:rPr>
        <w:lastRenderedPageBreak/>
        <w:t>K bodom 27 až 32 [§ 44 ods. 5, 6, 9, 10, 11 a 14]</w:t>
      </w:r>
    </w:p>
    <w:p w:rsidR="00D27093" w:rsidRPr="0032099C" w:rsidRDefault="00D27093" w:rsidP="00D27093">
      <w:pPr>
        <w:keepNext/>
        <w:jc w:val="both"/>
      </w:pPr>
      <w:r w:rsidRPr="0032099C">
        <w:tab/>
        <w:t>Novým znením § 44 ods. 5 a 6 a vypustením odseku 7 sa úplne transponuje čl. 119 ods. 2 smernice CRD. Ak sa dcérska spoločnosť, ktorá je bankou, nezahrnie do dohľadu na konsolidovanom základe v rámci jedného z prípadov ustanovených v článku 19 nariadenia (EÚ) č. 575/2013, príslušné orgány dohľadu členského štátu, v ktorom má sídlo táto dcérska spoločnosť, môžu požiadať materskú spoločnosť o informácie, ktoré môžu uľahčiť ich dohľad nad touto dcérskou spoločnosťou. Zároveň bolo potrebné zapracovať legislatívno-technické úpravy pri vnútorných odkazoch v súvislosti s vypustením odseku 7.</w:t>
      </w:r>
    </w:p>
    <w:p w:rsidR="00D27093" w:rsidRPr="0032099C" w:rsidRDefault="00D27093" w:rsidP="00D27093">
      <w:pPr>
        <w:jc w:val="both"/>
        <w:rPr>
          <w:b/>
        </w:rPr>
      </w:pPr>
    </w:p>
    <w:p w:rsidR="00D27093" w:rsidRPr="0032099C" w:rsidRDefault="00D27093" w:rsidP="00D27093">
      <w:pPr>
        <w:keepNext/>
        <w:jc w:val="both"/>
        <w:rPr>
          <w:b/>
        </w:rPr>
      </w:pPr>
      <w:r w:rsidRPr="0032099C">
        <w:rPr>
          <w:b/>
        </w:rPr>
        <w:t>K bodu 33 [§ 44 ods. 15]</w:t>
      </w:r>
    </w:p>
    <w:p w:rsidR="00D27093" w:rsidRPr="0032099C" w:rsidRDefault="00D27093" w:rsidP="00D27093">
      <w:pPr>
        <w:keepNext/>
        <w:jc w:val="both"/>
      </w:pPr>
      <w:r w:rsidRPr="0032099C">
        <w:tab/>
        <w:t>Dopĺňa sa nové ustanovenie s cieľom dôslednej transpozície čl. 2 ods. 6 smernice CRD, ktoré ustanovuje, že so subjektami uvedenými v čl. 2 ods. 5 bodoch 3 až 24 smernice CRD sa na účely dohľadu na konsolidovanom základe zaobchádza ako s finančnými inštitúciami.</w:t>
      </w:r>
    </w:p>
    <w:p w:rsidR="00D27093" w:rsidRPr="0032099C" w:rsidRDefault="00D27093" w:rsidP="00D27093">
      <w:pPr>
        <w:jc w:val="both"/>
        <w:rPr>
          <w:b/>
        </w:rPr>
      </w:pPr>
    </w:p>
    <w:p w:rsidR="00D27093" w:rsidRPr="0032099C" w:rsidRDefault="00D27093" w:rsidP="00D27093">
      <w:pPr>
        <w:jc w:val="both"/>
        <w:rPr>
          <w:b/>
        </w:rPr>
      </w:pPr>
      <w:r w:rsidRPr="0032099C">
        <w:rPr>
          <w:b/>
        </w:rPr>
        <w:t>K bodu 34 [§ 46 ods. 5]</w:t>
      </w:r>
    </w:p>
    <w:p w:rsidR="00D27093" w:rsidRPr="0032099C" w:rsidRDefault="00D27093" w:rsidP="00D27093">
      <w:pPr>
        <w:jc w:val="both"/>
      </w:pPr>
      <w:r w:rsidRPr="0032099C">
        <w:tab/>
        <w:t>Doplnením nového ustanovenia sa dosiahne úplná transpozícia čl. 109 ods. 5 smernice CDR. S cieľom zabrániť obchádzaniu pravidiel týkajúcich sa odmeňovania je potrebné, aby sa požiadavky ustanovené v § 23a až 23d uplatňovali na zamestnancov dcérskych spoločností, na ktoré sa nevzťahuje táto smernica, na individuálnom základe, ak:</w:t>
      </w:r>
    </w:p>
    <w:p w:rsidR="00D27093" w:rsidRPr="0032099C" w:rsidRDefault="00D27093" w:rsidP="00D27093">
      <w:pPr>
        <w:pStyle w:val="Odsekzoznamu"/>
        <w:numPr>
          <w:ilvl w:val="0"/>
          <w:numId w:val="16"/>
        </w:numPr>
        <w:autoSpaceDE w:val="0"/>
        <w:autoSpaceDN w:val="0"/>
        <w:jc w:val="both"/>
      </w:pPr>
      <w:r w:rsidRPr="0032099C">
        <w:t>dcérska spoločnosť je buď správcovskou spoločnosťou alebo obchodníkom s cennými papiermi, ktorý poskytuje investičné služby a vykonáva investičné činnosti uvedené v</w:t>
      </w:r>
      <w:r>
        <w:t> </w:t>
      </w:r>
      <w:r w:rsidRPr="0032099C">
        <w:t>§</w:t>
      </w:r>
      <w:r>
        <w:t> </w:t>
      </w:r>
      <w:r w:rsidRPr="0032099C">
        <w:t>6 ods. 1 písm. b) až d), f) a g) zákona č. 566/2001 Z. z. o cenných papieroch, a</w:t>
      </w:r>
    </w:p>
    <w:p w:rsidR="00D27093" w:rsidRPr="0032099C" w:rsidRDefault="00D27093" w:rsidP="00BE2BA2">
      <w:pPr>
        <w:pStyle w:val="Odsekzoznamu"/>
        <w:numPr>
          <w:ilvl w:val="0"/>
          <w:numId w:val="16"/>
        </w:numPr>
        <w:autoSpaceDE w:val="0"/>
        <w:autoSpaceDN w:val="0"/>
        <w:jc w:val="both"/>
      </w:pPr>
      <w:r w:rsidRPr="0032099C">
        <w:t>títo zamestnanci boli poverení výkonom profesionálnych činností, ktoré majú priamy významný vplyv na rizikový profil alebo podnikanie inštitúcií v rámci skupiny</w:t>
      </w:r>
    </w:p>
    <w:p w:rsidR="00D27093" w:rsidRPr="0032099C" w:rsidRDefault="00D27093" w:rsidP="00D27093">
      <w:pPr>
        <w:jc w:val="both"/>
      </w:pPr>
    </w:p>
    <w:p w:rsidR="00D27093" w:rsidRPr="0032099C" w:rsidRDefault="00D27093" w:rsidP="00D27093">
      <w:pPr>
        <w:jc w:val="both"/>
        <w:rPr>
          <w:b/>
        </w:rPr>
      </w:pPr>
      <w:r w:rsidRPr="0032099C">
        <w:rPr>
          <w:b/>
        </w:rPr>
        <w:t>K bodom 35 a 36 [§ 47 ods. 1 a 5]</w:t>
      </w:r>
    </w:p>
    <w:p w:rsidR="00D27093" w:rsidRPr="0032099C" w:rsidRDefault="00D27093" w:rsidP="00D27093">
      <w:pPr>
        <w:jc w:val="both"/>
      </w:pPr>
      <w:r w:rsidRPr="0032099C">
        <w:tab/>
        <w:t>Legislatívno-technické úpravy súvisiace s doplnením nových ustanovení v § 47 ods. 19 až 21.</w:t>
      </w:r>
    </w:p>
    <w:p w:rsidR="00D27093" w:rsidRPr="0032099C" w:rsidRDefault="00D27093" w:rsidP="00D27093">
      <w:pPr>
        <w:jc w:val="both"/>
        <w:rPr>
          <w:b/>
        </w:rPr>
      </w:pPr>
    </w:p>
    <w:p w:rsidR="00D27093" w:rsidRPr="0032099C" w:rsidRDefault="00D27093" w:rsidP="00D27093">
      <w:pPr>
        <w:jc w:val="both"/>
        <w:rPr>
          <w:b/>
        </w:rPr>
      </w:pPr>
      <w:r w:rsidRPr="0032099C">
        <w:rPr>
          <w:b/>
        </w:rPr>
        <w:t>K bodom 37 až 39 [§ 47 ods. 15 písm. c) a m) a § 47 ods. 16]</w:t>
      </w:r>
    </w:p>
    <w:p w:rsidR="00D27093" w:rsidRPr="0032099C" w:rsidRDefault="00D27093" w:rsidP="00D27093">
      <w:pPr>
        <w:jc w:val="both"/>
      </w:pPr>
      <w:r w:rsidRPr="0032099C">
        <w:tab/>
        <w:t>Úpravou a doplnením príslušných ustanovení sa dosiahne úplná harmonizácia čl. 113 ods. 3 a 4 smernice CDR. Ustanovujú sa prípady, kedy sa Národná banka Slovenska neobráti na Európsky orgán dohľadu (Európsky orgán pre bankovníctvo). A dopĺňa sa, že lehota podľa § 47 ods. 15 písm. c) sa považuje za lehotu na zmierenie v zmysle nariadenia (EÚ) č. 1093/2010.</w:t>
      </w:r>
    </w:p>
    <w:p w:rsidR="00D27093" w:rsidRPr="0032099C" w:rsidRDefault="00D27093" w:rsidP="00D27093">
      <w:pPr>
        <w:jc w:val="both"/>
        <w:rPr>
          <w:b/>
        </w:rPr>
      </w:pPr>
    </w:p>
    <w:p w:rsidR="00D27093" w:rsidRPr="0032099C" w:rsidRDefault="00D27093" w:rsidP="00D27093">
      <w:pPr>
        <w:jc w:val="both"/>
        <w:rPr>
          <w:b/>
        </w:rPr>
      </w:pPr>
      <w:r w:rsidRPr="0032099C">
        <w:rPr>
          <w:b/>
        </w:rPr>
        <w:t>K bodu 40 [§ 47 ods. 19 až 21]</w:t>
      </w:r>
    </w:p>
    <w:p w:rsidR="00D27093" w:rsidRPr="0032099C" w:rsidRDefault="00D27093" w:rsidP="00D27093">
      <w:pPr>
        <w:jc w:val="both"/>
      </w:pPr>
      <w:r w:rsidRPr="0032099C">
        <w:tab/>
        <w:t>Doplnením nových ustanovení v odsekoch 19 až 21 sa dosiahne úplná transpozícia čl.</w:t>
      </w:r>
      <w:r>
        <w:t> </w:t>
      </w:r>
      <w:r w:rsidRPr="0032099C">
        <w:t>111 ods. 1 prvý a druhý pododsek a čl. 111 ods. 2 smernice CRD. Ustanovujú sa prípady, kedy je Národná banka Slovenska orgánom na konsolidovanom základe.</w:t>
      </w:r>
    </w:p>
    <w:p w:rsidR="00D27093" w:rsidRPr="0032099C" w:rsidRDefault="00D27093" w:rsidP="00D27093">
      <w:pPr>
        <w:jc w:val="both"/>
        <w:rPr>
          <w:rFonts w:eastAsiaTheme="minorHAnsi"/>
          <w:lang w:eastAsia="en-US"/>
        </w:rPr>
      </w:pPr>
    </w:p>
    <w:p w:rsidR="00D27093" w:rsidRPr="0032099C" w:rsidRDefault="00D27093" w:rsidP="00D27093">
      <w:pPr>
        <w:jc w:val="both"/>
        <w:rPr>
          <w:b/>
        </w:rPr>
      </w:pPr>
      <w:r w:rsidRPr="0032099C">
        <w:rPr>
          <w:b/>
        </w:rPr>
        <w:t>K bodu 43 [príloha bod 14]</w:t>
      </w:r>
    </w:p>
    <w:p w:rsidR="00D27093" w:rsidRPr="0032099C" w:rsidRDefault="00D27093" w:rsidP="00D27093">
      <w:pPr>
        <w:jc w:val="both"/>
        <w:rPr>
          <w:rFonts w:eastAsiaTheme="minorHAnsi"/>
          <w:lang w:eastAsia="en-US"/>
        </w:rPr>
      </w:pPr>
      <w:r w:rsidRPr="0032099C">
        <w:rPr>
          <w:rFonts w:eastAsiaTheme="minorHAnsi"/>
          <w:lang w:eastAsia="en-US"/>
        </w:rPr>
        <w:tab/>
        <w:t xml:space="preserve">Dopĺňa sa transpozičná príloha o nariadenie MiCA, ktoré v čl. 146 novelizuje smernicu CRD, ktorá je transponovaná do zákona o bankách. </w:t>
      </w:r>
    </w:p>
    <w:p w:rsidR="00D27093" w:rsidRPr="0032099C" w:rsidRDefault="00D27093" w:rsidP="00D27093">
      <w:pPr>
        <w:jc w:val="both"/>
        <w:rPr>
          <w:rFonts w:eastAsiaTheme="minorHAnsi"/>
          <w:lang w:eastAsia="en-US"/>
        </w:rPr>
      </w:pPr>
    </w:p>
    <w:p w:rsidR="00D27093" w:rsidRPr="0032099C" w:rsidRDefault="00D27093" w:rsidP="00D27093">
      <w:pPr>
        <w:jc w:val="both"/>
        <w:rPr>
          <w:rFonts w:eastAsiaTheme="minorHAnsi"/>
          <w:lang w:eastAsia="en-US"/>
        </w:rPr>
      </w:pPr>
    </w:p>
    <w:p w:rsidR="00D27093" w:rsidRPr="0032099C" w:rsidRDefault="00D27093" w:rsidP="00D27093">
      <w:pPr>
        <w:jc w:val="both"/>
      </w:pPr>
    </w:p>
    <w:p w:rsidR="00D27093" w:rsidRPr="0032099C" w:rsidRDefault="00D27093" w:rsidP="00D27093">
      <w:pPr>
        <w:keepNext/>
        <w:jc w:val="center"/>
        <w:rPr>
          <w:b/>
        </w:rPr>
      </w:pPr>
      <w:r w:rsidRPr="0032099C">
        <w:rPr>
          <w:b/>
        </w:rPr>
        <w:lastRenderedPageBreak/>
        <w:t>K čl. VIII</w:t>
      </w:r>
    </w:p>
    <w:p w:rsidR="00D27093" w:rsidRPr="0032099C" w:rsidRDefault="00D27093" w:rsidP="00D27093">
      <w:pPr>
        <w:keepNext/>
        <w:jc w:val="center"/>
        <w:rPr>
          <w:b/>
        </w:rPr>
      </w:pPr>
      <w:r w:rsidRPr="0032099C">
        <w:rPr>
          <w:b/>
        </w:rPr>
        <w:t>Novela zákona č. 747/2004 Z. z. o dohľade nad finančným trhom a o zmene a doplnení niektorých zákonov v znení neskorších predpisov</w:t>
      </w:r>
    </w:p>
    <w:p w:rsidR="00D27093" w:rsidRPr="0032099C" w:rsidRDefault="00D27093" w:rsidP="00D27093">
      <w:pPr>
        <w:keepNext/>
        <w:jc w:val="center"/>
        <w:rPr>
          <w:b/>
        </w:rPr>
      </w:pPr>
    </w:p>
    <w:p w:rsidR="00D27093" w:rsidRPr="0032099C" w:rsidRDefault="00D27093" w:rsidP="00D27093">
      <w:pPr>
        <w:keepNext/>
        <w:jc w:val="both"/>
      </w:pPr>
    </w:p>
    <w:p w:rsidR="00D27093" w:rsidRPr="0032099C" w:rsidRDefault="00D27093" w:rsidP="00D27093">
      <w:pPr>
        <w:keepNext/>
        <w:jc w:val="both"/>
        <w:rPr>
          <w:b/>
        </w:rPr>
      </w:pPr>
      <w:r w:rsidRPr="0032099C">
        <w:rPr>
          <w:b/>
        </w:rPr>
        <w:t>K bodu 1 [Poznámka pod čiarou k odkazu 1]</w:t>
      </w:r>
    </w:p>
    <w:p w:rsidR="00D27093" w:rsidRPr="0032099C" w:rsidRDefault="00D27093" w:rsidP="00D27093">
      <w:pPr>
        <w:keepNext/>
        <w:jc w:val="both"/>
      </w:pPr>
      <w:r w:rsidRPr="0032099C">
        <w:tab/>
        <w:t>Rozšírením poznámky pod čiarou k odkazu 1 sa implementuje čl. 93 ods. 1 nariadenia MiCA.</w:t>
      </w:r>
    </w:p>
    <w:p w:rsidR="00D27093" w:rsidRPr="0032099C" w:rsidRDefault="00D27093" w:rsidP="00D27093">
      <w:pPr>
        <w:jc w:val="both"/>
      </w:pPr>
    </w:p>
    <w:p w:rsidR="00D27093" w:rsidRPr="0032099C" w:rsidRDefault="00D27093" w:rsidP="00D27093">
      <w:pPr>
        <w:keepNext/>
        <w:jc w:val="both"/>
        <w:rPr>
          <w:b/>
        </w:rPr>
      </w:pPr>
      <w:r w:rsidRPr="0032099C">
        <w:rPr>
          <w:b/>
        </w:rPr>
        <w:t>K bodu 2 [§ 1 ods. 3 písm. a)]</w:t>
      </w:r>
    </w:p>
    <w:p w:rsidR="00D27093" w:rsidRPr="0032099C" w:rsidRDefault="00D27093" w:rsidP="00D27093">
      <w:pPr>
        <w:jc w:val="both"/>
      </w:pPr>
      <w:r w:rsidRPr="0032099C">
        <w:tab/>
        <w:t>Úpravou ustanovenia sa implementuje čl. 94 ods. 2 nariadenia MiCA a do zákona o dohľade sa dopĺňa, že Národná banka Slovenska v rámci dohľadu nad finančným trhom vykonáva dohľad nad poskytovateľmi služieb kryptoaktív a emitentmi tokenov naviazaných na aktíva, ako aj nad inými osobami, ktorým nariadenie MiCA v oblasti trhu s kryptoaktívami ukladá povinnosti.</w:t>
      </w:r>
    </w:p>
    <w:p w:rsidR="00D27093" w:rsidRPr="0032099C" w:rsidRDefault="00D27093" w:rsidP="00D27093">
      <w:pPr>
        <w:jc w:val="both"/>
      </w:pPr>
    </w:p>
    <w:p w:rsidR="00D27093" w:rsidRPr="0032099C" w:rsidRDefault="00D27093" w:rsidP="00D27093">
      <w:pPr>
        <w:jc w:val="both"/>
      </w:pPr>
    </w:p>
    <w:p w:rsidR="00D27093" w:rsidRPr="0032099C" w:rsidRDefault="00D27093" w:rsidP="00D27093">
      <w:pPr>
        <w:keepNext/>
        <w:jc w:val="center"/>
        <w:rPr>
          <w:b/>
        </w:rPr>
      </w:pPr>
      <w:r w:rsidRPr="0032099C">
        <w:rPr>
          <w:b/>
        </w:rPr>
        <w:t>K čl. IX</w:t>
      </w:r>
    </w:p>
    <w:p w:rsidR="00D27093" w:rsidRPr="0032099C" w:rsidRDefault="00D27093" w:rsidP="00D27093">
      <w:pPr>
        <w:keepNext/>
        <w:jc w:val="center"/>
        <w:rPr>
          <w:b/>
        </w:rPr>
      </w:pPr>
      <w:r w:rsidRPr="0032099C">
        <w:rPr>
          <w:b/>
        </w:rPr>
        <w:t>Novela zákona č. 7/2005 Z. z. o konkurze a reštrukturalizácii a o zmene a doplnení niektorých zákonov v znení neskorších predpisov</w:t>
      </w:r>
    </w:p>
    <w:p w:rsidR="00D27093" w:rsidRPr="0032099C" w:rsidRDefault="00D27093" w:rsidP="00D27093">
      <w:pPr>
        <w:keepNext/>
        <w:jc w:val="center"/>
        <w:rPr>
          <w:b/>
        </w:rPr>
      </w:pPr>
    </w:p>
    <w:p w:rsidR="00D27093" w:rsidRPr="0032099C" w:rsidRDefault="00D27093" w:rsidP="00D27093">
      <w:pPr>
        <w:keepNext/>
        <w:jc w:val="both"/>
        <w:rPr>
          <w:b/>
        </w:rPr>
      </w:pPr>
      <w:r w:rsidRPr="0032099C">
        <w:rPr>
          <w:b/>
        </w:rPr>
        <w:t>K bodu 1 [§ 176 ods. 5]</w:t>
      </w:r>
    </w:p>
    <w:p w:rsidR="00D27093" w:rsidRPr="0032099C" w:rsidRDefault="00D27093" w:rsidP="00D27093">
      <w:pPr>
        <w:jc w:val="both"/>
      </w:pPr>
      <w:r w:rsidRPr="0032099C">
        <w:tab/>
        <w:t>Po nadobudnutí účinnosti nariadenia MiCA sa medzi subjekty, ktoré musia mať povolenie od Národnej banky na výkon určitých činností, zaradia aj poskytovatelia služieb kryptoaktív a emitenti tokenov naviazaných na aktíva, ktorí nie sú bankou. Z tohto dôvodu je potrebné zaradiť ich medzi subjekty, na ktoré sa uplatňuje § 176 ods. 1 až 4 zákona č.</w:t>
      </w:r>
      <w:r>
        <w:t> </w:t>
      </w:r>
      <w:r w:rsidRPr="0032099C">
        <w:t>7/2005</w:t>
      </w:r>
      <w:r>
        <w:t> </w:t>
      </w:r>
      <w:r w:rsidRPr="0032099C">
        <w:t>Z.</w:t>
      </w:r>
      <w:r>
        <w:t> </w:t>
      </w:r>
      <w:r w:rsidRPr="0032099C">
        <w:t xml:space="preserve">z. </w:t>
      </w:r>
    </w:p>
    <w:p w:rsidR="00D27093" w:rsidRPr="0032099C" w:rsidRDefault="00D27093" w:rsidP="00D27093">
      <w:pPr>
        <w:jc w:val="both"/>
      </w:pPr>
    </w:p>
    <w:p w:rsidR="00D27093" w:rsidRPr="0032099C" w:rsidRDefault="00D27093" w:rsidP="00D27093">
      <w:pPr>
        <w:keepNext/>
        <w:jc w:val="both"/>
        <w:rPr>
          <w:b/>
        </w:rPr>
      </w:pPr>
      <w:r w:rsidRPr="0032099C">
        <w:rPr>
          <w:b/>
        </w:rPr>
        <w:t>K bodu 2 [§ 192 ods. 1 až 3]</w:t>
      </w:r>
    </w:p>
    <w:p w:rsidR="00D27093" w:rsidRPr="0032099C" w:rsidRDefault="00D27093" w:rsidP="00D27093">
      <w:pPr>
        <w:keepNext/>
        <w:jc w:val="both"/>
      </w:pPr>
      <w:r w:rsidRPr="0032099C">
        <w:tab/>
        <w:t xml:space="preserve">Ide o dôslednú transpozíciu čl. 25 až 27 smernice 2001/24/ES Európskeho parlamentu a Rady zo 4. apríla 2001 o reorganizácii a likvidácii úverových inštitúcií </w:t>
      </w:r>
      <w:r w:rsidRPr="001F1DCE">
        <w:rPr>
          <w:rStyle w:val="Siln"/>
          <w:b w:val="0"/>
        </w:rPr>
        <w:t>(Ú. v. EÚ L 125, 5.5.2001; Mimoriadne vydanie Ú. v. EÚ, kap. 6/zv. 4) v platnom znení</w:t>
      </w:r>
      <w:r w:rsidRPr="001F1DCE">
        <w:t xml:space="preserve">. </w:t>
      </w:r>
    </w:p>
    <w:p w:rsidR="00D27093" w:rsidRPr="0032099C" w:rsidRDefault="00D27093" w:rsidP="00D27093">
      <w:pPr>
        <w:jc w:val="both"/>
      </w:pPr>
    </w:p>
    <w:p w:rsidR="00D27093" w:rsidRPr="0032099C" w:rsidRDefault="00D27093" w:rsidP="00D27093">
      <w:pPr>
        <w:jc w:val="both"/>
      </w:pPr>
    </w:p>
    <w:p w:rsidR="00D27093" w:rsidRPr="0032099C" w:rsidRDefault="00D27093" w:rsidP="00D27093">
      <w:pPr>
        <w:jc w:val="both"/>
      </w:pPr>
    </w:p>
    <w:p w:rsidR="00D27093" w:rsidRPr="0032099C" w:rsidRDefault="00D27093" w:rsidP="00D27093">
      <w:pPr>
        <w:keepNext/>
        <w:jc w:val="center"/>
        <w:rPr>
          <w:b/>
        </w:rPr>
      </w:pPr>
      <w:r w:rsidRPr="0032099C">
        <w:rPr>
          <w:b/>
        </w:rPr>
        <w:t>K čl. X</w:t>
      </w:r>
    </w:p>
    <w:p w:rsidR="00D27093" w:rsidRPr="0032099C" w:rsidRDefault="00D27093" w:rsidP="00D27093">
      <w:pPr>
        <w:keepNext/>
        <w:jc w:val="center"/>
        <w:rPr>
          <w:b/>
        </w:rPr>
      </w:pPr>
      <w:r w:rsidRPr="0032099C">
        <w:rPr>
          <w:b/>
        </w:rPr>
        <w:t>Novela zákona č. 266/2005 Z. z. o ochrane spotrebiteľa pri finančných službách na diaľku a o zmene a doplnení niektorých zákonov v znení neskorších predpisov</w:t>
      </w:r>
    </w:p>
    <w:p w:rsidR="00D27093" w:rsidRPr="0032099C" w:rsidRDefault="00D27093" w:rsidP="00D27093">
      <w:pPr>
        <w:jc w:val="both"/>
      </w:pPr>
    </w:p>
    <w:p w:rsidR="00D27093" w:rsidRPr="0032099C" w:rsidRDefault="00D27093" w:rsidP="00D27093">
      <w:pPr>
        <w:jc w:val="both"/>
      </w:pPr>
      <w:r w:rsidRPr="0032099C">
        <w:tab/>
        <w:t xml:space="preserve">Na základe nariadenia MiCA by poskytovanie služieb kryptoaktív, emitovanie tokenov naviazaných na aktíva a emitovanie tokenov elektronických peňazí malo byť považované za finančnú službu v zmysle zákona č. 266/2005 Z. z. o ochrane spotrebiteľa pri finančných službách na diaľku a o zmene a doplnení niektorých zákonov v znení neskorších predpisov. Vzhľadom na to, že vyššie uvedené služby môžu poskytovať aj nové dohliadané subjekty podľa nariadenia MiCA (poskytovatelia služieb kryptoaktív a emitenti tokenov naviazaných na aktíva), je potrebné doplniť tieto subjekty do vymedzenia finančnej služby v § 2 písm. b) zákona č. 266/2005 Z. z. </w:t>
      </w:r>
    </w:p>
    <w:p w:rsidR="00D27093" w:rsidRPr="0032099C" w:rsidRDefault="00D27093" w:rsidP="00D27093">
      <w:pPr>
        <w:jc w:val="both"/>
      </w:pPr>
      <w:r w:rsidRPr="0032099C">
        <w:tab/>
        <w:t>V aktuálne platnom znení § 2 písm. b) ôsmom bode je vzhľadom na ustanovenia § 12 návrhu zákona o niektorých povinnostiach a oprávneniach v oblasti kryptoaktív a o zmene a</w:t>
      </w:r>
      <w:r>
        <w:t> </w:t>
      </w:r>
      <w:r w:rsidRPr="0032099C">
        <w:t xml:space="preserve">doplnení niektorých zákonov vhodné ponechať odkaz na inú osobou s obdobným predmetom </w:t>
      </w:r>
      <w:r w:rsidRPr="0032099C">
        <w:lastRenderedPageBreak/>
        <w:t>činnosti, ako majú osoby uvedené v prvom až siedmom bode. V prípade doplnenia odkazu aj na ôsmy bod by za finančnú službu museli byť považované aj služby zmenárne virtuálnej meny a služby peňaženky virtuálnej meny, ktoré budú môcť do 1. júla 2026 naďalej poskytovať nedohliadané subjekty, ktoré disponujú iba viazanou živnosťou. Zároveň je v zákone č.</w:t>
      </w:r>
      <w:r>
        <w:t> </w:t>
      </w:r>
      <w:r w:rsidRPr="0032099C">
        <w:t>266/2005 Z .z. vhodné špecifikovať, že ustanovenia tohto zákona sa v súlade s recitálom 79 nariadenia MiCA vzťahujú na služby kryptoaktív, iba ak nariadenie MiCA neustanovuje inak.</w:t>
      </w:r>
    </w:p>
    <w:p w:rsidR="00D27093" w:rsidRPr="0032099C" w:rsidRDefault="00D27093" w:rsidP="00D27093">
      <w:pPr>
        <w:jc w:val="both"/>
      </w:pPr>
    </w:p>
    <w:p w:rsidR="00D27093" w:rsidRPr="0032099C" w:rsidRDefault="00D27093" w:rsidP="00D27093">
      <w:pPr>
        <w:jc w:val="both"/>
      </w:pPr>
    </w:p>
    <w:p w:rsidR="00D27093" w:rsidRPr="0032099C" w:rsidRDefault="00D27093" w:rsidP="00D27093">
      <w:pPr>
        <w:jc w:val="both"/>
      </w:pPr>
    </w:p>
    <w:p w:rsidR="00D27093" w:rsidRPr="0032099C" w:rsidRDefault="00D27093" w:rsidP="00D27093">
      <w:pPr>
        <w:keepNext/>
        <w:jc w:val="center"/>
        <w:rPr>
          <w:b/>
        </w:rPr>
      </w:pPr>
      <w:r w:rsidRPr="0032099C">
        <w:rPr>
          <w:b/>
        </w:rPr>
        <w:t>K čl. XI</w:t>
      </w:r>
    </w:p>
    <w:p w:rsidR="00D27093" w:rsidRPr="0032099C" w:rsidRDefault="00D27093" w:rsidP="00D27093">
      <w:pPr>
        <w:keepNext/>
        <w:jc w:val="center"/>
        <w:rPr>
          <w:b/>
        </w:rPr>
      </w:pPr>
      <w:r w:rsidRPr="0032099C">
        <w:rPr>
          <w:b/>
        </w:rPr>
        <w:t>Novela zákona č. 492/2009 Z. z. o platobných službách a o zmene a doplnení niektorých zákonov v znení neskorších predpisov</w:t>
      </w:r>
    </w:p>
    <w:p w:rsidR="00D27093" w:rsidRPr="0032099C" w:rsidRDefault="00D27093" w:rsidP="00D27093">
      <w:pPr>
        <w:keepNext/>
        <w:jc w:val="both"/>
      </w:pPr>
    </w:p>
    <w:p w:rsidR="00D27093" w:rsidRPr="0032099C" w:rsidRDefault="00D27093" w:rsidP="00D27093">
      <w:pPr>
        <w:keepNext/>
        <w:jc w:val="both"/>
        <w:rPr>
          <w:b/>
        </w:rPr>
      </w:pPr>
      <w:r w:rsidRPr="0032099C">
        <w:rPr>
          <w:b/>
        </w:rPr>
        <w:t>K bodu 1, 8, 20, 21, 25 až 27 [§ 1 ods. 2, § 30 ods. 5, § 80 ods. 3 písm. a),§ 80 ods. 15, § 82 ods. 2 písm. j), § 82 ods. 4 písm. h), § 86 ods. 19 a 29 a § 86a ods. 1]</w:t>
      </w:r>
    </w:p>
    <w:p w:rsidR="00D27093" w:rsidRPr="0032099C" w:rsidRDefault="00D27093" w:rsidP="00D27093">
      <w:pPr>
        <w:keepNext/>
        <w:jc w:val="both"/>
        <w:rPr>
          <w:rFonts w:eastAsiaTheme="minorHAnsi"/>
          <w:lang w:eastAsia="en-US"/>
        </w:rPr>
      </w:pPr>
      <w:r w:rsidRPr="0032099C">
        <w:rPr>
          <w:rFonts w:eastAsiaTheme="minorHAnsi"/>
          <w:lang w:eastAsia="en-US"/>
        </w:rPr>
        <w:tab/>
        <w:t xml:space="preserve">V súvislosti so zmenou názvu vzájomne uznávaných činností bánk uvedených v prílohe I smernice CRD, ktorá vyplýva z čl. 146 nariadenia MiCA, je potrebné zosúladiť pojmy aj v príslušných ustanoveniach zákona o platobných službách. </w:t>
      </w:r>
    </w:p>
    <w:p w:rsidR="00D27093" w:rsidRPr="0032099C" w:rsidRDefault="00D27093" w:rsidP="00D27093">
      <w:pPr>
        <w:keepNext/>
        <w:jc w:val="both"/>
        <w:rPr>
          <w:b/>
        </w:rPr>
      </w:pPr>
    </w:p>
    <w:p w:rsidR="00D27093" w:rsidRPr="0032099C" w:rsidRDefault="00D27093" w:rsidP="00D27093">
      <w:pPr>
        <w:keepNext/>
        <w:jc w:val="both"/>
        <w:rPr>
          <w:b/>
        </w:rPr>
      </w:pPr>
      <w:r w:rsidRPr="0032099C">
        <w:rPr>
          <w:b/>
        </w:rPr>
        <w:t>K bodu 2 [§ 1 ods. 3 písm. k) tretí bod]</w:t>
      </w:r>
    </w:p>
    <w:p w:rsidR="00D27093" w:rsidRPr="0032099C" w:rsidRDefault="00D27093" w:rsidP="00D27093">
      <w:pPr>
        <w:keepNext/>
        <w:jc w:val="both"/>
        <w:rPr>
          <w:rFonts w:eastAsiaTheme="minorHAnsi"/>
          <w:lang w:eastAsia="en-US"/>
        </w:rPr>
      </w:pPr>
      <w:r w:rsidRPr="0032099C">
        <w:rPr>
          <w:rFonts w:eastAsiaTheme="minorHAnsi"/>
          <w:lang w:eastAsia="en-US"/>
        </w:rPr>
        <w:tab/>
        <w:t>Navrhovaná právna úprava sa viaže k spresneniu služieb založených na osobitných platobných prostriedkoch alebo obdobných technických prostriedkoch vymedzených v § 1 ods. 3 písm. k) tretieho bodu. Ide o osobitné platobné prostriedky, ktoré môžu byť vydávané na žiadosť orgánu štátnej správy alebo podniku, ktorý nemusí byť orgánom štátnej správy. Aplikačná prax potvrdila existenciu aj podnikov poskytujúcich takéto služby, ktoré nie sú štátnymi orgánmi.</w:t>
      </w:r>
    </w:p>
    <w:p w:rsidR="00D27093" w:rsidRPr="0032099C" w:rsidRDefault="00D27093" w:rsidP="00D27093">
      <w:pPr>
        <w:keepNext/>
        <w:jc w:val="both"/>
        <w:rPr>
          <w:rFonts w:eastAsiaTheme="minorHAnsi"/>
          <w:lang w:eastAsia="en-US"/>
        </w:rPr>
      </w:pPr>
    </w:p>
    <w:p w:rsidR="00D27093" w:rsidRPr="0032099C" w:rsidRDefault="00D27093" w:rsidP="00D27093">
      <w:pPr>
        <w:keepNext/>
        <w:jc w:val="both"/>
        <w:rPr>
          <w:b/>
        </w:rPr>
      </w:pPr>
      <w:r w:rsidRPr="0032099C">
        <w:rPr>
          <w:b/>
        </w:rPr>
        <w:t>K bodu 3 [§ 1 ods. 3 písm. o)]</w:t>
      </w:r>
    </w:p>
    <w:p w:rsidR="00D27093" w:rsidRPr="0032099C" w:rsidRDefault="00D27093" w:rsidP="00D27093">
      <w:pPr>
        <w:keepNext/>
        <w:jc w:val="both"/>
      </w:pPr>
      <w:r w:rsidRPr="0032099C">
        <w:rPr>
          <w:rFonts w:eastAsiaTheme="minorHAnsi"/>
          <w:lang w:eastAsia="en-US"/>
        </w:rPr>
        <w:tab/>
        <w:t>Legislatívno-technická úprava, nakoľko sa dopĺňa nové ustanovenie § 97c pre strany poskytujúce službu menovej konverzie v bankomate alebo v mieste predaja. Ak poskytovateľ služieb týkajúcich sa výberu finančných prostriedkov v hotovosti prostredníctvom bankomatov podľa § 1 ods. 3 písm. o) ponúka službu menovej konverzie, vzťahujú sa na neho povinnosti podľa § 97c.</w:t>
      </w:r>
    </w:p>
    <w:p w:rsidR="00D27093" w:rsidRPr="0032099C" w:rsidRDefault="00D27093" w:rsidP="00D27093">
      <w:pPr>
        <w:jc w:val="both"/>
      </w:pPr>
    </w:p>
    <w:p w:rsidR="00D27093" w:rsidRPr="0032099C" w:rsidRDefault="00D27093" w:rsidP="00D27093">
      <w:pPr>
        <w:jc w:val="both"/>
        <w:rPr>
          <w:b/>
        </w:rPr>
      </w:pPr>
      <w:r w:rsidRPr="0032099C">
        <w:rPr>
          <w:b/>
        </w:rPr>
        <w:t>K bodom 4 a 5 [§ 2 ods. 43, § 2 ods. 44 § 3a ods. 1, § 3b ods. 1]</w:t>
      </w:r>
    </w:p>
    <w:p w:rsidR="00D27093" w:rsidRPr="0032099C" w:rsidRDefault="00D27093" w:rsidP="00D27093">
      <w:pPr>
        <w:jc w:val="both"/>
      </w:pPr>
      <w:r w:rsidRPr="0032099C">
        <w:tab/>
      </w:r>
      <w:r w:rsidRPr="0032099C">
        <w:rPr>
          <w:rFonts w:eastAsiaTheme="minorHAnsi"/>
          <w:lang w:eastAsia="en-US"/>
        </w:rPr>
        <w:t xml:space="preserve">Navrhuje sa spresnenie možnosti poskytovania služby informovania o platobnom účte. V súvislosti s touto zmenou je potrebné vykonať </w:t>
      </w:r>
      <w:r w:rsidRPr="0032099C">
        <w:t>legislatívno-technické zmeny v ďalších ustanoveniach.</w:t>
      </w:r>
    </w:p>
    <w:p w:rsidR="00D27093" w:rsidRPr="0032099C" w:rsidRDefault="00D27093" w:rsidP="00D27093">
      <w:pPr>
        <w:jc w:val="both"/>
      </w:pPr>
    </w:p>
    <w:p w:rsidR="00D27093" w:rsidRPr="0032099C" w:rsidRDefault="00D27093" w:rsidP="00D27093">
      <w:pPr>
        <w:jc w:val="both"/>
        <w:rPr>
          <w:b/>
        </w:rPr>
      </w:pPr>
      <w:r w:rsidRPr="0032099C">
        <w:rPr>
          <w:b/>
        </w:rPr>
        <w:t>K bodu 6 [§ 3 ods. 4]</w:t>
      </w:r>
    </w:p>
    <w:p w:rsidR="00D27093" w:rsidRDefault="00D27093" w:rsidP="00D27093">
      <w:pPr>
        <w:jc w:val="both"/>
        <w:rPr>
          <w:rFonts w:eastAsiaTheme="minorHAnsi"/>
          <w:lang w:eastAsia="en-US"/>
        </w:rPr>
      </w:pPr>
      <w:r w:rsidRPr="0032099C">
        <w:rPr>
          <w:rFonts w:eastAsiaTheme="minorHAnsi"/>
          <w:lang w:eastAsia="en-US"/>
        </w:rPr>
        <w:tab/>
        <w:t>Na základe aplikačnej praxe sa navrhuje bližšie zosúladenie so znením čl. 59 ods. 2 smernice (EÚ) 2015/2366 a novo navrhovaným § 97c. Pred poskytnutím služby menovej konverzie je strana ponúkajúca služby menovej konverzie povinná platiteľovi vopred poskytnúť informácie o všetkých poplatkoch vrátane výmenného kurzu a mať súhlas platiteľa s takouto službou.</w:t>
      </w:r>
    </w:p>
    <w:p w:rsidR="00D27093" w:rsidRPr="0032099C" w:rsidRDefault="00D27093" w:rsidP="00D27093">
      <w:pPr>
        <w:jc w:val="both"/>
        <w:rPr>
          <w:b/>
        </w:rPr>
      </w:pPr>
    </w:p>
    <w:p w:rsidR="00D27093" w:rsidRPr="0032099C" w:rsidRDefault="00D27093" w:rsidP="00D27093">
      <w:pPr>
        <w:jc w:val="both"/>
        <w:rPr>
          <w:b/>
        </w:rPr>
      </w:pPr>
      <w:r w:rsidRPr="0032099C">
        <w:rPr>
          <w:b/>
        </w:rPr>
        <w:t>K bodu 7 [§ 28c ods. 2]</w:t>
      </w:r>
    </w:p>
    <w:p w:rsidR="00D27093" w:rsidRPr="0032099C" w:rsidRDefault="00D27093" w:rsidP="00D27093">
      <w:pPr>
        <w:jc w:val="both"/>
        <w:rPr>
          <w:rFonts w:eastAsiaTheme="minorHAnsi"/>
          <w:lang w:eastAsia="en-US"/>
        </w:rPr>
      </w:pPr>
      <w:r w:rsidRPr="0032099C">
        <w:rPr>
          <w:rFonts w:eastAsiaTheme="minorHAnsi"/>
          <w:lang w:eastAsia="en-US"/>
        </w:rPr>
        <w:tab/>
        <w:t>Navrhuje sa spresnenie povinnosti predkladať správy o komplexnom posúdení riadenia prevádzkového rizika a bezpečnostného rizika súvisiacich s poskytovaním platobných služieb.</w:t>
      </w:r>
    </w:p>
    <w:p w:rsidR="00D27093" w:rsidRPr="0032099C" w:rsidRDefault="00D27093" w:rsidP="00D27093">
      <w:pPr>
        <w:jc w:val="both"/>
        <w:rPr>
          <w:rFonts w:eastAsiaTheme="minorHAnsi"/>
          <w:lang w:eastAsia="en-US"/>
        </w:rPr>
      </w:pPr>
    </w:p>
    <w:p w:rsidR="00D27093" w:rsidRPr="0032099C" w:rsidRDefault="00D27093" w:rsidP="00D27093">
      <w:pPr>
        <w:keepNext/>
        <w:jc w:val="both"/>
        <w:rPr>
          <w:b/>
        </w:rPr>
      </w:pPr>
      <w:r w:rsidRPr="0032099C">
        <w:rPr>
          <w:b/>
        </w:rPr>
        <w:lastRenderedPageBreak/>
        <w:t>K bodom 13 a 24 [§ 70 ods. 5 a § 85g ods. 5]</w:t>
      </w:r>
    </w:p>
    <w:p w:rsidR="00D27093" w:rsidRPr="0032099C" w:rsidRDefault="00D27093" w:rsidP="00D27093">
      <w:pPr>
        <w:keepNext/>
        <w:jc w:val="both"/>
        <w:rPr>
          <w:rFonts w:eastAsiaTheme="minorHAnsi"/>
          <w:lang w:eastAsia="en-US"/>
        </w:rPr>
      </w:pPr>
      <w:r w:rsidRPr="0032099C">
        <w:rPr>
          <w:rFonts w:eastAsiaTheme="minorHAnsi"/>
          <w:lang w:eastAsia="en-US"/>
        </w:rPr>
        <w:tab/>
        <w:t>Navrhuje sa spresnenie povinnosti zamestnanca zodpovedného za výkon vnútornej kontroly predkladať správu o plnení kontrolnej činnosti.</w:t>
      </w:r>
    </w:p>
    <w:p w:rsidR="00D27093" w:rsidRPr="0032099C" w:rsidRDefault="00D27093" w:rsidP="00D27093">
      <w:pPr>
        <w:jc w:val="both"/>
        <w:rPr>
          <w:rFonts w:eastAsiaTheme="minorHAnsi"/>
          <w:lang w:eastAsia="en-US"/>
        </w:rPr>
      </w:pPr>
    </w:p>
    <w:p w:rsidR="00D27093" w:rsidRPr="0032099C" w:rsidRDefault="00D27093" w:rsidP="00D27093">
      <w:pPr>
        <w:keepNext/>
        <w:jc w:val="both"/>
        <w:rPr>
          <w:b/>
        </w:rPr>
      </w:pPr>
      <w:r w:rsidRPr="0032099C">
        <w:rPr>
          <w:b/>
        </w:rPr>
        <w:t>K bodu 9 [§ 43 ods. 6]</w:t>
      </w:r>
    </w:p>
    <w:p w:rsidR="00D27093" w:rsidRPr="0032099C" w:rsidRDefault="00D27093" w:rsidP="00D27093">
      <w:pPr>
        <w:keepNext/>
        <w:jc w:val="both"/>
        <w:rPr>
          <w:rFonts w:eastAsiaTheme="minorHAnsi"/>
          <w:lang w:eastAsia="en-US"/>
        </w:rPr>
      </w:pPr>
      <w:r w:rsidRPr="0032099C">
        <w:rPr>
          <w:rFonts w:eastAsiaTheme="minorHAnsi"/>
          <w:lang w:eastAsia="en-US"/>
        </w:rPr>
        <w:tab/>
        <w:t>Na základe aplikačnej praxe sa navrhuje bližšie zosúladenie so znením čl. 60 ods. 2 smernice (EÚ) 2015/2366.</w:t>
      </w:r>
    </w:p>
    <w:p w:rsidR="00D27093" w:rsidRPr="0032099C" w:rsidRDefault="00D27093" w:rsidP="00D27093">
      <w:pPr>
        <w:jc w:val="both"/>
        <w:rPr>
          <w:rFonts w:eastAsiaTheme="minorHAnsi"/>
          <w:lang w:eastAsia="en-US"/>
        </w:rPr>
      </w:pPr>
    </w:p>
    <w:p w:rsidR="00D27093" w:rsidRPr="0032099C" w:rsidRDefault="00D27093" w:rsidP="00D27093">
      <w:pPr>
        <w:jc w:val="both"/>
        <w:rPr>
          <w:b/>
        </w:rPr>
      </w:pPr>
      <w:r w:rsidRPr="0032099C">
        <w:rPr>
          <w:b/>
        </w:rPr>
        <w:t>K bodom 10 až 12, 17, 18, 22 a 23 [§ 64 ods. 2 písm. e), § 64 ods. 3 písm. c), § 66 ods. 1 písm. b), § 79a ods. 3, § 79b ods. 3,</w:t>
      </w:r>
      <w:r w:rsidRPr="0032099C">
        <w:t xml:space="preserve"> </w:t>
      </w:r>
      <w:r w:rsidRPr="0032099C">
        <w:rPr>
          <w:b/>
        </w:rPr>
        <w:t>§ 82 ods. 2 písm. e), § 82 ods. 3 písm. c), § 85 ods. 1 písm. b)]</w:t>
      </w:r>
    </w:p>
    <w:p w:rsidR="00D27093" w:rsidRPr="0032099C" w:rsidRDefault="00D27093" w:rsidP="00D27093">
      <w:pPr>
        <w:jc w:val="both"/>
        <w:rPr>
          <w:rFonts w:eastAsiaTheme="minorHAnsi"/>
          <w:lang w:eastAsia="en-US"/>
        </w:rPr>
      </w:pPr>
      <w:r w:rsidRPr="0032099C">
        <w:rPr>
          <w:rFonts w:eastAsiaTheme="minorHAnsi"/>
          <w:lang w:eastAsia="en-US"/>
        </w:rPr>
        <w:tab/>
        <w:t>Cieľom je zníženie administratívnej záťaže pre platobné inštitúcie a inštitúcie elektronických peňazí a zároveň nákladov regulovaného subjektu. Ide o zjednocujúcu právnu úpravu vo vzťahu k členom dozornej rady a posudzovaniu ich dôveryhodnosti a odbornej spôsobilosti pre platobnú inštitúciu, poskytovateľa platobných služieb v obmedzenom rozsahu, poskytovateľa služieb informovania o platobnom účte, inštitúciu elektronických peňazí a</w:t>
      </w:r>
      <w:r>
        <w:rPr>
          <w:rFonts w:eastAsiaTheme="minorHAnsi"/>
          <w:lang w:eastAsia="en-US"/>
        </w:rPr>
        <w:t> </w:t>
      </w:r>
      <w:r w:rsidRPr="0032099C">
        <w:rPr>
          <w:rFonts w:eastAsiaTheme="minorHAnsi"/>
          <w:lang w:eastAsia="en-US"/>
        </w:rPr>
        <w:t>inštitúciu</w:t>
      </w:r>
      <w:r>
        <w:rPr>
          <w:rFonts w:eastAsiaTheme="minorHAnsi"/>
          <w:lang w:eastAsia="en-US"/>
        </w:rPr>
        <w:t xml:space="preserve"> </w:t>
      </w:r>
      <w:r w:rsidRPr="0032099C">
        <w:rPr>
          <w:rFonts w:eastAsiaTheme="minorHAnsi"/>
          <w:lang w:eastAsia="en-US"/>
        </w:rPr>
        <w:t>elektronických peňazí v obmedzenom rozsahu.</w:t>
      </w:r>
    </w:p>
    <w:p w:rsidR="00D27093" w:rsidRPr="0032099C" w:rsidRDefault="00D27093" w:rsidP="00D27093">
      <w:pPr>
        <w:jc w:val="both"/>
        <w:rPr>
          <w:rFonts w:eastAsiaTheme="minorHAnsi"/>
          <w:lang w:eastAsia="en-US"/>
        </w:rPr>
      </w:pPr>
    </w:p>
    <w:p w:rsidR="00D27093" w:rsidRPr="0032099C" w:rsidRDefault="00D27093" w:rsidP="00D27093">
      <w:pPr>
        <w:jc w:val="both"/>
        <w:rPr>
          <w:b/>
        </w:rPr>
      </w:pPr>
      <w:r w:rsidRPr="0032099C">
        <w:rPr>
          <w:b/>
        </w:rPr>
        <w:t>K bodu 14 [§ 72 ods. 6]</w:t>
      </w:r>
    </w:p>
    <w:p w:rsidR="00D27093" w:rsidRPr="0032099C" w:rsidRDefault="00D27093" w:rsidP="00D27093">
      <w:pPr>
        <w:jc w:val="both"/>
        <w:rPr>
          <w:rFonts w:eastAsiaTheme="minorHAnsi"/>
          <w:lang w:eastAsia="en-US"/>
        </w:rPr>
      </w:pPr>
      <w:r w:rsidRPr="0032099C">
        <w:rPr>
          <w:rFonts w:eastAsiaTheme="minorHAnsi"/>
          <w:lang w:eastAsia="en-US"/>
        </w:rPr>
        <w:tab/>
        <w:t xml:space="preserve">Na základe aplikačnej praxe sa navrhuje spresnenie, že ustanovenia odsekov 1 až 5 sa nevzťahujú na platobnú inštitúciu, ktorá poskytuje výlučne platobné služby podľa § 2 ods. 1 písm. g) alebo h), tzn. aj len jednu z daných platobných služieb alebo obe zároveň. </w:t>
      </w:r>
    </w:p>
    <w:p w:rsidR="00D27093" w:rsidRPr="0032099C" w:rsidRDefault="00D27093" w:rsidP="00D27093">
      <w:pPr>
        <w:jc w:val="both"/>
        <w:rPr>
          <w:rFonts w:eastAsiaTheme="minorHAnsi"/>
          <w:lang w:eastAsia="en-US"/>
        </w:rPr>
      </w:pPr>
    </w:p>
    <w:p w:rsidR="00D27093" w:rsidRPr="0032099C" w:rsidRDefault="00D27093" w:rsidP="00D27093">
      <w:pPr>
        <w:jc w:val="both"/>
        <w:rPr>
          <w:b/>
        </w:rPr>
      </w:pPr>
      <w:r w:rsidRPr="0032099C">
        <w:rPr>
          <w:b/>
        </w:rPr>
        <w:t>K bodom 15, 30 až 37 [§ 74 ods. 1 písm. f), § 97a ods. 2, § 97a ods. 3, § 97a ods. 4, 5, 7 až 10]</w:t>
      </w:r>
    </w:p>
    <w:p w:rsidR="00D27093" w:rsidRPr="0032099C" w:rsidRDefault="00D27093" w:rsidP="00D27093">
      <w:pPr>
        <w:jc w:val="both"/>
        <w:rPr>
          <w:rFonts w:eastAsiaTheme="minorHAnsi"/>
          <w:lang w:eastAsia="en-US"/>
        </w:rPr>
      </w:pPr>
      <w:r w:rsidRPr="0032099C">
        <w:rPr>
          <w:rFonts w:eastAsiaTheme="minorHAnsi"/>
          <w:lang w:eastAsia="en-US"/>
        </w:rPr>
        <w:tab/>
        <w:t>Navrhované zmeny sa viažu k limitovanému poskytovateľovi, ktoré vyplynuli z aplikačnej praxe. Dôvodom zmien v § 97a je prehodnotenie limitovaných poskytovateľov na základe usmernenia EBA/GL/2020/02, z ktorého vyplynuli zmeny spojené s vypustením informácií, ktoré sa v aplikačnej praxi ukázali ako nevyužívané. V § 97a ods. 2 sa vypúšťa oznamovacia povinnosť limitovaného poskytovateľa pred plánovaným dňom začatia vykonávania služieb podľa § 1 ods. 3 písm. k) prvého bodu a druhého bodu a nahrádza sa oznamovacou povinnosťou podľa § 97a ods. 9.</w:t>
      </w:r>
    </w:p>
    <w:p w:rsidR="00D27093" w:rsidRPr="0032099C" w:rsidRDefault="00D27093" w:rsidP="00D27093">
      <w:pPr>
        <w:jc w:val="both"/>
        <w:rPr>
          <w:rFonts w:eastAsiaTheme="minorHAnsi"/>
          <w:lang w:eastAsia="en-US"/>
        </w:rPr>
      </w:pPr>
      <w:r w:rsidRPr="0032099C">
        <w:rPr>
          <w:rFonts w:eastAsiaTheme="minorHAnsi"/>
          <w:lang w:eastAsia="en-US"/>
        </w:rPr>
        <w:t>V nadväznosti na vypustenie 97a ods. 3 a 8 je potrebné prečíslovať niektoré vnútorné odkazy.</w:t>
      </w:r>
    </w:p>
    <w:p w:rsidR="00D27093" w:rsidRPr="0032099C" w:rsidRDefault="00D27093" w:rsidP="00D27093">
      <w:pPr>
        <w:jc w:val="both"/>
        <w:rPr>
          <w:rFonts w:eastAsiaTheme="minorHAnsi"/>
          <w:lang w:eastAsia="en-US"/>
        </w:rPr>
      </w:pPr>
      <w:r w:rsidRPr="0032099C">
        <w:rPr>
          <w:rFonts w:eastAsiaTheme="minorHAnsi"/>
          <w:lang w:eastAsia="en-US"/>
        </w:rPr>
        <w:t>V § 97a ods. 4 sa spresňuje, že limitovaný poskytovateľ je povinný oznamovať len podstatné zmeny. Za podstatnú zmenu sa považuje napríklad:</w:t>
      </w:r>
    </w:p>
    <w:p w:rsidR="00D27093" w:rsidRPr="0032099C" w:rsidRDefault="00D27093" w:rsidP="00D27093">
      <w:pPr>
        <w:jc w:val="both"/>
        <w:rPr>
          <w:rFonts w:eastAsiaTheme="minorHAnsi"/>
          <w:lang w:eastAsia="en-US"/>
        </w:rPr>
      </w:pPr>
      <w:r w:rsidRPr="0032099C">
        <w:rPr>
          <w:rFonts w:eastAsiaTheme="minorHAnsi"/>
          <w:lang w:eastAsia="en-US"/>
        </w:rPr>
        <w:t>a)</w:t>
      </w:r>
      <w:r w:rsidRPr="0032099C">
        <w:rPr>
          <w:rFonts w:eastAsiaTheme="minorHAnsi"/>
          <w:lang w:eastAsia="en-US"/>
        </w:rPr>
        <w:tab/>
        <w:t xml:space="preserve">zmena, ktorá má podstatný vplyv na už oznámené informácie, a to v spojitosti so zmenu osobitného platobného prostriedku (ide o zmenu takých informácií, ktoré v spojitosti s osobným platobným prostriedkom limitovaný poskytovateľ už oznámil Národnej banke Slovenska na základe prvého oznámenia), </w:t>
      </w:r>
    </w:p>
    <w:p w:rsidR="00D27093" w:rsidRPr="0032099C" w:rsidRDefault="00D27093" w:rsidP="00D27093">
      <w:pPr>
        <w:jc w:val="both"/>
        <w:rPr>
          <w:rFonts w:eastAsiaTheme="minorHAnsi"/>
          <w:lang w:eastAsia="en-US"/>
        </w:rPr>
      </w:pPr>
      <w:r w:rsidRPr="0032099C">
        <w:rPr>
          <w:rFonts w:eastAsiaTheme="minorHAnsi"/>
          <w:lang w:eastAsia="en-US"/>
        </w:rPr>
        <w:t>b)</w:t>
      </w:r>
      <w:r w:rsidRPr="0032099C">
        <w:rPr>
          <w:rFonts w:eastAsiaTheme="minorHAnsi"/>
          <w:lang w:eastAsia="en-US"/>
        </w:rPr>
        <w:tab/>
        <w:t>zámer limitovaného poskytovateľa zvýšiť počet poskytovateľov tovaru alebo služieb,</w:t>
      </w:r>
    </w:p>
    <w:p w:rsidR="00D27093" w:rsidRPr="0032099C" w:rsidRDefault="00D27093" w:rsidP="00D27093">
      <w:pPr>
        <w:jc w:val="both"/>
        <w:rPr>
          <w:rFonts w:eastAsiaTheme="minorHAnsi"/>
          <w:lang w:eastAsia="en-US"/>
        </w:rPr>
      </w:pPr>
      <w:r w:rsidRPr="0032099C">
        <w:rPr>
          <w:rFonts w:eastAsiaTheme="minorHAnsi"/>
          <w:lang w:eastAsia="en-US"/>
        </w:rPr>
        <w:t>c)</w:t>
      </w:r>
      <w:r w:rsidRPr="0032099C">
        <w:rPr>
          <w:rFonts w:eastAsiaTheme="minorHAnsi"/>
          <w:lang w:eastAsia="en-US"/>
        </w:rPr>
        <w:tab/>
        <w:t>zámer limitovaného poskytovateľa rozšíriť svoje pôsobenie aj v inom členskom štáte (napríklad ak limitovaný poskytovateľ pôsobil napríklad len v Trenčianskom kraji a má zámer pôsobiť aj v Bratislavskom kraji alebo limitovaný poskytovateľ pôsobil len na území Slovenskej republiky a má zámer pôsobiť aj v Českej republike),</w:t>
      </w:r>
    </w:p>
    <w:p w:rsidR="00D27093" w:rsidRPr="0032099C" w:rsidRDefault="00D27093" w:rsidP="00D27093">
      <w:pPr>
        <w:jc w:val="both"/>
        <w:rPr>
          <w:rFonts w:eastAsiaTheme="minorHAnsi"/>
          <w:lang w:eastAsia="en-US"/>
        </w:rPr>
      </w:pPr>
      <w:r w:rsidRPr="0032099C">
        <w:rPr>
          <w:rFonts w:eastAsiaTheme="minorHAnsi"/>
          <w:lang w:eastAsia="en-US"/>
        </w:rPr>
        <w:t>d)</w:t>
      </w:r>
      <w:r w:rsidRPr="0032099C">
        <w:rPr>
          <w:rFonts w:eastAsiaTheme="minorHAnsi"/>
          <w:lang w:eastAsia="en-US"/>
        </w:rPr>
        <w:tab/>
        <w:t>zámer limitovaného poskytovateľa poskytovať ďalší osobitný platobný prostriedok (napríklad ak limitovaný poskytovateľ používal osobitný platobný prostriedok kartu v hmotnej podobe a rozhodne sa používať aj virtuálnu kartu, mobilnú aplikáciu a pod.),</w:t>
      </w:r>
    </w:p>
    <w:p w:rsidR="00D27093" w:rsidRPr="0032099C" w:rsidRDefault="00D27093" w:rsidP="00D27093">
      <w:pPr>
        <w:jc w:val="both"/>
        <w:rPr>
          <w:rFonts w:eastAsiaTheme="minorHAnsi"/>
          <w:lang w:eastAsia="en-US"/>
        </w:rPr>
      </w:pPr>
      <w:r w:rsidRPr="0032099C">
        <w:rPr>
          <w:rFonts w:eastAsiaTheme="minorHAnsi"/>
          <w:lang w:eastAsia="en-US"/>
        </w:rPr>
        <w:t>e)</w:t>
      </w:r>
      <w:r w:rsidRPr="0032099C">
        <w:rPr>
          <w:rFonts w:eastAsiaTheme="minorHAnsi"/>
          <w:lang w:eastAsia="en-US"/>
        </w:rPr>
        <w:tab/>
        <w:t xml:space="preserve">zámer limitovaného poskytovateľa zmeniť sortiment tovarov alebo služieb (napríklad ak limitovaný poskytovateľ okrem doteraz poskytovaného sortimentu služieb viažuceho sa </w:t>
      </w:r>
      <w:r w:rsidRPr="0032099C">
        <w:rPr>
          <w:rFonts w:eastAsiaTheme="minorHAnsi"/>
          <w:lang w:eastAsia="en-US"/>
        </w:rPr>
        <w:lastRenderedPageBreak/>
        <w:t>k</w:t>
      </w:r>
      <w:r>
        <w:rPr>
          <w:rFonts w:eastAsiaTheme="minorHAnsi"/>
          <w:lang w:eastAsia="en-US"/>
        </w:rPr>
        <w:t> </w:t>
      </w:r>
      <w:r w:rsidRPr="0032099C">
        <w:rPr>
          <w:rFonts w:eastAsiaTheme="minorHAnsi"/>
          <w:lang w:eastAsia="en-US"/>
        </w:rPr>
        <w:t>dopravnej</w:t>
      </w:r>
      <w:r>
        <w:rPr>
          <w:rFonts w:eastAsiaTheme="minorHAnsi"/>
          <w:lang w:eastAsia="en-US"/>
        </w:rPr>
        <w:t xml:space="preserve"> </w:t>
      </w:r>
      <w:r w:rsidRPr="0032099C">
        <w:rPr>
          <w:rFonts w:eastAsiaTheme="minorHAnsi"/>
          <w:lang w:eastAsia="en-US"/>
        </w:rPr>
        <w:t>karte, ktorú je možné použiť výlučne na platbu cestovného (ako platobný prostriedok) a len v obmedzenej sieti má zámer poskytovať aj stravovacie služby a pod.).</w:t>
      </w:r>
    </w:p>
    <w:p w:rsidR="00D27093" w:rsidRPr="0032099C" w:rsidRDefault="00D27093" w:rsidP="00D27093">
      <w:pPr>
        <w:jc w:val="both"/>
        <w:rPr>
          <w:rFonts w:eastAsiaTheme="minorHAnsi"/>
          <w:lang w:eastAsia="en-US"/>
        </w:rPr>
      </w:pPr>
    </w:p>
    <w:p w:rsidR="00D27093" w:rsidRPr="0032099C" w:rsidRDefault="00D27093" w:rsidP="00D27093">
      <w:pPr>
        <w:keepNext/>
        <w:jc w:val="both"/>
        <w:rPr>
          <w:b/>
        </w:rPr>
      </w:pPr>
      <w:r w:rsidRPr="0032099C">
        <w:rPr>
          <w:b/>
        </w:rPr>
        <w:t>K bodu 16 [§ 79a ods. 2]</w:t>
      </w:r>
    </w:p>
    <w:p w:rsidR="00D27093" w:rsidRPr="0032099C" w:rsidRDefault="00D27093" w:rsidP="00D27093">
      <w:pPr>
        <w:keepNext/>
        <w:jc w:val="both"/>
      </w:pPr>
      <w:r w:rsidRPr="0032099C">
        <w:rPr>
          <w:rFonts w:eastAsiaTheme="minorHAnsi"/>
          <w:lang w:eastAsia="en-US"/>
        </w:rPr>
        <w:tab/>
        <w:t xml:space="preserve">Navrhuje sa spresnenie výšky základného imania pre poskytovateľov platobných služieb v obmedzenom rozsahu pre jednotlivé druhy platobných služieb. </w:t>
      </w:r>
      <w:r w:rsidRPr="0032099C">
        <w:t xml:space="preserve">Navrhovanou zmenou dochádza k zníženiu požiadavky na počiatočný kapitál na polovicu súčasného stavu. </w:t>
      </w:r>
      <w:r w:rsidRPr="00454637">
        <w:rPr>
          <w:rStyle w:val="Siln"/>
          <w:b w:val="0"/>
        </w:rPr>
        <w:t>Smernica Európskeho parlamentu a Rady (EÚ) 2015/2366 z 25. novembra 2015 o platobných službách na vnútornom trhu, ktorou sa menia smernice 2002/65/ES, 2009/110/ES a 2013/36/EÚ a nariadenie (EÚ) č. 1093/2010 a ktorou sa zrušuje smernica 2007/64/ES (Ú. v. EÚ L 337, 23.12.2015) v platnom znení</w:t>
      </w:r>
      <w:r w:rsidRPr="0032099C">
        <w:t xml:space="preserve"> síce umožňuje neuplatňovať túto požiadavku, takýto stav by však z </w:t>
      </w:r>
      <w:proofErr w:type="spellStart"/>
      <w:r w:rsidRPr="0032099C">
        <w:t>prudenciálneho</w:t>
      </w:r>
      <w:proofErr w:type="spellEnd"/>
      <w:r w:rsidRPr="0032099C">
        <w:t xml:space="preserve"> hľadiska nebol žiaduci a nebol by ani v súlade s aplikačnou praxou Národnej banky Slovenska.</w:t>
      </w:r>
    </w:p>
    <w:p w:rsidR="00D27093" w:rsidRPr="0032099C" w:rsidRDefault="00D27093" w:rsidP="00D27093">
      <w:pPr>
        <w:jc w:val="both"/>
        <w:rPr>
          <w:rFonts w:eastAsiaTheme="minorHAnsi"/>
          <w:lang w:eastAsia="en-US"/>
        </w:rPr>
      </w:pPr>
    </w:p>
    <w:p w:rsidR="00D27093" w:rsidRPr="0032099C" w:rsidRDefault="00D27093" w:rsidP="00D27093">
      <w:pPr>
        <w:keepNext/>
        <w:jc w:val="both"/>
        <w:rPr>
          <w:b/>
        </w:rPr>
      </w:pPr>
      <w:r w:rsidRPr="0032099C">
        <w:rPr>
          <w:b/>
        </w:rPr>
        <w:t>K bodu 19 [§ 79b ods. 8]</w:t>
      </w:r>
    </w:p>
    <w:p w:rsidR="00D27093" w:rsidRPr="0032099C" w:rsidRDefault="00D27093" w:rsidP="00D27093">
      <w:pPr>
        <w:keepNext/>
        <w:jc w:val="both"/>
        <w:rPr>
          <w:b/>
        </w:rPr>
      </w:pPr>
      <w:r w:rsidRPr="0032099C">
        <w:rPr>
          <w:rFonts w:eastAsiaTheme="minorHAnsi"/>
          <w:lang w:eastAsia="en-US"/>
        </w:rPr>
        <w:tab/>
        <w:t>Na základe aplikačnej praxe sa spresňuje aplikácia predchádzajúceho súhlasu pre poskytovateľa platobnej služby informovania o platobnom účte.</w:t>
      </w:r>
    </w:p>
    <w:p w:rsidR="00D27093" w:rsidRPr="0032099C" w:rsidRDefault="00D27093" w:rsidP="00D27093">
      <w:pPr>
        <w:keepNext/>
        <w:jc w:val="both"/>
        <w:rPr>
          <w:b/>
        </w:rPr>
      </w:pPr>
    </w:p>
    <w:p w:rsidR="00D27093" w:rsidRPr="0032099C" w:rsidRDefault="00D27093" w:rsidP="00D27093">
      <w:pPr>
        <w:keepNext/>
        <w:jc w:val="both"/>
        <w:rPr>
          <w:b/>
        </w:rPr>
      </w:pPr>
      <w:r w:rsidRPr="0032099C">
        <w:rPr>
          <w:b/>
        </w:rPr>
        <w:t>K bodu 28 [§ 87 ods. 2]</w:t>
      </w:r>
    </w:p>
    <w:p w:rsidR="00D27093" w:rsidRPr="0032099C" w:rsidRDefault="00D27093" w:rsidP="00D27093">
      <w:pPr>
        <w:keepNext/>
        <w:jc w:val="both"/>
        <w:rPr>
          <w:rFonts w:eastAsiaTheme="minorHAnsi"/>
          <w:lang w:eastAsia="en-US"/>
        </w:rPr>
      </w:pPr>
      <w:r w:rsidRPr="0032099C">
        <w:rPr>
          <w:rFonts w:eastAsiaTheme="minorHAnsi"/>
          <w:lang w:eastAsia="en-US"/>
        </w:rPr>
        <w:tab/>
        <w:t xml:space="preserve">Navrhuje sa spresnenie výšky základného imania pre inštitúciu elektronických peňazí v obmedzenom rozsahu. </w:t>
      </w:r>
      <w:r w:rsidRPr="0032099C">
        <w:t xml:space="preserve">Navrhovanou zmenou dochádza k zníženiu požiadavky na počiatočný kapitál na polovicu súčasného stavu. </w:t>
      </w:r>
      <w:r w:rsidRPr="00454637">
        <w:rPr>
          <w:rStyle w:val="Siln"/>
          <w:b w:val="0"/>
        </w:rPr>
        <w:t>Smernica Európskeho parlamentu a Rady 2009/110/ES zo 16. septembra 2009 o začatí a vykonávaní činností a dohľade nad obozretným podnikaním inštitúcií elektronického peňažníctva, ktorou sa menia a dopĺňajú smernice 2005/60/ES a</w:t>
      </w:r>
      <w:r w:rsidRPr="00454637">
        <w:rPr>
          <w:b/>
        </w:rPr>
        <w:t> </w:t>
      </w:r>
      <w:r w:rsidRPr="00454637">
        <w:rPr>
          <w:rStyle w:val="Siln"/>
          <w:b w:val="0"/>
        </w:rPr>
        <w:t>2006/48/ES a zrušuje smernica 2000/46/ES (Ú. v. EÚ L 267, 10.10.2009) v platnom znení</w:t>
      </w:r>
      <w:r w:rsidRPr="0032099C">
        <w:t xml:space="preserve"> síce umožňuje neuplatňovať túto požiadavku, takýto stav by však z </w:t>
      </w:r>
      <w:proofErr w:type="spellStart"/>
      <w:r w:rsidRPr="0032099C">
        <w:t>prudenciálneho</w:t>
      </w:r>
      <w:proofErr w:type="spellEnd"/>
      <w:r w:rsidRPr="0032099C">
        <w:t xml:space="preserve"> hľadiska nebol žiaduci a nebol by ani v súlade s aplikačnou praxou Národnej banky Slovenska.</w:t>
      </w:r>
    </w:p>
    <w:p w:rsidR="00D27093" w:rsidRPr="0032099C" w:rsidRDefault="00D27093" w:rsidP="00D27093">
      <w:pPr>
        <w:jc w:val="both"/>
        <w:rPr>
          <w:rFonts w:eastAsiaTheme="minorHAnsi"/>
          <w:lang w:eastAsia="en-US"/>
        </w:rPr>
      </w:pPr>
    </w:p>
    <w:p w:rsidR="00D27093" w:rsidRPr="0032099C" w:rsidRDefault="00D27093" w:rsidP="00D27093">
      <w:pPr>
        <w:jc w:val="both"/>
        <w:rPr>
          <w:b/>
        </w:rPr>
      </w:pPr>
      <w:r w:rsidRPr="0032099C">
        <w:rPr>
          <w:b/>
        </w:rPr>
        <w:t>K bodu 29 [§ 96 ods. 2 písm. b)]</w:t>
      </w:r>
    </w:p>
    <w:p w:rsidR="00D27093" w:rsidRPr="0032099C" w:rsidRDefault="00D27093" w:rsidP="00D27093">
      <w:pPr>
        <w:jc w:val="both"/>
        <w:rPr>
          <w:rFonts w:eastAsiaTheme="minorHAnsi"/>
          <w:lang w:eastAsia="en-US"/>
        </w:rPr>
      </w:pPr>
      <w:r w:rsidRPr="0032099C">
        <w:rPr>
          <w:rFonts w:eastAsiaTheme="minorHAnsi"/>
          <w:lang w:eastAsia="en-US"/>
        </w:rPr>
        <w:tab/>
        <w:t>Navrhuje sa doplnenie splnomocňovacieho ustanovenia o poskytovateľov platobných služieb podľa § 79a  a § 79b.</w:t>
      </w:r>
    </w:p>
    <w:p w:rsidR="00D27093" w:rsidRPr="0032099C" w:rsidRDefault="00D27093" w:rsidP="00D27093">
      <w:pPr>
        <w:jc w:val="both"/>
        <w:rPr>
          <w:rFonts w:eastAsiaTheme="minorHAnsi"/>
          <w:lang w:eastAsia="en-US"/>
        </w:rPr>
      </w:pPr>
    </w:p>
    <w:p w:rsidR="00D27093" w:rsidRPr="0032099C" w:rsidRDefault="00D27093" w:rsidP="00D27093">
      <w:pPr>
        <w:jc w:val="both"/>
        <w:rPr>
          <w:b/>
        </w:rPr>
      </w:pPr>
      <w:r w:rsidRPr="0032099C">
        <w:rPr>
          <w:b/>
        </w:rPr>
        <w:t>K bodom 38 [§ 97b ods. 1 a 2]</w:t>
      </w:r>
    </w:p>
    <w:p w:rsidR="00D27093" w:rsidRPr="0032099C" w:rsidRDefault="00D27093" w:rsidP="00D27093">
      <w:pPr>
        <w:jc w:val="both"/>
        <w:rPr>
          <w:rFonts w:eastAsiaTheme="minorHAnsi"/>
          <w:lang w:eastAsia="en-US"/>
        </w:rPr>
      </w:pPr>
      <w:r w:rsidRPr="0032099C">
        <w:rPr>
          <w:rFonts w:eastAsiaTheme="minorHAnsi"/>
          <w:lang w:eastAsia="en-US"/>
        </w:rPr>
        <w:tab/>
        <w:t>Navrhovanou zmenou v § 97b ods. 1 sa spresňuje termín predkladania overenia štatutárneho audítora s cieľom zabezpečiť jeho jednotné predkladanie. V § 97b ods. 2 ide o</w:t>
      </w:r>
      <w:r>
        <w:rPr>
          <w:rFonts w:eastAsiaTheme="minorHAnsi"/>
          <w:lang w:eastAsia="en-US"/>
        </w:rPr>
        <w:t> </w:t>
      </w:r>
      <w:r w:rsidRPr="0032099C">
        <w:rPr>
          <w:rFonts w:eastAsiaTheme="minorHAnsi"/>
          <w:lang w:eastAsia="en-US"/>
        </w:rPr>
        <w:t>legislatívno-technickú zmenu, ktorá súvisí so zmenou v § 97a ods. 2. Národná banka Slovenska ustanoví formulár oznámenia pre poskytovateľov elektronických komunikačných sietí, kde sa uvedú aj identifikačné údaje.</w:t>
      </w:r>
    </w:p>
    <w:p w:rsidR="00D27093" w:rsidRPr="0032099C" w:rsidRDefault="00D27093" w:rsidP="00D27093">
      <w:pPr>
        <w:jc w:val="both"/>
        <w:rPr>
          <w:rFonts w:eastAsiaTheme="minorHAnsi"/>
          <w:lang w:eastAsia="en-US"/>
        </w:rPr>
      </w:pPr>
    </w:p>
    <w:p w:rsidR="00D27093" w:rsidRPr="0032099C" w:rsidRDefault="00D27093" w:rsidP="00D27093">
      <w:pPr>
        <w:jc w:val="both"/>
        <w:rPr>
          <w:b/>
        </w:rPr>
      </w:pPr>
      <w:r w:rsidRPr="0032099C">
        <w:rPr>
          <w:b/>
        </w:rPr>
        <w:t>K bodu 39 [§ 97c]</w:t>
      </w:r>
    </w:p>
    <w:p w:rsidR="00D27093" w:rsidRPr="0032099C" w:rsidRDefault="00D27093" w:rsidP="00D27093">
      <w:pPr>
        <w:jc w:val="both"/>
      </w:pPr>
      <w:r w:rsidRPr="0032099C">
        <w:rPr>
          <w:rFonts w:eastAsiaTheme="minorHAnsi"/>
          <w:lang w:eastAsia="en-US"/>
        </w:rPr>
        <w:tab/>
        <w:t xml:space="preserve">Navrhovanou úpravou sa ustanovujú oznamovacie povinnosti pre existujúce strany ponúkajúce službu menovej konverzie v bankomate alebo na mieste predaja ako aj pre tie strany, ktoré len začnú takého služby poskytovať. Oznamovacie povinnosti podľa § 97c sa nevzťahujú na poskytovateľa platobných služieb ponúkajúceho službu menovej konverzie, ktorý je dohliadaný Národnou bankou Slovenska. Zároveň sa požaduje od strany ponúkajúcej služby menovej konverzie v bankomate alebo na mieste predaja poskytovať Národnej banke Slovenska podklady a informácie o splnení si informačnej povinnosti. Národná banka Slovenska na účely jednotného predkladania oznámení, ako aj na účely predkladania podkladov a informácii zverejní na svojom webom sídle elektronický formulár. Navrhovanou úpravou v odseku 3 sa Národnej banke Slovenska umožňuje sankcionovať stranu ponúkajúcu služby </w:t>
      </w:r>
      <w:r w:rsidRPr="0032099C">
        <w:rPr>
          <w:rFonts w:eastAsiaTheme="minorHAnsi"/>
          <w:lang w:eastAsia="en-US"/>
        </w:rPr>
        <w:lastRenderedPageBreak/>
        <w:t>menovej konverzie v bankomate alebo v mieste predaja (článok 12 nariadenia (EÚ) 2021/1230) v prípade nedodržania povinnosti, ktoré jej vyplývajú z toho zákona ako aj z nariadenia.</w:t>
      </w:r>
    </w:p>
    <w:p w:rsidR="00D27093" w:rsidRPr="0032099C" w:rsidRDefault="00D27093" w:rsidP="00D27093">
      <w:pPr>
        <w:keepNext/>
        <w:jc w:val="center"/>
      </w:pPr>
    </w:p>
    <w:p w:rsidR="00D27093" w:rsidRPr="0032099C" w:rsidRDefault="00D27093" w:rsidP="00D27093">
      <w:pPr>
        <w:jc w:val="both"/>
      </w:pPr>
    </w:p>
    <w:p w:rsidR="00D27093" w:rsidRPr="0032099C" w:rsidRDefault="00D27093" w:rsidP="00D27093">
      <w:pPr>
        <w:jc w:val="both"/>
      </w:pPr>
    </w:p>
    <w:p w:rsidR="00D27093" w:rsidRPr="0032099C" w:rsidRDefault="00D27093" w:rsidP="00D27093">
      <w:pPr>
        <w:keepNext/>
        <w:jc w:val="center"/>
        <w:rPr>
          <w:b/>
        </w:rPr>
      </w:pPr>
      <w:r w:rsidRPr="0032099C">
        <w:rPr>
          <w:b/>
        </w:rPr>
        <w:t>K čl. XIII</w:t>
      </w:r>
    </w:p>
    <w:p w:rsidR="00D27093" w:rsidRPr="0032099C" w:rsidRDefault="00D27093" w:rsidP="00D27093">
      <w:pPr>
        <w:jc w:val="both"/>
      </w:pPr>
    </w:p>
    <w:p w:rsidR="00D27093" w:rsidRPr="000D08FD" w:rsidRDefault="00D27093" w:rsidP="00D27093">
      <w:pPr>
        <w:jc w:val="both"/>
      </w:pPr>
      <w:r w:rsidRPr="0032099C">
        <w:tab/>
        <w:t>Článok 149 nariadenia MiCA vyžaduje, aby ustanovenia, ktoré sa súvisia s implementáciou hlavy III a IV tohto nariadenia, nadobudli účinnosť 30. júna 2024. Vzhľadom na harmonogram schôdzí Národnej rady Slovenskej republiky to nie je možné, preto sa upravuje účinnosť návrhu zákona tak, že tieto ustanovenia spolu s ustanoveniami, ktoré spresňujú transpozíciu smerníc v oblasti bankovníctva a platobných služieb, nadobudnú účinnosť 15. októbra  2024. Zvyšné ustanovenia návrhu zákona, ktoré implementujú ostatné články nariadenia MiCA vrátane čl. 146 novelizujúceho smernicu CRD, nadobudnú účinnosť 30. decembra 2024. Vzhľadom na to, že novou definíciou kryptoaktíva sa značne rozšíri rozsah uplatnenia ustanovení aj na iné podskupiny kryptoaktív ako je virtuálna mena, pri čl. VI a VII, ktoré obsahujú novelizácie zákona o účtovníctve a zákona o dani z príjmov, sa navrhuje účinnosť od 1. januára 2025.</w:t>
      </w:r>
    </w:p>
    <w:p w:rsidR="00D27093" w:rsidRDefault="00D27093" w:rsidP="00D27093">
      <w:pPr>
        <w:jc w:val="both"/>
      </w:pPr>
    </w:p>
    <w:p w:rsidR="00454637" w:rsidRPr="000D08FD" w:rsidRDefault="00454637" w:rsidP="00D27093">
      <w:pPr>
        <w:jc w:val="both"/>
      </w:pPr>
    </w:p>
    <w:p w:rsidR="00D27093" w:rsidRDefault="00D27093" w:rsidP="00924A00"/>
    <w:p w:rsidR="00454637" w:rsidRDefault="0021074D" w:rsidP="00924A00">
      <w:r>
        <w:t>V</w:t>
      </w:r>
      <w:r w:rsidR="004F40A7">
        <w:t> </w:t>
      </w:r>
      <w:r>
        <w:t>Bratislave</w:t>
      </w:r>
      <w:r w:rsidR="004F40A7">
        <w:t xml:space="preserve"> dňa</w:t>
      </w:r>
      <w:r w:rsidR="00C94F37">
        <w:t xml:space="preserve"> </w:t>
      </w:r>
      <w:r w:rsidR="00454637">
        <w:t>2. mája 2024</w:t>
      </w:r>
    </w:p>
    <w:p w:rsidR="00454637" w:rsidRDefault="00454637" w:rsidP="00924A00"/>
    <w:p w:rsidR="00454637" w:rsidRDefault="00454637" w:rsidP="00454637">
      <w:pPr>
        <w:jc w:val="center"/>
      </w:pPr>
    </w:p>
    <w:p w:rsidR="00454637" w:rsidRDefault="00454637" w:rsidP="00454637">
      <w:pPr>
        <w:jc w:val="center"/>
      </w:pPr>
    </w:p>
    <w:p w:rsidR="00454637" w:rsidRDefault="00454637" w:rsidP="00454637">
      <w:pPr>
        <w:jc w:val="center"/>
      </w:pPr>
    </w:p>
    <w:p w:rsidR="00454637" w:rsidRDefault="00454637" w:rsidP="00454637">
      <w:pPr>
        <w:jc w:val="center"/>
      </w:pPr>
    </w:p>
    <w:p w:rsidR="00454637" w:rsidRDefault="00454637" w:rsidP="00454637">
      <w:pPr>
        <w:jc w:val="center"/>
      </w:pPr>
    </w:p>
    <w:p w:rsidR="00C94F37" w:rsidRDefault="00C94F37" w:rsidP="00454637">
      <w:pPr>
        <w:jc w:val="center"/>
      </w:pPr>
    </w:p>
    <w:p w:rsidR="00C94F37" w:rsidRDefault="00C94F37" w:rsidP="00454637">
      <w:pPr>
        <w:jc w:val="center"/>
      </w:pPr>
    </w:p>
    <w:p w:rsidR="00454637" w:rsidRDefault="00454637" w:rsidP="00454637">
      <w:pPr>
        <w:jc w:val="center"/>
      </w:pPr>
    </w:p>
    <w:p w:rsidR="00454637" w:rsidRDefault="00454637" w:rsidP="00454637">
      <w:pPr>
        <w:jc w:val="center"/>
        <w:rPr>
          <w:b/>
        </w:rPr>
      </w:pPr>
      <w:r>
        <w:rPr>
          <w:b/>
        </w:rPr>
        <w:t>Robert  F i c o   v. r.</w:t>
      </w:r>
    </w:p>
    <w:p w:rsidR="00454637" w:rsidRDefault="00454637" w:rsidP="00454637">
      <w:pPr>
        <w:jc w:val="center"/>
      </w:pPr>
      <w:r>
        <w:t>predseda vlády Slovenskej republiky</w:t>
      </w:r>
    </w:p>
    <w:p w:rsidR="00454637" w:rsidRDefault="00454637" w:rsidP="00454637">
      <w:pPr>
        <w:jc w:val="center"/>
      </w:pPr>
    </w:p>
    <w:p w:rsidR="00454637" w:rsidRDefault="00454637" w:rsidP="00454637">
      <w:pPr>
        <w:jc w:val="center"/>
      </w:pPr>
    </w:p>
    <w:p w:rsidR="00454637" w:rsidRDefault="00454637" w:rsidP="00454637">
      <w:pPr>
        <w:jc w:val="center"/>
      </w:pPr>
    </w:p>
    <w:p w:rsidR="00454637" w:rsidRDefault="00454637" w:rsidP="00454637">
      <w:pPr>
        <w:jc w:val="center"/>
      </w:pPr>
    </w:p>
    <w:p w:rsidR="00454637" w:rsidRDefault="00454637" w:rsidP="00454637">
      <w:pPr>
        <w:jc w:val="center"/>
      </w:pPr>
    </w:p>
    <w:p w:rsidR="00454637" w:rsidRDefault="00454637" w:rsidP="00454637">
      <w:pPr>
        <w:jc w:val="center"/>
      </w:pPr>
    </w:p>
    <w:p w:rsidR="00C94F37" w:rsidRDefault="00C94F37" w:rsidP="00454637">
      <w:pPr>
        <w:jc w:val="center"/>
      </w:pPr>
    </w:p>
    <w:p w:rsidR="00454637" w:rsidRDefault="00454637" w:rsidP="00454637">
      <w:pPr>
        <w:jc w:val="center"/>
      </w:pPr>
    </w:p>
    <w:p w:rsidR="00454637" w:rsidRPr="00AE748E" w:rsidRDefault="00454637" w:rsidP="00454637">
      <w:pPr>
        <w:jc w:val="center"/>
        <w:rPr>
          <w:b/>
        </w:rPr>
      </w:pPr>
      <w:r>
        <w:rPr>
          <w:b/>
        </w:rPr>
        <w:t>Ladislav</w:t>
      </w:r>
      <w:r w:rsidRPr="00AE748E">
        <w:rPr>
          <w:b/>
        </w:rPr>
        <w:t xml:space="preserve">  </w:t>
      </w:r>
      <w:r>
        <w:rPr>
          <w:b/>
        </w:rPr>
        <w:t>K</w:t>
      </w:r>
      <w:r w:rsidRPr="00AE748E">
        <w:rPr>
          <w:b/>
        </w:rPr>
        <w:t> </w:t>
      </w:r>
      <w:r>
        <w:rPr>
          <w:b/>
        </w:rPr>
        <w:t>a</w:t>
      </w:r>
      <w:r w:rsidRPr="00AE748E">
        <w:rPr>
          <w:b/>
        </w:rPr>
        <w:t> </w:t>
      </w:r>
      <w:r>
        <w:rPr>
          <w:b/>
        </w:rPr>
        <w:t>m</w:t>
      </w:r>
      <w:r w:rsidRPr="00AE748E">
        <w:rPr>
          <w:b/>
        </w:rPr>
        <w:t> e </w:t>
      </w:r>
      <w:r>
        <w:rPr>
          <w:b/>
        </w:rPr>
        <w:t>n i c k ý</w:t>
      </w:r>
      <w:r w:rsidRPr="00AE748E">
        <w:rPr>
          <w:b/>
        </w:rPr>
        <w:t xml:space="preserve"> </w:t>
      </w:r>
      <w:r>
        <w:rPr>
          <w:b/>
        </w:rPr>
        <w:t xml:space="preserve"> </w:t>
      </w:r>
      <w:r w:rsidRPr="00AE748E">
        <w:rPr>
          <w:b/>
        </w:rPr>
        <w:t xml:space="preserve"> v. r.</w:t>
      </w:r>
    </w:p>
    <w:p w:rsidR="00454637" w:rsidRDefault="00454637" w:rsidP="00454637">
      <w:pPr>
        <w:jc w:val="center"/>
      </w:pPr>
      <w:r>
        <w:t>minister financií Slovenskej republiky</w:t>
      </w:r>
    </w:p>
    <w:p w:rsidR="00454637" w:rsidRDefault="00454637" w:rsidP="00924A00"/>
    <w:p w:rsidR="00924A00" w:rsidRPr="00924A00" w:rsidRDefault="00924A00" w:rsidP="00924A00"/>
    <w:sectPr w:rsidR="00924A00" w:rsidRPr="00924A00">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478" w:rsidRDefault="00BA2478" w:rsidP="00E26C1C">
      <w:r>
        <w:separator/>
      </w:r>
    </w:p>
  </w:endnote>
  <w:endnote w:type="continuationSeparator" w:id="0">
    <w:p w:rsidR="00BA2478" w:rsidRDefault="00BA2478" w:rsidP="00E2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EU Albertina">
    <w:altName w:val="Times New Roman"/>
    <w:charset w:val="EE"/>
    <w:family w:val="roman"/>
    <w:pitch w:val="default"/>
    <w:sig w:usb0="00000000"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093" w:rsidRDefault="00D2709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D27093" w:rsidRDefault="00D2709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093" w:rsidRDefault="00D27093" w:rsidP="00D27093">
    <w:pPr>
      <w:pStyle w:val="Pta"/>
      <w:jc w:val="right"/>
    </w:pPr>
    <w:r>
      <w:fldChar w:fldCharType="begin"/>
    </w:r>
    <w:r>
      <w:instrText>PAGE   \* MERGEFORMAT</w:instrText>
    </w:r>
    <w:r>
      <w:fldChar w:fldCharType="separate"/>
    </w:r>
    <w:r w:rsidR="00AD2A6D">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093" w:rsidRDefault="00D27093">
    <w:pPr>
      <w:pStyle w:val="Pta"/>
      <w:jc w:val="right"/>
    </w:pPr>
    <w:r>
      <w:fldChar w:fldCharType="begin"/>
    </w:r>
    <w:r>
      <w:instrText>PAGE   \* MERGEFORMAT</w:instrText>
    </w:r>
    <w:r>
      <w:fldChar w:fldCharType="separate"/>
    </w:r>
    <w:r>
      <w:rPr>
        <w:noProof/>
      </w:rPr>
      <w:t>0</w:t>
    </w:r>
    <w:r>
      <w:fldChar w:fldCharType="end"/>
    </w:r>
  </w:p>
  <w:p w:rsidR="00D27093" w:rsidRDefault="00D2709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sdtContent>
      <w:p w:rsidR="00D27093" w:rsidRPr="00331B20" w:rsidRDefault="00D27093" w:rsidP="00D27093">
        <w:pPr>
          <w:pStyle w:val="Pta"/>
          <w:jc w:val="right"/>
        </w:pPr>
        <w:r w:rsidRPr="006045CB">
          <w:fldChar w:fldCharType="begin"/>
        </w:r>
        <w:r w:rsidRPr="006045CB">
          <w:instrText>PAGE   \* MERGEFORMAT</w:instrText>
        </w:r>
        <w:r w:rsidRPr="006045CB">
          <w:fldChar w:fldCharType="separate"/>
        </w:r>
        <w:r w:rsidR="00AD2A6D">
          <w:rPr>
            <w:noProof/>
          </w:rPr>
          <w:t>21</w:t>
        </w:r>
        <w:r w:rsidRPr="006045CB">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905040"/>
      <w:docPartObj>
        <w:docPartGallery w:val="Page Numbers (Bottom of Page)"/>
        <w:docPartUnique/>
      </w:docPartObj>
    </w:sdtPr>
    <w:sdtEndPr>
      <w:rPr>
        <w:sz w:val="22"/>
        <w:szCs w:val="22"/>
      </w:rPr>
    </w:sdtEndPr>
    <w:sdtContent>
      <w:p w:rsidR="00D27093" w:rsidRPr="00E26C1C" w:rsidRDefault="00D27093" w:rsidP="00E26C1C">
        <w:pPr>
          <w:pStyle w:val="Pta"/>
          <w:jc w:val="right"/>
          <w:rPr>
            <w:sz w:val="22"/>
            <w:szCs w:val="22"/>
          </w:rPr>
        </w:pPr>
        <w:r w:rsidRPr="00E26C1C">
          <w:rPr>
            <w:sz w:val="22"/>
            <w:szCs w:val="22"/>
          </w:rPr>
          <w:fldChar w:fldCharType="begin"/>
        </w:r>
        <w:r w:rsidRPr="00E26C1C">
          <w:rPr>
            <w:sz w:val="22"/>
            <w:szCs w:val="22"/>
          </w:rPr>
          <w:instrText>PAGE   \* MERGEFORMAT</w:instrText>
        </w:r>
        <w:r w:rsidRPr="00E26C1C">
          <w:rPr>
            <w:sz w:val="22"/>
            <w:szCs w:val="22"/>
          </w:rPr>
          <w:fldChar w:fldCharType="separate"/>
        </w:r>
        <w:r w:rsidR="00AD2A6D">
          <w:rPr>
            <w:noProof/>
            <w:sz w:val="22"/>
            <w:szCs w:val="22"/>
          </w:rPr>
          <w:t>29</w:t>
        </w:r>
        <w:r w:rsidRPr="00E26C1C">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478" w:rsidRDefault="00BA2478" w:rsidP="00E26C1C">
      <w:r>
        <w:separator/>
      </w:r>
    </w:p>
  </w:footnote>
  <w:footnote w:type="continuationSeparator" w:id="0">
    <w:p w:rsidR="00BA2478" w:rsidRDefault="00BA2478" w:rsidP="00E26C1C">
      <w:r>
        <w:continuationSeparator/>
      </w:r>
    </w:p>
  </w:footnote>
  <w:footnote w:id="1">
    <w:p w:rsidR="00D27093" w:rsidRPr="000A6B7F" w:rsidRDefault="00D27093" w:rsidP="00D27093">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rsidR="00D27093" w:rsidRDefault="00D27093" w:rsidP="00D27093">
      <w:pPr>
        <w:pStyle w:val="Textpoznmkypodiarou"/>
        <w:jc w:val="both"/>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093" w:rsidRDefault="00D27093" w:rsidP="00D27093">
    <w:pPr>
      <w:pStyle w:val="Hlavika"/>
      <w:jc w:val="right"/>
    </w:pPr>
    <w:r>
      <w:t>Príloha č. 2</w:t>
    </w:r>
  </w:p>
  <w:p w:rsidR="00D27093" w:rsidRPr="00EB59C8" w:rsidRDefault="00D27093" w:rsidP="00D27093">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093" w:rsidRPr="000A15AE" w:rsidRDefault="00D27093" w:rsidP="00D27093">
    <w:pPr>
      <w:pStyle w:val="Hlavika"/>
      <w:jc w:val="right"/>
    </w:pPr>
    <w: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093" w:rsidRPr="00331B20" w:rsidRDefault="00D27093" w:rsidP="00D27093">
    <w:pPr>
      <w:tabs>
        <w:tab w:val="center" w:pos="4536"/>
        <w:tab w:val="right" w:pos="9072"/>
      </w:tabs>
      <w:jc w:val="right"/>
      <w:rPr>
        <w:lang w:eastAsia="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B394355"/>
    <w:multiLevelType w:val="hybridMultilevel"/>
    <w:tmpl w:val="EC4EFE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C636CC"/>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2E2459"/>
    <w:multiLevelType w:val="hybridMultilevel"/>
    <w:tmpl w:val="F5A8BEFA"/>
    <w:lvl w:ilvl="0" w:tplc="F67EDB0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0D8109A"/>
    <w:multiLevelType w:val="hybridMultilevel"/>
    <w:tmpl w:val="66BE25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5356F0"/>
    <w:multiLevelType w:val="hybridMultilevel"/>
    <w:tmpl w:val="9768E7AC"/>
    <w:lvl w:ilvl="0" w:tplc="93D0F55A">
      <w:start w:val="1"/>
      <w:numFmt w:val="decimal"/>
      <w:lvlText w:val="(%1)"/>
      <w:lvlJc w:val="left"/>
      <w:pPr>
        <w:ind w:left="930" w:hanging="570"/>
      </w:pPr>
      <w:rPr>
        <w:rFonts w:hint="default"/>
      </w:rPr>
    </w:lvl>
    <w:lvl w:ilvl="1" w:tplc="041B0017">
      <w:start w:val="1"/>
      <w:numFmt w:val="lowerLetter"/>
      <w:lvlText w:val="%2)"/>
      <w:lvlJc w:val="left"/>
      <w:pPr>
        <w:ind w:left="1211"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98A188A"/>
    <w:multiLevelType w:val="hybridMultilevel"/>
    <w:tmpl w:val="5B8A1C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BBF4013"/>
    <w:multiLevelType w:val="hybridMultilevel"/>
    <w:tmpl w:val="AC06CEDA"/>
    <w:lvl w:ilvl="0" w:tplc="9D9271CE">
      <w:start w:val="4"/>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D6B371E"/>
    <w:multiLevelType w:val="hybridMultilevel"/>
    <w:tmpl w:val="F81CF9E0"/>
    <w:lvl w:ilvl="0" w:tplc="50B0EA74">
      <w:start w:val="19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8BB3CB8"/>
    <w:multiLevelType w:val="hybridMultilevel"/>
    <w:tmpl w:val="2D38434A"/>
    <w:lvl w:ilvl="0" w:tplc="9D9271CE">
      <w:start w:val="4"/>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3E512E5"/>
    <w:multiLevelType w:val="hybridMultilevel"/>
    <w:tmpl w:val="041026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5"/>
  </w:num>
  <w:num w:numId="2">
    <w:abstractNumId w:val="14"/>
  </w:num>
  <w:num w:numId="3">
    <w:abstractNumId w:val="10"/>
  </w:num>
  <w:num w:numId="4">
    <w:abstractNumId w:val="12"/>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4"/>
  </w:num>
  <w:num w:numId="10">
    <w:abstractNumId w:val="3"/>
  </w:num>
  <w:num w:numId="11">
    <w:abstractNumId w:val="0"/>
  </w:num>
  <w:num w:numId="12">
    <w:abstractNumId w:val="9"/>
  </w:num>
  <w:num w:numId="13">
    <w:abstractNumId w:val="2"/>
  </w:num>
  <w:num w:numId="14">
    <w:abstractNumId w:val="6"/>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00"/>
    <w:rsid w:val="00042EA5"/>
    <w:rsid w:val="001F1DCE"/>
    <w:rsid w:val="0021074D"/>
    <w:rsid w:val="00304621"/>
    <w:rsid w:val="003C06AB"/>
    <w:rsid w:val="00454637"/>
    <w:rsid w:val="004F40A7"/>
    <w:rsid w:val="00545431"/>
    <w:rsid w:val="005D109E"/>
    <w:rsid w:val="007E2FEC"/>
    <w:rsid w:val="00924A00"/>
    <w:rsid w:val="00A22F38"/>
    <w:rsid w:val="00AD2A6D"/>
    <w:rsid w:val="00BA2478"/>
    <w:rsid w:val="00BE2BA2"/>
    <w:rsid w:val="00C35F19"/>
    <w:rsid w:val="00C94F37"/>
    <w:rsid w:val="00D27093"/>
    <w:rsid w:val="00E26C1C"/>
    <w:rsid w:val="00E42AEB"/>
    <w:rsid w:val="00F75016"/>
    <w:rsid w:val="00FA0E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B5EA"/>
  <w15:chartTrackingRefBased/>
  <w15:docId w15:val="{931FEA08-99A6-45BD-8299-1DD4A3EB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C1C"/>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tavec cíl se seznamem,Odstavec se seznamem1,body,Odsek zoznamu2"/>
    <w:basedOn w:val="Normlny"/>
    <w:link w:val="OdsekzoznamuChar"/>
    <w:uiPriority w:val="34"/>
    <w:qFormat/>
    <w:rsid w:val="00E26C1C"/>
    <w:pPr>
      <w:ind w:left="720"/>
      <w:contextualSpacing/>
    </w:pPr>
  </w:style>
  <w:style w:type="character" w:customStyle="1" w:styleId="OdsekzoznamuChar">
    <w:name w:val="Odsek zoznamu Char"/>
    <w:aliases w:val="Odstavec cíl se seznamem Char,Odstavec se seznamem1 Char,body Char,Odsek zoznamu2 Char"/>
    <w:basedOn w:val="Predvolenpsmoodseku"/>
    <w:link w:val="Odsekzoznamu"/>
    <w:uiPriority w:val="34"/>
    <w:locked/>
    <w:rsid w:val="00E26C1C"/>
    <w:rPr>
      <w:rFonts w:ascii="Times New Roman" w:eastAsia="Times New Roman" w:hAnsi="Times New Roman" w:cs="Times New Roman"/>
      <w:sz w:val="24"/>
      <w:szCs w:val="24"/>
      <w:lang w:eastAsia="cs-CZ"/>
    </w:rPr>
  </w:style>
  <w:style w:type="table" w:customStyle="1" w:styleId="Mriekatabuky1">
    <w:name w:val="Mriežka tabuľky1"/>
    <w:basedOn w:val="Normlnatabuka"/>
    <w:next w:val="Mriekatabuky"/>
    <w:uiPriority w:val="59"/>
    <w:rsid w:val="00E26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C1C"/>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Predvolenpsmoodseku"/>
    <w:uiPriority w:val="99"/>
    <w:qFormat/>
    <w:rsid w:val="00E26C1C"/>
    <w:rPr>
      <w:rFonts w:cs="Times New Roman"/>
      <w:b/>
      <w:bCs/>
    </w:rPr>
  </w:style>
  <w:style w:type="character" w:styleId="Hypertextovprepojenie">
    <w:name w:val="Hyperlink"/>
    <w:basedOn w:val="Predvolenpsmoodseku"/>
    <w:uiPriority w:val="99"/>
    <w:unhideWhenUsed/>
    <w:rsid w:val="00E26C1C"/>
    <w:rPr>
      <w:rFonts w:cs="Times New Roman"/>
      <w:color w:val="0563C1" w:themeColor="hyperlink"/>
      <w:u w:val="single"/>
    </w:rPr>
  </w:style>
  <w:style w:type="paragraph" w:customStyle="1" w:styleId="CM1">
    <w:name w:val="CM1"/>
    <w:basedOn w:val="Default"/>
    <w:next w:val="Default"/>
    <w:uiPriority w:val="99"/>
    <w:rsid w:val="00E26C1C"/>
    <w:rPr>
      <w:rFonts w:ascii="EU Albertina" w:hAnsi="EU Albertina" w:cstheme="minorBidi"/>
      <w:color w:val="auto"/>
    </w:rPr>
  </w:style>
  <w:style w:type="paragraph" w:customStyle="1" w:styleId="CM3">
    <w:name w:val="CM3"/>
    <w:basedOn w:val="Default"/>
    <w:next w:val="Default"/>
    <w:uiPriority w:val="99"/>
    <w:rsid w:val="00E26C1C"/>
    <w:rPr>
      <w:rFonts w:ascii="EU Albertina" w:hAnsi="EU Albertina" w:cstheme="minorBidi"/>
      <w:color w:val="auto"/>
    </w:rPr>
  </w:style>
  <w:style w:type="character" w:customStyle="1" w:styleId="norm00e1lnychar1">
    <w:name w:val="norm_00e1lny__char1"/>
    <w:rsid w:val="00E26C1C"/>
    <w:rPr>
      <w:rFonts w:ascii="Times New Roman" w:hAnsi="Times New Roman" w:cs="Times New Roman"/>
      <w:strike w:val="0"/>
      <w:dstrike w:val="0"/>
      <w:sz w:val="20"/>
      <w:szCs w:val="20"/>
      <w:u w:val="none"/>
      <w:effect w:val="none"/>
    </w:rPr>
  </w:style>
  <w:style w:type="table" w:styleId="Mriekatabuky">
    <w:name w:val="Table Grid"/>
    <w:basedOn w:val="Normlnatabuka"/>
    <w:uiPriority w:val="59"/>
    <w:rsid w:val="00E26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E26C1C"/>
    <w:pPr>
      <w:tabs>
        <w:tab w:val="center" w:pos="4536"/>
        <w:tab w:val="right" w:pos="9072"/>
      </w:tabs>
    </w:pPr>
  </w:style>
  <w:style w:type="character" w:customStyle="1" w:styleId="HlavikaChar">
    <w:name w:val="Hlavička Char"/>
    <w:basedOn w:val="Predvolenpsmoodseku"/>
    <w:link w:val="Hlavika"/>
    <w:uiPriority w:val="99"/>
    <w:rsid w:val="00E26C1C"/>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E26C1C"/>
    <w:pPr>
      <w:tabs>
        <w:tab w:val="center" w:pos="4536"/>
        <w:tab w:val="right" w:pos="9072"/>
      </w:tabs>
    </w:pPr>
  </w:style>
  <w:style w:type="character" w:customStyle="1" w:styleId="PtaChar">
    <w:name w:val="Päta Char"/>
    <w:basedOn w:val="Predvolenpsmoodseku"/>
    <w:link w:val="Pta"/>
    <w:uiPriority w:val="99"/>
    <w:rsid w:val="00E26C1C"/>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E26C1C"/>
    <w:rPr>
      <w:rFonts w:cs="Times New Roman"/>
    </w:rPr>
  </w:style>
  <w:style w:type="paragraph" w:styleId="Textpoznmkypodiarou">
    <w:name w:val="footnote text"/>
    <w:basedOn w:val="Normlny"/>
    <w:link w:val="TextpoznmkypodiarouChar"/>
    <w:uiPriority w:val="99"/>
    <w:semiHidden/>
    <w:unhideWhenUsed/>
    <w:rsid w:val="00D27093"/>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D27093"/>
    <w:rPr>
      <w:sz w:val="20"/>
      <w:szCs w:val="20"/>
    </w:rPr>
  </w:style>
  <w:style w:type="character" w:styleId="Odkaznapoznmkupodiarou">
    <w:name w:val="footnote reference"/>
    <w:basedOn w:val="Predvolenpsmoodseku"/>
    <w:uiPriority w:val="99"/>
    <w:semiHidden/>
    <w:unhideWhenUsed/>
    <w:rsid w:val="00D27093"/>
    <w:rPr>
      <w:vertAlign w:val="superscript"/>
    </w:rPr>
  </w:style>
  <w:style w:type="paragraph" w:styleId="Zkladntext">
    <w:name w:val="Body Text"/>
    <w:basedOn w:val="Normlny"/>
    <w:link w:val="ZkladntextChar"/>
    <w:uiPriority w:val="99"/>
    <w:rsid w:val="00D27093"/>
    <w:pPr>
      <w:widowControl w:val="0"/>
      <w:adjustRightInd w:val="0"/>
      <w:spacing w:after="120"/>
    </w:pPr>
    <w:rPr>
      <w:lang w:eastAsia="sk-SK"/>
    </w:rPr>
  </w:style>
  <w:style w:type="character" w:customStyle="1" w:styleId="ZkladntextChar">
    <w:name w:val="Základný text Char"/>
    <w:basedOn w:val="Predvolenpsmoodseku"/>
    <w:link w:val="Zkladntext"/>
    <w:uiPriority w:val="99"/>
    <w:rsid w:val="00D27093"/>
    <w:rPr>
      <w:rFonts w:ascii="Times New Roman" w:eastAsia="Times New Roman" w:hAnsi="Times New Roman" w:cs="Times New Roman"/>
      <w:sz w:val="24"/>
      <w:szCs w:val="24"/>
      <w:lang w:eastAsia="sk-SK"/>
    </w:rPr>
  </w:style>
  <w:style w:type="character" w:customStyle="1" w:styleId="awspan1">
    <w:name w:val="awspan1"/>
    <w:basedOn w:val="Predvolenpsmoodseku"/>
    <w:rsid w:val="00D27093"/>
    <w:rPr>
      <w:rFonts w:cs="Times New Roman"/>
      <w:color w:val="000000"/>
      <w:sz w:val="24"/>
      <w:szCs w:val="24"/>
    </w:rPr>
  </w:style>
  <w:style w:type="character" w:styleId="Zvraznenie">
    <w:name w:val="Emphasis"/>
    <w:basedOn w:val="Predvolenpsmoodseku"/>
    <w:uiPriority w:val="20"/>
    <w:qFormat/>
    <w:rsid w:val="00D27093"/>
    <w:rPr>
      <w:i/>
      <w:iCs/>
    </w:rPr>
  </w:style>
  <w:style w:type="paragraph" w:customStyle="1" w:styleId="gmail-c02alineaalta">
    <w:name w:val="gmail-c02alineaalta"/>
    <w:basedOn w:val="Normlny"/>
    <w:rsid w:val="00D27093"/>
    <w:pPr>
      <w:spacing w:before="100" w:beforeAutospacing="1" w:after="100" w:afterAutospacing="1"/>
    </w:pPr>
    <w:rPr>
      <w:rFonts w:eastAsiaTheme="minorHAnsi"/>
      <w:lang w:eastAsia="sk-SK"/>
    </w:rPr>
  </w:style>
  <w:style w:type="paragraph" w:customStyle="1" w:styleId="gmail-c08dispositif">
    <w:name w:val="gmail-c08dispositif"/>
    <w:basedOn w:val="Normlny"/>
    <w:rsid w:val="00D27093"/>
    <w:pPr>
      <w:spacing w:before="100" w:beforeAutospacing="1" w:after="100" w:afterAutospacing="1"/>
    </w:pPr>
    <w:rPr>
      <w:rFonts w:eastAsiaTheme="minorHAnsi"/>
      <w:lang w:eastAsia="sk-SK"/>
    </w:rPr>
  </w:style>
  <w:style w:type="character" w:customStyle="1" w:styleId="awspan">
    <w:name w:val="awspan"/>
    <w:basedOn w:val="Predvolenpsmoodseku"/>
    <w:rsid w:val="00D27093"/>
  </w:style>
  <w:style w:type="character" w:styleId="PremennHTML">
    <w:name w:val="HTML Variable"/>
    <w:basedOn w:val="Predvolenpsmoodseku"/>
    <w:uiPriority w:val="99"/>
    <w:semiHidden/>
    <w:unhideWhenUsed/>
    <w:rsid w:val="00D27093"/>
    <w:rPr>
      <w:i/>
      <w:iCs/>
    </w:rPr>
  </w:style>
  <w:style w:type="paragraph" w:styleId="Textbubliny">
    <w:name w:val="Balloon Text"/>
    <w:basedOn w:val="Normlny"/>
    <w:link w:val="TextbublinyChar"/>
    <w:uiPriority w:val="99"/>
    <w:semiHidden/>
    <w:unhideWhenUsed/>
    <w:rsid w:val="00BE2BA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2BA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artikova@mfsr.sk"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lov-lex.sk/legislativne-procesy/SK/pi/2023/333"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F389C-9B61-4AC4-BCFF-C9A9E0C7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52</Pages>
  <Words>19942</Words>
  <Characters>113673</Characters>
  <Application>Microsoft Office Word</Application>
  <DocSecurity>0</DocSecurity>
  <Lines>947</Lines>
  <Paragraphs>266</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15</cp:revision>
  <cp:lastPrinted>2024-05-02T11:32:00Z</cp:lastPrinted>
  <dcterms:created xsi:type="dcterms:W3CDTF">2024-04-30T07:19:00Z</dcterms:created>
  <dcterms:modified xsi:type="dcterms:W3CDTF">2024-05-03T10:11:00Z</dcterms:modified>
</cp:coreProperties>
</file>