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5C5BEF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5C5BEF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5C5BEF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5C5BEF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5C5BEF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5C5BEF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5C5BEF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391B681F" w:rsidR="001F02BF" w:rsidRPr="005C5BEF" w:rsidRDefault="00757A17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 w:rsidRPr="005C5BEF">
        <w:rPr>
          <w:rFonts w:ascii="Book Antiqua" w:eastAsia="Times New Roman" w:hAnsi="Book Antiqua" w:cs="Times New Roman"/>
          <w:color w:val="000000"/>
        </w:rPr>
        <w:tab/>
      </w:r>
      <w:r w:rsidR="006F7B9F" w:rsidRPr="005C5BEF">
        <w:rPr>
          <w:rFonts w:ascii="Book Antiqua" w:hAnsi="Book Antiqua"/>
        </w:rPr>
        <w:t>Návrh zákona</w:t>
      </w:r>
      <w:bookmarkStart w:id="1" w:name="_Hlk127200235"/>
      <w:bookmarkStart w:id="2" w:name="_Hlk127199157"/>
      <w:r w:rsidR="005F0557" w:rsidRPr="005C5BEF">
        <w:rPr>
          <w:rFonts w:ascii="Book Antiqua" w:hAnsi="Book Antiqua"/>
        </w:rPr>
        <w:t xml:space="preserve">, </w:t>
      </w:r>
      <w:r w:rsidRPr="005C5BEF">
        <w:rPr>
          <w:rFonts w:ascii="Book Antiqua" w:hAnsi="Book Antiqua" w:cs="Open Sans"/>
          <w:bCs/>
          <w:color w:val="000000"/>
          <w:shd w:val="clear" w:color="auto" w:fill="FFFFFF"/>
        </w:rPr>
        <w:t xml:space="preserve">ktorým </w:t>
      </w:r>
      <w:bookmarkStart w:id="3" w:name="_Hlk164678624"/>
      <w:r w:rsidR="00AC3C7A" w:rsidRPr="005C5BEF">
        <w:rPr>
          <w:rFonts w:ascii="Book Antiqua" w:hAnsi="Book Antiqua" w:cs="Open Sans"/>
          <w:bCs/>
          <w:color w:val="000000"/>
          <w:shd w:val="clear" w:color="auto" w:fill="FFFFFF"/>
        </w:rPr>
        <w:t>sa mení a dopĺňa zákon č. 461/2003 Z. z. o sociálnom poistení v znení neskorších predpisov a ktorým sa mení a dopĺňa zákon č. 328/2002 Z. z. o sociálnom zabezpečení policajtov a vojakov a o zmene a doplnení niektorých zákonov v znení neskorších predpisov</w:t>
      </w:r>
      <w:bookmarkEnd w:id="3"/>
      <w:r w:rsidR="00911A32" w:rsidRPr="005C5BEF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bookmarkEnd w:id="1"/>
      <w:bookmarkEnd w:id="2"/>
      <w:r w:rsidR="006F7B9F" w:rsidRPr="005C5BEF">
        <w:rPr>
          <w:rFonts w:ascii="Book Antiqua" w:hAnsi="Book Antiqua"/>
        </w:rPr>
        <w:t>(ďalej len „návrh zákona“) predklad</w:t>
      </w:r>
      <w:r w:rsidR="00AE0A03" w:rsidRPr="005C5BEF">
        <w:rPr>
          <w:rFonts w:ascii="Book Antiqua" w:hAnsi="Book Antiqua"/>
        </w:rPr>
        <w:t xml:space="preserve">á </w:t>
      </w:r>
      <w:bookmarkStart w:id="4" w:name="_Hlk161931983"/>
      <w:r w:rsidR="00194A04" w:rsidRPr="005C5BEF">
        <w:rPr>
          <w:rFonts w:ascii="Book Antiqua" w:hAnsi="Book Antiqua"/>
        </w:rPr>
        <w:t xml:space="preserve">skupina </w:t>
      </w:r>
      <w:r w:rsidR="00AE0A03" w:rsidRPr="005C5BEF">
        <w:rPr>
          <w:rFonts w:ascii="Book Antiqua" w:hAnsi="Book Antiqua"/>
        </w:rPr>
        <w:t>poslan</w:t>
      </w:r>
      <w:r w:rsidR="00194A04" w:rsidRPr="005C5BEF">
        <w:rPr>
          <w:rFonts w:ascii="Book Antiqua" w:hAnsi="Book Antiqua"/>
        </w:rPr>
        <w:t>cov</w:t>
      </w:r>
      <w:r w:rsidR="006F7B9F" w:rsidRPr="005C5BEF">
        <w:rPr>
          <w:rFonts w:ascii="Book Antiqua" w:hAnsi="Book Antiqua"/>
        </w:rPr>
        <w:t xml:space="preserve"> Národnej rady Slovenskej republiky</w:t>
      </w:r>
      <w:bookmarkEnd w:id="4"/>
      <w:r w:rsidR="00ED6DB9" w:rsidRPr="005C5BEF">
        <w:rPr>
          <w:rFonts w:ascii="Book Antiqua" w:hAnsi="Book Antiqua"/>
        </w:rPr>
        <w:t>.</w:t>
      </w:r>
    </w:p>
    <w:p w14:paraId="51EDD05A" w14:textId="249EF850" w:rsidR="00AC3C7A" w:rsidRPr="005C5BEF" w:rsidRDefault="00AC3C7A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 w:rsidRPr="005C5BEF">
        <w:rPr>
          <w:rFonts w:ascii="Book Antiqua" w:hAnsi="Book Antiqua"/>
        </w:rPr>
        <w:tab/>
        <w:t>Národná rada Slovenskej republiky 18. apríla 2024 schválila vládny návrh zákona, ktorým sa mení a dopĺňa zákon č. 461/2003 Z. z. o sociálnom poistení v znení neskorších predpisov a ktorým sa menia a dopĺňajú niektoré zákony</w:t>
      </w:r>
      <w:r w:rsidR="005C5BEF" w:rsidRPr="005C5BEF">
        <w:rPr>
          <w:rFonts w:ascii="Book Antiqua" w:hAnsi="Book Antiqua"/>
        </w:rPr>
        <w:t xml:space="preserve"> (ČPT 137)</w:t>
      </w:r>
      <w:r w:rsidRPr="005C5BEF">
        <w:rPr>
          <w:rFonts w:ascii="Book Antiqua" w:hAnsi="Book Antiqua"/>
        </w:rPr>
        <w:t>.</w:t>
      </w:r>
    </w:p>
    <w:p w14:paraId="502B5D51" w14:textId="7535E746" w:rsidR="00AC3C7A" w:rsidRPr="008C0669" w:rsidRDefault="00AC3C7A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 w:rsidRPr="005C5BEF">
        <w:rPr>
          <w:rFonts w:ascii="Book Antiqua" w:hAnsi="Book Antiqua"/>
        </w:rPr>
        <w:tab/>
        <w:t xml:space="preserve">Predmetom schváleného zákona je </w:t>
      </w:r>
      <w:r w:rsidRPr="008C0669">
        <w:rPr>
          <w:rFonts w:ascii="Book Antiqua" w:hAnsi="Book Antiqua"/>
        </w:rPr>
        <w:t>okrem iného zavedenie 13. dôchodku v priemernej výške starobného dôchodku, predčasného starobného dôchodku, invalidného dôchodku, vdovského dôchodku, vdoveckého dôchodku, sirotského dôchodku alebo sociálneho dôchodku.</w:t>
      </w:r>
    </w:p>
    <w:p w14:paraId="17AF07EB" w14:textId="284F27EB" w:rsidR="00AC3C7A" w:rsidRPr="008C0669" w:rsidRDefault="00AC3C7A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 w:rsidRPr="008C0669">
        <w:rPr>
          <w:rFonts w:ascii="Book Antiqua" w:hAnsi="Book Antiqua"/>
        </w:rPr>
        <w:tab/>
        <w:t xml:space="preserve">Predstavitelia vládnej koalície však pred voľbami </w:t>
      </w:r>
      <w:r w:rsidRPr="008C0669">
        <w:rPr>
          <w:rFonts w:ascii="Book Antiqua" w:hAnsi="Book Antiqua"/>
          <w:b/>
        </w:rPr>
        <w:t>výšku 13. dôchodku</w:t>
      </w:r>
      <w:r w:rsidRPr="008C0669">
        <w:rPr>
          <w:rFonts w:ascii="Book Antiqua" w:hAnsi="Book Antiqua"/>
        </w:rPr>
        <w:t xml:space="preserve"> nesľubovali v priemernej výške príslušnej dôchodkovej dávky, ale </w:t>
      </w:r>
      <w:r w:rsidRPr="008C0669">
        <w:rPr>
          <w:rFonts w:ascii="Book Antiqua" w:hAnsi="Book Antiqua"/>
          <w:b/>
        </w:rPr>
        <w:t>vo výške priemerného starobného dôchodku,</w:t>
      </w:r>
      <w:r w:rsidRPr="008C0669">
        <w:rPr>
          <w:rFonts w:ascii="Book Antiqua" w:hAnsi="Book Antiqua"/>
        </w:rPr>
        <w:t xml:space="preserve"> čo </w:t>
      </w:r>
      <w:r w:rsidR="005C5BEF" w:rsidRPr="008C0669">
        <w:rPr>
          <w:rFonts w:ascii="Book Antiqua" w:hAnsi="Book Antiqua"/>
        </w:rPr>
        <w:t>predstavuje</w:t>
      </w:r>
      <w:r w:rsidRPr="008C0669">
        <w:rPr>
          <w:rFonts w:ascii="Book Antiqua" w:hAnsi="Book Antiqua"/>
        </w:rPr>
        <w:t xml:space="preserve"> v porovnaní s priemernou výškou </w:t>
      </w:r>
      <w:bookmarkStart w:id="5" w:name="_GoBack"/>
      <w:bookmarkEnd w:id="5"/>
      <w:r w:rsidRPr="008C0669">
        <w:rPr>
          <w:rFonts w:ascii="Book Antiqua" w:hAnsi="Book Antiqua"/>
        </w:rPr>
        <w:t xml:space="preserve">niektorých iných dôchodkových dávok zásadný rozdiel. </w:t>
      </w:r>
      <w:r w:rsidR="00C07DCA" w:rsidRPr="008C0669">
        <w:rPr>
          <w:rFonts w:ascii="Book Antiqua" w:hAnsi="Book Antiqua"/>
        </w:rPr>
        <w:t>Preto sa navrhuje zaviesť 13. dôchodok vo výške priemerného dôchodku presne podľa predvolebných sľubov predstaviteľov vládnej koalície.</w:t>
      </w:r>
    </w:p>
    <w:p w14:paraId="5862FD83" w14:textId="6F448B29" w:rsidR="00180EC4" w:rsidRPr="008C0669" w:rsidRDefault="00180EC4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 w:rsidRPr="008C0669">
        <w:rPr>
          <w:rFonts w:ascii="Book Antiqua" w:hAnsi="Book Antiqua"/>
        </w:rPr>
        <w:tab/>
        <w:t xml:space="preserve">Zároveň sa navrhuje splnenie druhého sľubu predstaviteľov vládnej koalície, </w:t>
      </w:r>
      <w:r w:rsidRPr="008C0669">
        <w:rPr>
          <w:rFonts w:ascii="Book Antiqua" w:hAnsi="Book Antiqua"/>
          <w:b/>
        </w:rPr>
        <w:t>a to 13. dôchodok vo výške 640 eur už za rok 2023.</w:t>
      </w:r>
      <w:r w:rsidRPr="008C0669">
        <w:rPr>
          <w:rFonts w:ascii="Book Antiqua" w:hAnsi="Book Antiqua"/>
        </w:rPr>
        <w:t xml:space="preserve"> Dôchodcovi, ktorému vznikol nárok na 13. dôchodok k decembru 2023 sa spolu s 13. dôchodkom v decembri 2024 doplatí aj rozdiel medzi sumou 640 eur, ktorú sľubovali predstavitelia vládnej koalície a sumou, ktorá </w:t>
      </w:r>
      <w:r w:rsidR="00C07DCA" w:rsidRPr="008C0669">
        <w:rPr>
          <w:rFonts w:ascii="Book Antiqua" w:hAnsi="Book Antiqua"/>
        </w:rPr>
        <w:t>mu</w:t>
      </w:r>
      <w:r w:rsidRPr="008C0669">
        <w:rPr>
          <w:rFonts w:ascii="Book Antiqua" w:hAnsi="Book Antiqua"/>
        </w:rPr>
        <w:t xml:space="preserve"> bola ako 13. dôchodok vyplatená v decembri 2023.</w:t>
      </w:r>
    </w:p>
    <w:p w14:paraId="549A2FDE" w14:textId="1C99B49A" w:rsidR="00AD7716" w:rsidRPr="008C0669" w:rsidRDefault="00B63A0B" w:rsidP="00AD7716">
      <w:pPr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8C0669">
        <w:rPr>
          <w:rFonts w:ascii="Book Antiqua" w:eastAsia="Times New Roman" w:hAnsi="Book Antiqua" w:cs="Times New Roman"/>
        </w:rPr>
        <w:t xml:space="preserve">Návrh zákona </w:t>
      </w:r>
      <w:r w:rsidR="003D3E6B" w:rsidRPr="008C0669">
        <w:rPr>
          <w:rFonts w:ascii="Book Antiqua" w:eastAsia="Times New Roman" w:hAnsi="Book Antiqua" w:cs="Times New Roman"/>
        </w:rPr>
        <w:t>má negatívny</w:t>
      </w:r>
      <w:r w:rsidRPr="008C0669">
        <w:rPr>
          <w:rFonts w:ascii="Book Antiqua" w:eastAsia="Times New Roman" w:hAnsi="Book Antiqua" w:cs="Times New Roman"/>
        </w:rPr>
        <w:t xml:space="preserve"> vplyv na rozpočet verejnej správy,</w:t>
      </w:r>
      <w:r w:rsidR="003D3E6B" w:rsidRPr="008C0669">
        <w:rPr>
          <w:rFonts w:ascii="Book Antiqua" w:eastAsia="Times New Roman" w:hAnsi="Book Antiqua" w:cs="Times New Roman"/>
        </w:rPr>
        <w:t xml:space="preserve"> </w:t>
      </w:r>
      <w:r w:rsidR="004E0F11" w:rsidRPr="008C0669">
        <w:rPr>
          <w:rFonts w:ascii="Book Antiqua" w:eastAsia="Times New Roman" w:hAnsi="Book Antiqua" w:cs="Times New Roman"/>
        </w:rPr>
        <w:t>pozitívne</w:t>
      </w:r>
      <w:r w:rsidRPr="008C0669">
        <w:rPr>
          <w:rFonts w:ascii="Book Antiqua" w:eastAsia="Times New Roman" w:hAnsi="Book Antiqua" w:cs="Times New Roman"/>
        </w:rPr>
        <w:t xml:space="preserve"> sociálne vplyvy, </w:t>
      </w:r>
      <w:r w:rsidR="00180EC4" w:rsidRPr="008C0669">
        <w:rPr>
          <w:rFonts w:ascii="Book Antiqua" w:eastAsia="Times New Roman" w:hAnsi="Book Antiqua" w:cs="Times New Roman"/>
        </w:rPr>
        <w:t>žiaden</w:t>
      </w:r>
      <w:r w:rsidR="003D3E6B" w:rsidRPr="008C0669">
        <w:rPr>
          <w:rFonts w:ascii="Book Antiqua" w:eastAsia="Times New Roman" w:hAnsi="Book Antiqua" w:cs="Times New Roman"/>
        </w:rPr>
        <w:t xml:space="preserve"> </w:t>
      </w:r>
      <w:r w:rsidRPr="008C0669">
        <w:rPr>
          <w:rFonts w:ascii="Book Antiqua" w:eastAsia="Times New Roman" w:hAnsi="Book Antiqua" w:cs="Times New Roman"/>
        </w:rPr>
        <w:t>vplyv na manželstvo, rodičovstvo</w:t>
      </w:r>
      <w:r w:rsidR="00F61493" w:rsidRPr="008C0669">
        <w:rPr>
          <w:rFonts w:ascii="Book Antiqua" w:eastAsia="Times New Roman" w:hAnsi="Book Antiqua" w:cs="Times New Roman"/>
        </w:rPr>
        <w:t xml:space="preserve"> a</w:t>
      </w:r>
      <w:r w:rsidRPr="008C0669">
        <w:rPr>
          <w:rFonts w:ascii="Book Antiqua" w:eastAsia="Times New Roman" w:hAnsi="Book Antiqua" w:cs="Times New Roman"/>
        </w:rPr>
        <w:t xml:space="preserve"> rodinu,</w:t>
      </w:r>
      <w:r w:rsidR="004A3D51" w:rsidRPr="008C0669">
        <w:rPr>
          <w:rFonts w:ascii="Book Antiqua" w:eastAsia="Times New Roman" w:hAnsi="Book Antiqua" w:cs="Times New Roman"/>
        </w:rPr>
        <w:t xml:space="preserve"> žiaden </w:t>
      </w:r>
      <w:r w:rsidRPr="008C0669">
        <w:rPr>
          <w:rFonts w:ascii="Book Antiqua" w:eastAsia="Times New Roman" w:hAnsi="Book Antiqua" w:cs="Times New Roman"/>
        </w:rPr>
        <w:t xml:space="preserve">vplyv na informatizáciu spoločnosti, </w:t>
      </w:r>
      <w:r w:rsidR="004A3D51" w:rsidRPr="008C0669">
        <w:rPr>
          <w:rFonts w:ascii="Book Antiqua" w:eastAsia="Times New Roman" w:hAnsi="Book Antiqua" w:cs="Times New Roman"/>
        </w:rPr>
        <w:t xml:space="preserve">žiadne </w:t>
      </w:r>
      <w:r w:rsidRPr="008C0669">
        <w:rPr>
          <w:rFonts w:ascii="Book Antiqua" w:eastAsia="Times New Roman" w:hAnsi="Book Antiqua" w:cs="Times New Roman"/>
        </w:rPr>
        <w:t xml:space="preserve">vplyvy na podnikateľské prostredie, na životné  prostredie </w:t>
      </w:r>
      <w:r w:rsidR="004A3D51" w:rsidRPr="008C0669">
        <w:rPr>
          <w:rFonts w:ascii="Book Antiqua" w:eastAsia="Times New Roman" w:hAnsi="Book Antiqua" w:cs="Times New Roman"/>
        </w:rPr>
        <w:t>a </w:t>
      </w:r>
      <w:r w:rsidRPr="008C0669">
        <w:rPr>
          <w:rFonts w:ascii="Book Antiqua" w:eastAsia="Times New Roman" w:hAnsi="Book Antiqua" w:cs="Times New Roman"/>
        </w:rPr>
        <w:t>ani</w:t>
      </w:r>
      <w:r w:rsidR="004A3D51" w:rsidRPr="008C0669">
        <w:rPr>
          <w:rFonts w:ascii="Book Antiqua" w:eastAsia="Times New Roman" w:hAnsi="Book Antiqua" w:cs="Times New Roman"/>
        </w:rPr>
        <w:t xml:space="preserve"> žiadne</w:t>
      </w:r>
      <w:r w:rsidRPr="008C0669">
        <w:rPr>
          <w:rFonts w:ascii="Book Antiqua" w:eastAsia="Times New Roman" w:hAnsi="Book Antiqua" w:cs="Times New Roman"/>
        </w:rPr>
        <w:t xml:space="preserve"> vplyvy na služby pre občana. </w:t>
      </w:r>
    </w:p>
    <w:p w14:paraId="6DD14886" w14:textId="550FA783" w:rsidR="009A375B" w:rsidRPr="005C5BEF" w:rsidRDefault="009A375B" w:rsidP="00AD7716">
      <w:pPr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8C0669">
        <w:rPr>
          <w:rFonts w:ascii="Book Antiqua" w:eastAsia="Times New Roman" w:hAnsi="Book Antiqua" w:cs="Times New Roman"/>
        </w:rPr>
        <w:t xml:space="preserve">Návrh zákona je v súlade s Ústavou Slovenskej republiky, ústavnými zákonmi </w:t>
      </w:r>
      <w:r w:rsidRPr="005C5BEF">
        <w:rPr>
          <w:rFonts w:ascii="Book Antiqua" w:eastAsia="Times New Roman" w:hAnsi="Book Antiqua" w:cs="Times New Roman"/>
        </w:rPr>
        <w:t>a nálezmi Ústavného súdu Slovenskej republiky, medzinárodnými zml</w:t>
      </w:r>
      <w:r w:rsidR="00AE0A03" w:rsidRPr="005C5BEF">
        <w:rPr>
          <w:rFonts w:ascii="Book Antiqua" w:eastAsia="Times New Roman" w:hAnsi="Book Antiqua" w:cs="Times New Roman"/>
        </w:rPr>
        <w:t>uvami a medzinárodnými dokument</w:t>
      </w:r>
      <w:r w:rsidRPr="005C5BEF">
        <w:rPr>
          <w:rFonts w:ascii="Book Antiqua" w:eastAsia="Times New Roman" w:hAnsi="Book Antiqua" w:cs="Times New Roman"/>
        </w:rPr>
        <w:t>mi, ktorými je Slovenská republika viazaná, zákonmi a s právom Európskej únie.</w:t>
      </w:r>
    </w:p>
    <w:bookmarkEnd w:id="0"/>
    <w:p w14:paraId="6DAA04CA" w14:textId="77777777" w:rsidR="00293814" w:rsidRPr="005C5BEF" w:rsidRDefault="00293814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4B98CD84" w14:textId="77777777" w:rsidR="00D81B13" w:rsidRPr="005C5BEF" w:rsidRDefault="00D81B13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962C50" w14:textId="77777777" w:rsidR="00293814" w:rsidRPr="005C5BEF" w:rsidRDefault="00293814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2A43E14" w14:textId="77777777" w:rsidR="00293814" w:rsidRPr="005C5BEF" w:rsidRDefault="00293814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F5AA0AD" w14:textId="77777777" w:rsidR="00293814" w:rsidRPr="005C5BEF" w:rsidRDefault="00293814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E" w14:textId="72D2CEDB" w:rsidR="00386510" w:rsidRPr="005C5BEF" w:rsidRDefault="00BB6162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5C5BEF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5C5BEF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63580F9F" w:rsidR="00386510" w:rsidRPr="005C5BEF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5C5BEF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5910825E" w14:textId="6D12119B" w:rsidR="00D81B13" w:rsidRPr="00386D8C" w:rsidRDefault="00D81B13" w:rsidP="005F0557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 w:rsidRPr="00386D8C">
        <w:rPr>
          <w:rFonts w:ascii="Book Antiqua" w:eastAsia="Times New Roman" w:hAnsi="Book Antiqua" w:cs="Times New Roman"/>
          <w:color w:val="000000"/>
          <w:u w:val="single"/>
        </w:rPr>
        <w:t>K bodu 1</w:t>
      </w:r>
    </w:p>
    <w:p w14:paraId="28A3CFEF" w14:textId="77777777" w:rsidR="00180EC4" w:rsidRPr="005C5BEF" w:rsidRDefault="00180EC4" w:rsidP="00180EC4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 w:rsidRPr="005C5BEF">
        <w:rPr>
          <w:rFonts w:ascii="Book Antiqua" w:eastAsia="Times New Roman" w:hAnsi="Book Antiqua" w:cs="Times New Roman"/>
          <w:color w:val="000000"/>
        </w:rPr>
        <w:t xml:space="preserve">Navrhuje sa, aby suma 13. dôchodku dosahovala v prípade poberateľa každej dôchodkovej dávky výšku priemerného starobného dôchodku za predchádzajúci kalendárny rok. </w:t>
      </w:r>
    </w:p>
    <w:p w14:paraId="0A129BE4" w14:textId="6F6C4BC6" w:rsidR="00AD7716" w:rsidRPr="00386D8C" w:rsidRDefault="00D81B13" w:rsidP="00180EC4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 w:rsidRPr="00386D8C">
        <w:rPr>
          <w:rFonts w:ascii="Book Antiqua" w:eastAsia="Times New Roman" w:hAnsi="Book Antiqua" w:cs="Times New Roman"/>
          <w:color w:val="000000"/>
          <w:u w:val="single"/>
        </w:rPr>
        <w:t>K bodu 2</w:t>
      </w:r>
    </w:p>
    <w:p w14:paraId="227E7643" w14:textId="00F09097" w:rsidR="00C45583" w:rsidRPr="005C5BEF" w:rsidRDefault="00D81B13" w:rsidP="00D81B13">
      <w:pPr>
        <w:spacing w:before="120" w:after="0" w:line="276" w:lineRule="auto"/>
        <w:jc w:val="both"/>
        <w:rPr>
          <w:rFonts w:ascii="Book Antiqua" w:eastAsia="MS Mincho" w:hAnsi="Book Antiqua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/>
        </w:rPr>
        <w:tab/>
      </w:r>
      <w:r w:rsidR="00180EC4" w:rsidRPr="005C5BEF">
        <w:rPr>
          <w:rFonts w:ascii="Book Antiqua" w:eastAsia="MS Mincho" w:hAnsi="Book Antiqua"/>
          <w:color w:val="000000" w:themeColor="text1"/>
        </w:rPr>
        <w:t>Legislatívno-technická úprava vzhľadom na bod 1.</w:t>
      </w:r>
    </w:p>
    <w:p w14:paraId="441ACD47" w14:textId="26E48306" w:rsidR="00180EC4" w:rsidRPr="00386D8C" w:rsidRDefault="00180EC4" w:rsidP="00D81B13">
      <w:pPr>
        <w:spacing w:before="120" w:after="0" w:line="276" w:lineRule="auto"/>
        <w:jc w:val="both"/>
        <w:rPr>
          <w:rFonts w:ascii="Book Antiqua" w:eastAsia="MS Mincho" w:hAnsi="Book Antiqua"/>
          <w:color w:val="000000" w:themeColor="text1"/>
          <w:u w:val="single"/>
        </w:rPr>
      </w:pPr>
      <w:r w:rsidRPr="00386D8C">
        <w:rPr>
          <w:rFonts w:ascii="Book Antiqua" w:eastAsia="MS Mincho" w:hAnsi="Book Antiqua"/>
          <w:color w:val="000000" w:themeColor="text1"/>
          <w:u w:val="single"/>
        </w:rPr>
        <w:t>K bodu 3</w:t>
      </w:r>
    </w:p>
    <w:p w14:paraId="744C70E2" w14:textId="33938085" w:rsidR="00180EC4" w:rsidRPr="005C5BEF" w:rsidRDefault="00180EC4" w:rsidP="00180EC4">
      <w:pPr>
        <w:spacing w:before="120" w:after="0" w:line="276" w:lineRule="auto"/>
        <w:ind w:firstLine="720"/>
        <w:jc w:val="both"/>
        <w:rPr>
          <w:rFonts w:ascii="Book Antiqua" w:eastAsia="MS Mincho" w:hAnsi="Book Antiqua"/>
          <w:color w:val="000000" w:themeColor="text1"/>
        </w:rPr>
      </w:pPr>
      <w:r w:rsidRPr="005C5BEF">
        <w:rPr>
          <w:rFonts w:ascii="Book Antiqua" w:eastAsia="MS Mincho" w:hAnsi="Book Antiqua"/>
          <w:color w:val="000000" w:themeColor="text1"/>
        </w:rPr>
        <w:t>Legislatívno-technická úprava vzhľadom na bod 1.</w:t>
      </w:r>
    </w:p>
    <w:p w14:paraId="3DD2566B" w14:textId="09C0C11A" w:rsidR="00180EC4" w:rsidRPr="00386D8C" w:rsidRDefault="00180EC4" w:rsidP="00180EC4">
      <w:pPr>
        <w:spacing w:before="120" w:after="0" w:line="276" w:lineRule="auto"/>
        <w:jc w:val="both"/>
        <w:rPr>
          <w:rFonts w:ascii="Book Antiqua" w:eastAsia="MS Mincho" w:hAnsi="Book Antiqua"/>
          <w:color w:val="000000" w:themeColor="text1"/>
          <w:u w:val="single"/>
        </w:rPr>
      </w:pPr>
      <w:r w:rsidRPr="00386D8C">
        <w:rPr>
          <w:rFonts w:ascii="Book Antiqua" w:eastAsia="MS Mincho" w:hAnsi="Book Antiqua"/>
          <w:color w:val="000000" w:themeColor="text1"/>
          <w:u w:val="single"/>
        </w:rPr>
        <w:t>K bodu 4</w:t>
      </w:r>
    </w:p>
    <w:p w14:paraId="5A238CDB" w14:textId="3DEC3C9A" w:rsidR="00180EC4" w:rsidRPr="005C5BEF" w:rsidRDefault="00180EC4" w:rsidP="00180EC4">
      <w:pPr>
        <w:spacing w:before="120" w:after="0" w:line="276" w:lineRule="auto"/>
        <w:jc w:val="both"/>
        <w:rPr>
          <w:rFonts w:ascii="Book Antiqua" w:eastAsia="MS Mincho" w:hAnsi="Book Antiqua"/>
          <w:color w:val="000000" w:themeColor="text1"/>
        </w:rPr>
      </w:pPr>
      <w:r w:rsidRPr="005C5BEF">
        <w:rPr>
          <w:rFonts w:ascii="Book Antiqua" w:eastAsia="MS Mincho" w:hAnsi="Book Antiqua"/>
          <w:color w:val="000000" w:themeColor="text1"/>
        </w:rPr>
        <w:tab/>
        <w:t>Legislatívno-technická úprava vzhľadom na bod 1.</w:t>
      </w:r>
    </w:p>
    <w:p w14:paraId="2D640D27" w14:textId="411DC86A" w:rsidR="00180EC4" w:rsidRPr="00386D8C" w:rsidRDefault="00180EC4" w:rsidP="00180EC4">
      <w:pPr>
        <w:spacing w:before="120" w:after="0" w:line="276" w:lineRule="auto"/>
        <w:jc w:val="both"/>
        <w:rPr>
          <w:rFonts w:ascii="Book Antiqua" w:eastAsia="MS Mincho" w:hAnsi="Book Antiqua"/>
          <w:color w:val="000000" w:themeColor="text1"/>
          <w:u w:val="single"/>
        </w:rPr>
      </w:pPr>
      <w:r w:rsidRPr="00386D8C">
        <w:rPr>
          <w:rFonts w:ascii="Book Antiqua" w:eastAsia="MS Mincho" w:hAnsi="Book Antiqua"/>
          <w:color w:val="000000" w:themeColor="text1"/>
          <w:u w:val="single"/>
        </w:rPr>
        <w:t>K bodu 5</w:t>
      </w:r>
    </w:p>
    <w:p w14:paraId="7D832476" w14:textId="2B1AAED7" w:rsidR="00180EC4" w:rsidRPr="005C5BEF" w:rsidRDefault="00180EC4" w:rsidP="00180EC4">
      <w:pPr>
        <w:spacing w:before="120" w:after="0" w:line="276" w:lineRule="auto"/>
        <w:jc w:val="both"/>
        <w:rPr>
          <w:rStyle w:val="awspan"/>
          <w:rFonts w:ascii="Book Antiqua" w:eastAsia="MS Mincho" w:hAnsi="Book Antiqua"/>
          <w:color w:val="000000" w:themeColor="text1"/>
        </w:rPr>
      </w:pPr>
      <w:r w:rsidRPr="005C5BEF">
        <w:rPr>
          <w:rStyle w:val="awspan"/>
          <w:rFonts w:ascii="Book Antiqua" w:eastAsia="Times New Roman" w:hAnsi="Book Antiqua" w:cs="Times New Roman"/>
          <w:color w:val="000000"/>
        </w:rPr>
        <w:tab/>
      </w:r>
      <w:r w:rsidRPr="005C5BEF">
        <w:rPr>
          <w:rFonts w:ascii="Book Antiqua" w:eastAsia="MS Mincho" w:hAnsi="Book Antiqua"/>
          <w:color w:val="000000" w:themeColor="text1"/>
        </w:rPr>
        <w:t>Navrhuje sa, aby každý poberateľ 13. dôchodku v decembri 2023 mal nárok na doplatok rozdielu medzi sľúbenou sumou vo výške 640 eur a sumou, ktorá mu bola vyplatená podľa zákona o 13. dôchodku tak, aby sa docielil stav, že každý poberateľ ktorejkoľvek dôchodkovej dávky, bude mať nárok na 13. dôchodok vo výške 640 eur.</w:t>
      </w:r>
    </w:p>
    <w:p w14:paraId="12FC7493" w14:textId="78BCB57A" w:rsidR="00180EC4" w:rsidRPr="005C5BEF" w:rsidRDefault="00180EC4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 w:rsidRPr="005C5BEF"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1C4BD4B5" w14:textId="77777777" w:rsidR="00180EC4" w:rsidRPr="00386D8C" w:rsidRDefault="00180EC4" w:rsidP="00180EC4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 w:rsidRPr="00386D8C">
        <w:rPr>
          <w:rFonts w:ascii="Book Antiqua" w:eastAsia="Times New Roman" w:hAnsi="Book Antiqua" w:cs="Times New Roman"/>
          <w:color w:val="000000"/>
          <w:u w:val="single"/>
        </w:rPr>
        <w:t>K bodu 1</w:t>
      </w:r>
    </w:p>
    <w:p w14:paraId="4F50FB4A" w14:textId="770860D2" w:rsidR="00FA0FC4" w:rsidRPr="005C5BEF" w:rsidRDefault="00180EC4" w:rsidP="00FA0FC4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 w:rsidRPr="005C5BEF">
        <w:rPr>
          <w:rFonts w:ascii="Book Antiqua" w:eastAsia="Times New Roman" w:hAnsi="Book Antiqua" w:cs="Times New Roman"/>
          <w:color w:val="000000"/>
        </w:rPr>
        <w:t>Navrhuje sa</w:t>
      </w:r>
      <w:r w:rsidR="00FA0FC4" w:rsidRPr="005C5BEF">
        <w:rPr>
          <w:rFonts w:ascii="Book Antiqua" w:eastAsia="Times New Roman" w:hAnsi="Book Antiqua" w:cs="Times New Roman"/>
          <w:color w:val="000000"/>
        </w:rPr>
        <w:t xml:space="preserve"> rovnaký model, ako pri ostatných poberateľoch 13. dôchodku podľa zákona č. 461/2003 Z. z. o sociálnom poistení v znení neskorších predpisov </w:t>
      </w:r>
      <w:r w:rsidR="005C5BEF" w:rsidRPr="005C5BEF">
        <w:rPr>
          <w:rFonts w:ascii="Book Antiqua" w:eastAsia="Times New Roman" w:hAnsi="Book Antiqua" w:cs="Times New Roman"/>
          <w:color w:val="000000"/>
        </w:rPr>
        <w:t xml:space="preserve">aj </w:t>
      </w:r>
      <w:r w:rsidR="00FA0FC4" w:rsidRPr="005C5BEF">
        <w:rPr>
          <w:rFonts w:ascii="Book Antiqua" w:eastAsia="Times New Roman" w:hAnsi="Book Antiqua" w:cs="Times New Roman"/>
          <w:color w:val="000000"/>
        </w:rPr>
        <w:t>pri poberateľoch dôchodkov, ktoré vypláca útvar sociálneho zabezpečenia ministerstva alebo Vojenský úrad sociálneho zabezpečenia.</w:t>
      </w:r>
    </w:p>
    <w:p w14:paraId="44EEF5F0" w14:textId="6329A2A2" w:rsidR="00180EC4" w:rsidRPr="00386D8C" w:rsidRDefault="00180EC4" w:rsidP="00FA0FC4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 w:rsidRPr="00386D8C">
        <w:rPr>
          <w:rFonts w:ascii="Book Antiqua" w:eastAsia="Times New Roman" w:hAnsi="Book Antiqua" w:cs="Times New Roman"/>
          <w:color w:val="000000"/>
          <w:u w:val="single"/>
        </w:rPr>
        <w:t>K bodu 2</w:t>
      </w:r>
    </w:p>
    <w:p w14:paraId="1E5DC42B" w14:textId="77777777" w:rsidR="00180EC4" w:rsidRPr="005C5BEF" w:rsidRDefault="00180EC4" w:rsidP="00180EC4">
      <w:pPr>
        <w:spacing w:before="120" w:after="0" w:line="276" w:lineRule="auto"/>
        <w:jc w:val="both"/>
        <w:rPr>
          <w:rFonts w:ascii="Book Antiqua" w:eastAsia="MS Mincho" w:hAnsi="Book Antiqua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/>
        </w:rPr>
        <w:tab/>
      </w:r>
      <w:r w:rsidRPr="005C5BEF">
        <w:rPr>
          <w:rFonts w:ascii="Book Antiqua" w:eastAsia="MS Mincho" w:hAnsi="Book Antiqua"/>
          <w:color w:val="000000" w:themeColor="text1"/>
        </w:rPr>
        <w:t>Legislatívno-technická úprava vzhľadom na bod 1.</w:t>
      </w:r>
    </w:p>
    <w:p w14:paraId="0E3B6025" w14:textId="77777777" w:rsidR="00180EC4" w:rsidRPr="00386D8C" w:rsidRDefault="00180EC4" w:rsidP="00180EC4">
      <w:pPr>
        <w:spacing w:before="120" w:after="0" w:line="276" w:lineRule="auto"/>
        <w:jc w:val="both"/>
        <w:rPr>
          <w:rFonts w:ascii="Book Antiqua" w:eastAsia="MS Mincho" w:hAnsi="Book Antiqua"/>
          <w:color w:val="000000" w:themeColor="text1"/>
          <w:u w:val="single"/>
        </w:rPr>
      </w:pPr>
      <w:r w:rsidRPr="00386D8C">
        <w:rPr>
          <w:rFonts w:ascii="Book Antiqua" w:eastAsia="MS Mincho" w:hAnsi="Book Antiqua"/>
          <w:color w:val="000000" w:themeColor="text1"/>
          <w:u w:val="single"/>
        </w:rPr>
        <w:t>K bodu 3</w:t>
      </w:r>
    </w:p>
    <w:p w14:paraId="781BE28C" w14:textId="77777777" w:rsidR="00FA0FC4" w:rsidRPr="005C5BEF" w:rsidRDefault="00FA0FC4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MS Mincho" w:hAnsi="Book Antiqua"/>
          <w:color w:val="000000" w:themeColor="text1"/>
        </w:rPr>
      </w:pPr>
      <w:r w:rsidRPr="005C5BEF">
        <w:rPr>
          <w:rFonts w:ascii="Book Antiqua" w:eastAsia="MS Mincho" w:hAnsi="Book Antiqua"/>
          <w:color w:val="000000" w:themeColor="text1"/>
        </w:rPr>
        <w:tab/>
        <w:t>Obdobne ako v prípade poberateľov 13. dôchodkov vyplácaných sociálnou poisťovňou sa upravujú nároky poberateľov 13. dôchodkov vyplácaných útvarom sociálneho zabezpečenia ministerstva alebo Vojenským úradom sociálneho zabezpečenia (rozdiel medzi sľúbenou sumou 640 eur a sumou vyplateného 13. dôchodku podľa zákona č. 296/2020 Z. z. o 13. dôchodku a o zmene a doplnení niektorých zákonov v znení neskorších predpisov).</w:t>
      </w:r>
    </w:p>
    <w:p w14:paraId="6D258F8E" w14:textId="1BE9EC53" w:rsidR="00F5232F" w:rsidRPr="005C5BEF" w:rsidRDefault="00F5232F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 w:rsidRPr="005C5BEF">
        <w:rPr>
          <w:rStyle w:val="awspan"/>
          <w:rFonts w:ascii="Book Antiqua" w:hAnsi="Book Antiqua"/>
          <w:b/>
          <w:bCs/>
          <w:color w:val="000000"/>
        </w:rPr>
        <w:t>K Čl. II</w:t>
      </w:r>
      <w:r w:rsidR="00180EC4" w:rsidRPr="005C5BEF">
        <w:rPr>
          <w:rStyle w:val="awspan"/>
          <w:rFonts w:ascii="Book Antiqua" w:hAnsi="Book Antiqua"/>
          <w:b/>
          <w:bCs/>
          <w:color w:val="000000"/>
        </w:rPr>
        <w:t>I</w:t>
      </w:r>
    </w:p>
    <w:p w14:paraId="00000029" w14:textId="56163A6D" w:rsidR="00386510" w:rsidRPr="005C5BEF" w:rsidRDefault="00F5232F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5C5BEF">
        <w:rPr>
          <w:rStyle w:val="awspan"/>
          <w:rFonts w:ascii="Book Antiqua" w:hAnsi="Book Antiqua"/>
          <w:color w:val="000000"/>
        </w:rPr>
        <w:tab/>
      </w:r>
      <w:r w:rsidR="00BB6162" w:rsidRPr="005C5BEF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="00BB6162" w:rsidRPr="005C5BEF">
        <w:rPr>
          <w:rFonts w:ascii="Book Antiqua" w:eastAsia="Times New Roman" w:hAnsi="Book Antiqua" w:cs="Times New Roman"/>
        </w:rPr>
        <w:t xml:space="preserve"> </w:t>
      </w:r>
      <w:r w:rsidR="00180EC4" w:rsidRPr="005C5BEF">
        <w:rPr>
          <w:rFonts w:ascii="Book Antiqua" w:eastAsia="Times New Roman" w:hAnsi="Book Antiqua" w:cs="Times New Roman"/>
        </w:rPr>
        <w:t>dňom vyhlásenia vzhľadom k potrebe čo najskoršej účinnosti navrhovaných zmien</w:t>
      </w:r>
      <w:r w:rsidR="005F0557" w:rsidRPr="005C5BEF">
        <w:rPr>
          <w:rFonts w:ascii="Book Antiqua" w:eastAsia="Times New Roman" w:hAnsi="Book Antiqua" w:cs="Times New Roman"/>
          <w:color w:val="000000"/>
        </w:rPr>
        <w:t>.</w:t>
      </w:r>
    </w:p>
    <w:p w14:paraId="4286E95C" w14:textId="77777777" w:rsidR="00D81B13" w:rsidRPr="005C5BEF" w:rsidRDefault="00D81B13" w:rsidP="00802C5B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5C5BEF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5C5BEF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5C5BEF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5C5BEF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5C5BEF">
        <w:rPr>
          <w:rFonts w:ascii="Book Antiqua" w:hAnsi="Book Antiqua" w:cs="Book Antiqua"/>
          <w:sz w:val="22"/>
          <w:szCs w:val="22"/>
        </w:rPr>
        <w:t xml:space="preserve"> </w:t>
      </w:r>
      <w:r w:rsidRPr="005C5BEF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5C5BEF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5C5BEF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C5BEF" w:rsidRDefault="003B2158" w:rsidP="005F0557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C5BEF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C5BEF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5C5BEF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22B3019D" w14:textId="1FAFACEE" w:rsidR="00F5232F" w:rsidRPr="005C5BEF" w:rsidRDefault="003B2158" w:rsidP="005F0557">
      <w:pPr>
        <w:spacing w:after="120" w:line="276" w:lineRule="auto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5C5BEF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C5BEF">
        <w:rPr>
          <w:rFonts w:ascii="Book Antiqua" w:hAnsi="Book Antiqua" w:cs="Book Antiqua"/>
          <w:b/>
          <w:color w:val="000000" w:themeColor="text1"/>
        </w:rPr>
        <w:t xml:space="preserve"> </w:t>
      </w:r>
      <w:r w:rsidR="00AE0A03" w:rsidRPr="005C5BEF">
        <w:rPr>
          <w:rFonts w:ascii="Book Antiqua" w:hAnsi="Book Antiqua"/>
          <w:color w:val="000000" w:themeColor="text1"/>
        </w:rPr>
        <w:t>n</w:t>
      </w:r>
      <w:r w:rsidR="00F5232F" w:rsidRPr="005C5BEF">
        <w:rPr>
          <w:rFonts w:ascii="Book Antiqua" w:hAnsi="Book Antiqua"/>
          <w:color w:val="000000" w:themeColor="text1"/>
        </w:rPr>
        <w:t xml:space="preserve">ávrh zákona, </w:t>
      </w:r>
      <w:r w:rsidR="00D81B13" w:rsidRPr="005C5BEF">
        <w:rPr>
          <w:rFonts w:ascii="Book Antiqua" w:hAnsi="Book Antiqua" w:cs="Open Sans"/>
          <w:bCs/>
          <w:color w:val="000000"/>
          <w:shd w:val="clear" w:color="auto" w:fill="FFFFFF"/>
        </w:rPr>
        <w:t xml:space="preserve">ktorým </w:t>
      </w:r>
      <w:r w:rsidR="00FA0FC4" w:rsidRPr="005C5BEF">
        <w:rPr>
          <w:rFonts w:ascii="Book Antiqua" w:hAnsi="Book Antiqua" w:cs="Open Sans"/>
          <w:bCs/>
          <w:color w:val="000000"/>
          <w:shd w:val="clear" w:color="auto" w:fill="FFFFFF"/>
        </w:rPr>
        <w:t>sa mení a dopĺňa zákon č. 461/2003 Z. z. o sociálnom poistení v znení neskorších predpisov a ktorým sa mení a dopĺňa zákon č. 328/2002 Z. z. o sociálnom zabezpečení policajtov a vojakov a o zmene a doplnení niektorých zákonov v znení neskorších predpisov</w:t>
      </w:r>
    </w:p>
    <w:p w14:paraId="78078201" w14:textId="4A07BEB3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53135B2B" w14:textId="3640CCC6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>a)</w:t>
      </w:r>
      <w:r w:rsidR="004A3D51" w:rsidRPr="005C5BEF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v primárnom práve (uviesť názov zmluvy a číslo článku)</w:t>
      </w:r>
    </w:p>
    <w:p w14:paraId="289D75BC" w14:textId="5A5E39C4" w:rsidR="005F0557" w:rsidRPr="005C5BEF" w:rsidRDefault="00D524FA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 xml:space="preserve"> - </w:t>
      </w:r>
      <w:r w:rsidR="00FA0FC4" w:rsidRPr="005C5BEF">
        <w:rPr>
          <w:rFonts w:ascii="Book Antiqua" w:eastAsia="Times New Roman" w:hAnsi="Book Antiqua" w:cs="Times New Roman"/>
          <w:i/>
          <w:iCs/>
          <w:color w:val="000000" w:themeColor="text1"/>
        </w:rPr>
        <w:t>čl. 151 a 153 Zmluvy o fungovaní Európskej únie (konsolidované znenie) (Ú. v. ES C 202, 7. 6. 2016) v platnom znení,</w:t>
      </w:r>
    </w:p>
    <w:p w14:paraId="3BBA8377" w14:textId="1A7BFD3A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>b)</w:t>
      </w:r>
      <w:r w:rsidR="004A3D51" w:rsidRPr="005C5BEF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v</w:t>
      </w:r>
      <w:r w:rsidRPr="005C5BEF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sekundárnom</w:t>
      </w:r>
      <w:r w:rsidRPr="005C5BEF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práve</w:t>
      </w:r>
      <w:r w:rsidRPr="005C5BEF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(uviesť</w:t>
      </w:r>
      <w:r w:rsidRPr="005C5BEF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druh,</w:t>
      </w:r>
      <w:r w:rsidRPr="005C5BEF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inštitúciu,</w:t>
      </w:r>
      <w:r w:rsidRPr="005C5BEF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číslo,</w:t>
      </w:r>
      <w:r w:rsidRPr="005C5BEF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názov</w:t>
      </w:r>
      <w:r w:rsidRPr="005C5BEF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a</w:t>
      </w:r>
      <w:r w:rsidRPr="005C5BEF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dátum</w:t>
      </w:r>
      <w:r w:rsidRPr="005C5BEF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vydania</w:t>
      </w:r>
      <w:r w:rsidRPr="005C5BEF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právneho aktu vzťahujúceho sa na upravovanú problematiku)</w:t>
      </w:r>
    </w:p>
    <w:p w14:paraId="57CCFA05" w14:textId="77777777" w:rsidR="00FA0FC4" w:rsidRPr="005C5BEF" w:rsidRDefault="005F0557" w:rsidP="00FA0FC4">
      <w:pPr>
        <w:spacing w:after="120" w:line="240" w:lineRule="auto"/>
        <w:jc w:val="both"/>
        <w:rPr>
          <w:rFonts w:ascii="Book Antiqua" w:eastAsia="Times New Roman" w:hAnsi="Book Antiqua" w:cs="Times New Roman"/>
          <w:i/>
          <w:iCs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>-</w:t>
      </w:r>
      <w:r w:rsidR="00FA0FC4" w:rsidRPr="005C5BEF">
        <w:rPr>
          <w:rFonts w:ascii="Book Antiqua" w:eastAsia="Times New Roman" w:hAnsi="Book Antiqua" w:cs="Times New Roman"/>
          <w:i/>
          <w:iCs/>
          <w:color w:val="000000" w:themeColor="text1"/>
        </w:rPr>
        <w:t xml:space="preserve">Nariadenie (ES) Európskeho parlamentu a Rady 883/2004 z 29. apríla 2004 o koordinácii systémov sociálneho zabezpečenia (Ú. v. EÚ L 166, 30.4.2004; Mimoriadne vydanie Ú. v. EÚ, kap. 5/zv. 5) v platnom znení, gestor: MPSVR SR, </w:t>
      </w:r>
    </w:p>
    <w:p w14:paraId="32F3FC5B" w14:textId="0463C450" w:rsidR="00FA0FC4" w:rsidRPr="005C5BEF" w:rsidRDefault="00FA0FC4" w:rsidP="00FA0FC4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  <w:spacing w:val="43"/>
        </w:rPr>
      </w:pPr>
      <w:r w:rsidRPr="005C5BEF">
        <w:rPr>
          <w:rFonts w:ascii="Book Antiqua" w:eastAsia="Times New Roman" w:hAnsi="Book Antiqua" w:cs="Times New Roman"/>
          <w:i/>
          <w:iCs/>
          <w:color w:val="000000" w:themeColor="text1"/>
        </w:rPr>
        <w:t xml:space="preserve">−Nariadenie Európskeho parlamentu a Rady (ES) č. 987/2009 zo 16. septembra 2009, ktorým sa stanovuje postup vykonávania nariadenia (ES) č. 883/2004 o koordinácii systémov sociálneho zabezpečenia (Ú. v. EÚ L 284, 30.10.2009) v platnom znení, gestor: MPSVR SR, </w:t>
      </w:r>
      <w:r w:rsidR="005F0557" w:rsidRPr="005C5BEF">
        <w:rPr>
          <w:rFonts w:ascii="Book Antiqua" w:eastAsia="Times New Roman" w:hAnsi="Book Antiqua" w:cs="Times New Roman"/>
          <w:color w:val="000000" w:themeColor="text1"/>
        </w:rPr>
        <w:t>c)</w:t>
      </w:r>
      <w:r w:rsidR="004A3D51" w:rsidRPr="005C5BEF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="005F0557" w:rsidRPr="005C5BEF">
        <w:rPr>
          <w:rFonts w:ascii="Book Antiqua" w:eastAsia="Times New Roman" w:hAnsi="Book Antiqua" w:cs="Times New Roman"/>
          <w:color w:val="000000" w:themeColor="text1"/>
        </w:rPr>
        <w:t>v</w:t>
      </w:r>
      <w:r w:rsidRPr="005C5BEF">
        <w:rPr>
          <w:rFonts w:ascii="Book Antiqua" w:eastAsia="Times New Roman" w:hAnsi="Book Antiqua" w:cs="Times New Roman"/>
          <w:color w:val="000000" w:themeColor="text1"/>
          <w:spacing w:val="43"/>
        </w:rPr>
        <w:t> </w:t>
      </w:r>
      <w:r w:rsidR="005F0557" w:rsidRPr="005C5BEF">
        <w:rPr>
          <w:rFonts w:ascii="Book Antiqua" w:eastAsia="Times New Roman" w:hAnsi="Book Antiqua" w:cs="Times New Roman"/>
          <w:color w:val="000000" w:themeColor="text1"/>
        </w:rPr>
        <w:t>judikatúre</w:t>
      </w:r>
    </w:p>
    <w:p w14:paraId="1EA2DD5A" w14:textId="4228D158" w:rsidR="005F0557" w:rsidRPr="005C5BEF" w:rsidRDefault="005F0557" w:rsidP="00FA0FC4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>Súdneho</w:t>
      </w:r>
      <w:r w:rsidRPr="005C5BEF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dvora</w:t>
      </w:r>
      <w:r w:rsidRPr="005C5BEF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Európskej</w:t>
      </w:r>
      <w:r w:rsidRPr="005C5BEF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únie</w:t>
      </w:r>
      <w:r w:rsidRPr="005C5BEF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(uviesť</w:t>
      </w:r>
      <w:r w:rsidRPr="005C5BEF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číslo</w:t>
      </w:r>
      <w:r w:rsidRPr="005C5BEF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a</w:t>
      </w:r>
      <w:r w:rsidRPr="005C5BEF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označenie</w:t>
      </w:r>
      <w:r w:rsidRPr="005C5BEF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relevantného rozhodnutia a stručne jeho výrok alebo relevantné právne vety)</w:t>
      </w:r>
    </w:p>
    <w:p w14:paraId="69127E30" w14:textId="77777777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>-</w:t>
      </w:r>
      <w:r w:rsidRPr="005C5BEF">
        <w:rPr>
          <w:rFonts w:ascii="Book Antiqua" w:eastAsia="Times New Roman" w:hAnsi="Book Antiqua" w:cs="Times New Roman"/>
          <w:i/>
          <w:iCs/>
          <w:color w:val="000000" w:themeColor="text1"/>
        </w:rPr>
        <w:t>bezpredmetné</w:t>
      </w:r>
    </w:p>
    <w:p w14:paraId="057FF5FF" w14:textId="3274E4A5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b/>
          <w:bCs/>
          <w:color w:val="000000" w:themeColor="text1"/>
        </w:rPr>
        <w:t xml:space="preserve">4. Záväzky Slovenskej republiky vo vzťahu k Európskej únii: </w:t>
      </w:r>
    </w:p>
    <w:p w14:paraId="190CE319" w14:textId="6EFCA1EB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>a)</w:t>
      </w:r>
      <w:r w:rsidR="004A3D51" w:rsidRPr="005C5BEF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uviesť</w:t>
      </w:r>
      <w:r w:rsidRPr="005C5BEF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lehotu</w:t>
      </w:r>
      <w:r w:rsidRPr="005C5BEF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na</w:t>
      </w:r>
      <w:r w:rsidRPr="005C5BEF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prebranie</w:t>
      </w:r>
      <w:r w:rsidRPr="005C5BEF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príslušného</w:t>
      </w:r>
      <w:r w:rsidRPr="005C5BEF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právneho</w:t>
      </w:r>
      <w:r w:rsidRPr="005C5BEF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aktu</w:t>
      </w:r>
      <w:r w:rsidRPr="005C5BEF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Európskej</w:t>
      </w:r>
      <w:r w:rsidRPr="005C5BEF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únie,</w:t>
      </w:r>
      <w:r w:rsidRPr="005C5BEF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príp.</w:t>
      </w:r>
      <w:r w:rsidRPr="005C5BEF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aj</w:t>
      </w:r>
      <w:r w:rsidRPr="005C5BEF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osobitná lehota účinnosti jeho ustanovení,</w:t>
      </w:r>
    </w:p>
    <w:p w14:paraId="1E70F70C" w14:textId="77777777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>-</w:t>
      </w:r>
      <w:r w:rsidRPr="005C5BEF">
        <w:rPr>
          <w:rFonts w:ascii="Book Antiqua" w:eastAsia="Times New Roman" w:hAnsi="Book Antiqua" w:cs="Times New Roman"/>
          <w:i/>
          <w:iCs/>
          <w:color w:val="000000" w:themeColor="text1"/>
        </w:rPr>
        <w:t>bezpredmetné</w:t>
      </w:r>
    </w:p>
    <w:p w14:paraId="6EC24D57" w14:textId="6CDC93FA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>b)</w:t>
      </w:r>
      <w:r w:rsidR="004A3D51" w:rsidRPr="005C5BEF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uviesť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informáciu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o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začatí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konania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v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rámci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„EÚ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Pilot“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alebo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o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začatí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postupu</w:t>
      </w:r>
      <w:r w:rsidRPr="005C5BEF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Európskej komisie,</w:t>
      </w:r>
      <w:r w:rsidRPr="005C5BEF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alebo</w:t>
      </w:r>
      <w:r w:rsidRPr="005C5BEF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o</w:t>
      </w:r>
      <w:r w:rsidRPr="005C5BEF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konaní</w:t>
      </w:r>
      <w:r w:rsidRPr="005C5BEF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Súdneho</w:t>
      </w:r>
      <w:r w:rsidRPr="005C5BEF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dvora</w:t>
      </w:r>
      <w:r w:rsidRPr="005C5BEF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Európskej</w:t>
      </w:r>
      <w:r w:rsidRPr="005C5BEF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únie</w:t>
      </w:r>
      <w:r w:rsidRPr="005C5BEF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proti</w:t>
      </w:r>
      <w:r w:rsidRPr="005C5BEF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Slovenskej</w:t>
      </w:r>
      <w:r w:rsidRPr="005C5BEF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republike podľa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čl.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258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a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260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Zmluvy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o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fungovaní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Európskej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únie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v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jej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platnom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znení,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spolu</w:t>
      </w:r>
      <w:r w:rsidRPr="005C5BEF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s uvedením</w:t>
      </w:r>
      <w:r w:rsidRPr="005C5BEF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konkrétnych</w:t>
      </w:r>
      <w:r w:rsidRPr="005C5BEF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vytýkaných</w:t>
      </w:r>
      <w:r w:rsidRPr="005C5BEF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nedostatkov</w:t>
      </w:r>
      <w:r w:rsidRPr="005C5BEF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a</w:t>
      </w:r>
      <w:r w:rsidRPr="005C5BEF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požiadaviek</w:t>
      </w:r>
      <w:r w:rsidRPr="005C5BEF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na</w:t>
      </w:r>
      <w:r w:rsidRPr="005C5BEF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zabezpečenie nápravy,</w:t>
      </w:r>
    </w:p>
    <w:p w14:paraId="2F1DF579" w14:textId="77777777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>-</w:t>
      </w:r>
      <w:r w:rsidRPr="005C5BEF">
        <w:rPr>
          <w:rFonts w:ascii="Book Antiqua" w:eastAsia="Times New Roman" w:hAnsi="Book Antiqua" w:cs="Times New Roman"/>
          <w:i/>
          <w:iCs/>
          <w:color w:val="000000" w:themeColor="text1"/>
        </w:rPr>
        <w:t>bezpredmetné</w:t>
      </w:r>
    </w:p>
    <w:p w14:paraId="2B5EE7F8" w14:textId="37BC57D7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>c)</w:t>
      </w:r>
      <w:r w:rsidR="004A3D51" w:rsidRPr="005C5BEF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uviesť</w:t>
      </w:r>
      <w:r w:rsidRPr="005C5BEF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informáciu</w:t>
      </w:r>
      <w:r w:rsidRPr="005C5BEF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o</w:t>
      </w:r>
      <w:r w:rsidRPr="005C5BEF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právnych</w:t>
      </w:r>
      <w:r w:rsidRPr="005C5BEF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predpisoch,</w:t>
      </w:r>
      <w:r w:rsidRPr="005C5BEF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v</w:t>
      </w:r>
      <w:r w:rsidRPr="005C5BEF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ktorých</w:t>
      </w:r>
      <w:r w:rsidRPr="005C5BEF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sú</w:t>
      </w:r>
      <w:r w:rsidRPr="005C5BEF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uvádzané</w:t>
      </w:r>
      <w:r w:rsidRPr="005C5BEF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právne</w:t>
      </w:r>
      <w:r w:rsidRPr="005C5BEF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akty</w:t>
      </w:r>
      <w:r w:rsidRPr="005C5BEF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Európskej únie</w:t>
      </w:r>
      <w:r w:rsidRPr="005C5BEF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už</w:t>
      </w:r>
      <w:r w:rsidRPr="005C5BEF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prebrané,</w:t>
      </w:r>
      <w:r w:rsidRPr="005C5BEF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spolu</w:t>
      </w:r>
      <w:r w:rsidRPr="005C5BEF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s</w:t>
      </w:r>
      <w:r w:rsidRPr="005C5BEF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uvedením</w:t>
      </w:r>
      <w:r w:rsidRPr="005C5BEF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rozsahu</w:t>
      </w:r>
      <w:r w:rsidRPr="005C5BEF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ich</w:t>
      </w:r>
      <w:r w:rsidRPr="005C5BEF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prebrania,</w:t>
      </w:r>
      <w:r w:rsidRPr="005C5BEF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príp.</w:t>
      </w:r>
      <w:r w:rsidRPr="005C5BEF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potreby</w:t>
      </w:r>
      <w:r w:rsidRPr="005C5BEF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prijatia</w:t>
      </w:r>
      <w:r w:rsidRPr="005C5BEF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C5BEF">
        <w:rPr>
          <w:rFonts w:ascii="Book Antiqua" w:eastAsia="Times New Roman" w:hAnsi="Book Antiqua" w:cs="Times New Roman"/>
          <w:color w:val="000000" w:themeColor="text1"/>
        </w:rPr>
        <w:t>ďalších úprav.</w:t>
      </w:r>
    </w:p>
    <w:p w14:paraId="72F5D3BB" w14:textId="77777777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>-</w:t>
      </w:r>
      <w:r w:rsidRPr="005C5BEF">
        <w:rPr>
          <w:rFonts w:ascii="Book Antiqua" w:eastAsia="Times New Roman" w:hAnsi="Book Antiqua" w:cs="Times New Roman"/>
          <w:i/>
          <w:iCs/>
          <w:color w:val="000000" w:themeColor="text1"/>
        </w:rPr>
        <w:t>bezpredmetné</w:t>
      </w:r>
    </w:p>
    <w:p w14:paraId="39B473E0" w14:textId="77777777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</w:p>
    <w:p w14:paraId="5BC8A771" w14:textId="5ACE2BD8" w:rsidR="005F0557" w:rsidRPr="005C5BEF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b/>
          <w:bCs/>
          <w:color w:val="000000" w:themeColor="text1"/>
        </w:rPr>
        <w:t>5.</w:t>
      </w:r>
      <w:r w:rsidRPr="005C5BEF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C5BEF">
        <w:rPr>
          <w:rFonts w:ascii="Book Antiqua" w:eastAsia="Times New Roman" w:hAnsi="Book Antiqua" w:cs="Times New Roman"/>
          <w:b/>
          <w:bCs/>
          <w:color w:val="000000" w:themeColor="text1"/>
        </w:rPr>
        <w:t>Návrh zákona je zlučiteľný s právom Európskej únie</w:t>
      </w:r>
    </w:p>
    <w:p w14:paraId="34D8DC10" w14:textId="77777777" w:rsidR="00D524FA" w:rsidRPr="005C5BEF" w:rsidRDefault="005F0557" w:rsidP="00D524FA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eastAsia="Times New Roman" w:hAnsi="Book Antiqua" w:cs="Times New Roman"/>
          <w:color w:val="000000" w:themeColor="text1"/>
        </w:rPr>
        <w:t xml:space="preserve">Stupeň zlučiteľnosti - úplný </w:t>
      </w:r>
    </w:p>
    <w:p w14:paraId="21CFDF5D" w14:textId="77777777" w:rsidR="00D81B13" w:rsidRPr="005C5BEF" w:rsidRDefault="00D81B13" w:rsidP="00D524FA">
      <w:pPr>
        <w:spacing w:after="120" w:line="240" w:lineRule="auto"/>
        <w:jc w:val="center"/>
        <w:rPr>
          <w:rFonts w:ascii="Book Antiqua" w:hAnsi="Book Antiqua"/>
          <w:b/>
        </w:rPr>
      </w:pPr>
    </w:p>
    <w:p w14:paraId="707E5EFF" w14:textId="4CEFAD15" w:rsidR="00AD7716" w:rsidRPr="005C5BEF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5C5BEF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5C5BEF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5C5BEF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5C5BEF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5C5BEF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5C5BEF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5C5BEF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7BD522F1" w:rsidR="00AD7716" w:rsidRPr="005C5BEF" w:rsidRDefault="00711499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5BE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FA0FC4" w:rsidRPr="005C5BEF">
              <w:rPr>
                <w:rFonts w:ascii="Book Antiqua" w:hAnsi="Book Antiqua" w:cs="Times New Roman"/>
                <w:sz w:val="20"/>
                <w:szCs w:val="20"/>
              </w:rPr>
              <w:t>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</w:t>
            </w:r>
          </w:p>
        </w:tc>
      </w:tr>
      <w:tr w:rsidR="00AD7716" w:rsidRPr="005C5BEF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5C5BEF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>Navrhovateľ (a spolunavrhovatelia)</w:t>
            </w:r>
          </w:p>
        </w:tc>
      </w:tr>
      <w:tr w:rsidR="00AD7716" w:rsidRPr="005C5BEF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5C5BEF" w:rsidRDefault="00194A04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5C5BEF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5C5BEF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5C5BEF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5C5BEF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5C5BEF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5C5BEF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5C5BEF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5C5BEF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5EDA329C" w:rsidR="00AD7716" w:rsidRPr="005C5BEF" w:rsidRDefault="00FA0FC4" w:rsidP="00D524FA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Suma 13. dôchodkov, ktorá nezodpovedá predvolebným sľubom predstaviteľov vládnej koalície</w:t>
            </w:r>
            <w:r w:rsidR="00D81B13"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5C5BEF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5C5BEF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5C5BEF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5C5BEF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5C5BEF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32B2B4A4" w:rsidR="00AD7716" w:rsidRPr="005C5BEF" w:rsidRDefault="00AD7716" w:rsidP="00EA124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Cieľom predkladaného návrhu zákona je</w:t>
            </w:r>
            <w:r w:rsidR="00711499"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</w:t>
            </w:r>
            <w:r w:rsidR="00FA0FC4"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nastavenie výšky 13. dôchodku na sumu priemerného starobného dôchodku a doplatenie 13. dôchodku za rok 2023, o ktorý boli dôchodcovia ukrátení.</w:t>
            </w:r>
          </w:p>
        </w:tc>
      </w:tr>
      <w:tr w:rsidR="00AD7716" w:rsidRPr="005C5BEF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5C5BEF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5C5BEF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5C5BEF" w:rsidRDefault="00A64B28" w:rsidP="00AC02BC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5C5BEF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06DFEDC6" w14:textId="77777777" w:rsidR="00AD7716" w:rsidRPr="005C5BEF" w:rsidRDefault="00FA0FC4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Dôchodcovia</w:t>
            </w:r>
          </w:p>
          <w:p w14:paraId="772B2638" w14:textId="4227129B" w:rsidR="00FA0FC4" w:rsidRPr="005C5BEF" w:rsidRDefault="00FA0FC4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Sociálna poisťovňa</w:t>
            </w:r>
          </w:p>
        </w:tc>
      </w:tr>
      <w:tr w:rsidR="00AD7716" w:rsidRPr="005C5BEF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5C5BEF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5C5BEF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5C5BEF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5C5BEF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5C5BEF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726659ED" w:rsidR="00AD7716" w:rsidRPr="005C5BEF" w:rsidRDefault="00AD7716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5C5BEF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5C5BEF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5C5BEF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5C5BEF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5C5BEF" w:rsidRDefault="004A6AF2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5C5BEF" w:rsidRDefault="004A6AF2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5C5BEF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5C5BEF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5C5BEF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5C5BEF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5C5BEF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5C5BEF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5C5BEF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14:paraId="28162787" w14:textId="77777777" w:rsidR="00A64B28" w:rsidRPr="005C5BEF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5C5BEF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5C5BEF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5C5BEF" w:rsidRDefault="00AD7716" w:rsidP="00AC02BC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5C5BEF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5C5BEF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5C5BEF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5C5BEF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3A2D1BFC" w14:textId="678134BB" w:rsidR="00AD7716" w:rsidRPr="005C5BEF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 roku 2026, po zverejnení príslušných štatistických údajov za rok 2025</w:t>
            </w:r>
            <w:r w:rsidR="00D524FA"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  <w:p w14:paraId="44093C58" w14:textId="77777777" w:rsidR="00A64B28" w:rsidRPr="005C5BEF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6F977347" w14:textId="77777777" w:rsidR="00AD7716" w:rsidRPr="005C5BEF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02E57BE" w14:textId="39DFCC38" w:rsidR="00AD7716" w:rsidRPr="005C5BEF" w:rsidRDefault="00D81B13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Ž</w:t>
            </w:r>
            <w:r w:rsidR="00711499"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ivotná úroveň </w:t>
            </w:r>
            <w:r w:rsidR="00FA0FC4"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dôchodcov</w:t>
            </w:r>
            <w:r w:rsidR="00D524FA"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5C5BEF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5C5BEF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5C5BEF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3290E88E" w:rsidR="00AD7716" w:rsidRPr="005C5BEF" w:rsidRDefault="00711499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77777777" w:rsidR="00AD7716" w:rsidRPr="005C5BEF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5C5BEF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5C5BEF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5C5BEF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05BA289C" w14:textId="77777777" w:rsidR="00AD7716" w:rsidRPr="005C5BEF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lastRenderedPageBreak/>
              <w:t xml:space="preserve">    v prípade identifikovaného negatívneho </w:t>
            </w:r>
          </w:p>
          <w:p w14:paraId="51B49F85" w14:textId="77777777" w:rsidR="00AD7716" w:rsidRPr="005C5BEF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5C5BEF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08C3E7DB" w:rsidR="00AD7716" w:rsidRPr="005C5BEF" w:rsidRDefault="00711499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5C5BEF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5C5BEF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5C5BEF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5C5BEF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38D10F27" w:rsidR="00AD7716" w:rsidRPr="005C5BEF" w:rsidRDefault="00D81B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737B7AF9" w:rsidR="00AD7716" w:rsidRPr="005C5BEF" w:rsidRDefault="00FA0FC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4DBF913F" w:rsidR="00AD7716" w:rsidRPr="005C5BEF" w:rsidRDefault="00FA0FC4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5C5BEF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5C5BEF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5C5BEF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5C5BEF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5C5BEF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5C956E3C" w:rsidR="00AD7716" w:rsidRPr="005C5BEF" w:rsidRDefault="00D81B13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5C5BEF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5C5BEF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5C5BEF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5C5BEF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5C5BEF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6AE6FE67" w:rsidR="00AD7716" w:rsidRPr="005C5BEF" w:rsidRDefault="00FA0FC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24EDE7EE" w:rsidR="00AD7716" w:rsidRPr="005C5BEF" w:rsidRDefault="00FA0FC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5C5BEF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5C5BEF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5C5BEF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5C5BEF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5C5BEF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5C5BEF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5C5BEF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5C5BEF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5C5BEF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5C5BEF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5C5BEF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5C5BEF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5C5BEF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5C5BEF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5C5BEF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5C5BEF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5C5BEF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5BEF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5C5BEF" w:rsidRDefault="00AD7716" w:rsidP="00AC02BC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5C5BEF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5C5BEF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5C5BEF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5C5BEF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5C5BEF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5C5BEF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5C5BEF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5C5BEF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5C5BEF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5C5BE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5C5BEF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5C5BEF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C5BE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5C5BEF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5C5BEF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5C5BE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5C5BEF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298EDB31" w:rsidR="00AD7716" w:rsidRPr="005C5BEF" w:rsidRDefault="00FA0FC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5C5BEF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6B332C6F" w:rsidR="00AD7716" w:rsidRPr="005C5BEF" w:rsidRDefault="00FA0FC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5C5BEF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5C5BEF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5C5BEF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5C5BEF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5C5BEF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5C5BEF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5C5BEF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7257" w14:textId="77777777" w:rsidR="00A64B28" w:rsidRPr="005C5BEF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3F093A7D" w14:textId="77777777" w:rsidR="00A64B28" w:rsidRPr="005C5BEF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</w:p>
          <w:p w14:paraId="09B9EC14" w14:textId="5B8C3EEF" w:rsidR="00A64B28" w:rsidRPr="005C5BEF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62B91281" w14:textId="77777777" w:rsidR="00A64B28" w:rsidRPr="005C5BEF" w:rsidRDefault="00A64B28" w:rsidP="00A64B28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</w:p>
          <w:p w14:paraId="4DF66EC8" w14:textId="76BAE5D8" w:rsidR="00D524FA" w:rsidRPr="005C5BEF" w:rsidRDefault="00AD7716" w:rsidP="008A1A9C">
            <w:pPr>
              <w:spacing w:before="120"/>
              <w:jc w:val="both"/>
              <w:rPr>
                <w:rFonts w:ascii="Book Antiqua" w:hAnsi="Book Antiqua"/>
                <w:iCs/>
                <w:sz w:val="20"/>
                <w:szCs w:val="20"/>
                <w:lang w:eastAsia="ar-SA"/>
              </w:rPr>
            </w:pPr>
            <w:r w:rsidRPr="005C5B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Návrh zákona má negatívny vplyv na rozpočet verejnej správy</w:t>
            </w:r>
            <w:r w:rsidR="008A1A9C" w:rsidRPr="005C5B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, </w:t>
            </w:r>
            <w:r w:rsidR="004174AC" w:rsidRPr="005C5B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keďže sa zvýšia 13. dôchodky všetkým poberateľom 13. dôchodkov okrem starobných dôchodcov, keďže ich výška 13. dôchodku je už teraz určená ako priemerná suma starobného dôchodku.</w:t>
            </w:r>
          </w:p>
          <w:p w14:paraId="6CAA7023" w14:textId="021D2DB8" w:rsidR="00C44D52" w:rsidRPr="005C5BEF" w:rsidRDefault="00AD7716" w:rsidP="00C44D52">
            <w:pPr>
              <w:spacing w:before="120"/>
              <w:jc w:val="both"/>
              <w:rPr>
                <w:rFonts w:ascii="Book Antiqua" w:hAnsi="Book Antiqua"/>
                <w:iCs/>
                <w:sz w:val="20"/>
                <w:szCs w:val="20"/>
                <w:lang w:eastAsia="ar-SA"/>
              </w:rPr>
            </w:pPr>
            <w:r w:rsidRPr="005C5B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Vzhľadom na nedostatok údajov o</w:t>
            </w:r>
            <w:r w:rsidR="00C44D52" w:rsidRPr="005C5B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 </w:t>
            </w:r>
            <w:r w:rsidRPr="005C5B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aktuáln</w:t>
            </w:r>
            <w:r w:rsidR="00C44D52" w:rsidRPr="005C5B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ych </w:t>
            </w:r>
            <w:r w:rsidR="004174AC" w:rsidRPr="005C5B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priemerných </w:t>
            </w:r>
            <w:r w:rsidR="00C44D52" w:rsidRPr="005C5B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sumách </w:t>
            </w:r>
            <w:r w:rsidR="004174AC" w:rsidRPr="005C5B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jednotlivých dávok a počtu ich poberateľov nie je možné vyčísliť dopad na rozpočet verejnej správy</w:t>
            </w:r>
            <w:r w:rsidR="00C44D52" w:rsidRPr="005C5B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.</w:t>
            </w:r>
          </w:p>
          <w:p w14:paraId="7DC75F74" w14:textId="27F7E8CB" w:rsidR="00AD7716" w:rsidRPr="005C5BEF" w:rsidRDefault="00AD7716" w:rsidP="00C44D52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  <w:r w:rsidRPr="005C5B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Návrh zákona má pozitívne sociálne vplyvy najmä na hospodárenie obyvateľstva a sociálnu exklúziu.</w:t>
            </w:r>
          </w:p>
        </w:tc>
      </w:tr>
      <w:tr w:rsidR="00AD7716" w:rsidRPr="005C5BEF" w14:paraId="5DFAFDC8" w14:textId="77777777" w:rsidTr="00AC02BC">
        <w:tc>
          <w:tcPr>
            <w:tcW w:w="9176" w:type="dxa"/>
          </w:tcPr>
          <w:p w14:paraId="4D1C9E8A" w14:textId="77777777" w:rsidR="00AD7716" w:rsidRPr="005C5BEF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5C5BEF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5C5BEF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5C5BEF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5C5BEF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5C5BEF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5C5BEF" w14:paraId="3D7FF2C9" w14:textId="77777777" w:rsidTr="00AC02BC">
        <w:tc>
          <w:tcPr>
            <w:tcW w:w="9176" w:type="dxa"/>
          </w:tcPr>
          <w:p w14:paraId="5A5D046F" w14:textId="77777777" w:rsidR="00AD7716" w:rsidRPr="005C5BEF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C5BEF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5C5BEF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5C5BEF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5C5BEF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5B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5C5BEF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Pr="005C5BEF" w:rsidRDefault="00D524FA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5C5BEF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5C5BEF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5C5BEF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000CC520" w14:textId="77777777" w:rsidR="00B16F89" w:rsidRPr="005C5BEF" w:rsidRDefault="00B16F89" w:rsidP="00D524FA">
      <w:pPr>
        <w:rPr>
          <w:rFonts w:ascii="Book Antiqua" w:hAnsi="Book Antiqua" w:cs="Book Antiqua"/>
          <w:b/>
          <w:bCs/>
          <w:caps/>
          <w:spacing w:val="30"/>
        </w:rPr>
      </w:pPr>
    </w:p>
    <w:sectPr w:rsidR="00B16F89" w:rsidRPr="005C5BE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F193" w14:textId="77777777" w:rsidR="004A6AF2" w:rsidRDefault="004A6AF2" w:rsidP="00C97949">
      <w:pPr>
        <w:spacing w:after="0" w:line="240" w:lineRule="auto"/>
      </w:pPr>
      <w:r>
        <w:separator/>
      </w:r>
    </w:p>
  </w:endnote>
  <w:endnote w:type="continuationSeparator" w:id="0">
    <w:p w14:paraId="50856332" w14:textId="77777777" w:rsidR="004A6AF2" w:rsidRDefault="004A6AF2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0143DA5E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669">
          <w:rPr>
            <w:noProof/>
          </w:rPr>
          <w:t>4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E181E" w14:textId="77777777" w:rsidR="004A6AF2" w:rsidRDefault="004A6AF2" w:rsidP="00C97949">
      <w:pPr>
        <w:spacing w:after="0" w:line="240" w:lineRule="auto"/>
      </w:pPr>
      <w:r>
        <w:separator/>
      </w:r>
    </w:p>
  </w:footnote>
  <w:footnote w:type="continuationSeparator" w:id="0">
    <w:p w14:paraId="0D184C64" w14:textId="77777777" w:rsidR="004A6AF2" w:rsidRDefault="004A6AF2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11B96"/>
    <w:rsid w:val="00023FB8"/>
    <w:rsid w:val="00046726"/>
    <w:rsid w:val="00057C86"/>
    <w:rsid w:val="00074EE2"/>
    <w:rsid w:val="000D7AAE"/>
    <w:rsid w:val="00105157"/>
    <w:rsid w:val="001338D5"/>
    <w:rsid w:val="00180EC4"/>
    <w:rsid w:val="00191F05"/>
    <w:rsid w:val="00194A04"/>
    <w:rsid w:val="00197906"/>
    <w:rsid w:val="001A3650"/>
    <w:rsid w:val="001A762C"/>
    <w:rsid w:val="001F02BF"/>
    <w:rsid w:val="00214D57"/>
    <w:rsid w:val="00255EB4"/>
    <w:rsid w:val="002579C7"/>
    <w:rsid w:val="00293814"/>
    <w:rsid w:val="00323127"/>
    <w:rsid w:val="00323776"/>
    <w:rsid w:val="00334D0C"/>
    <w:rsid w:val="00374C8B"/>
    <w:rsid w:val="00381EC0"/>
    <w:rsid w:val="00386510"/>
    <w:rsid w:val="00386D8C"/>
    <w:rsid w:val="0038768A"/>
    <w:rsid w:val="003B2158"/>
    <w:rsid w:val="003C18E1"/>
    <w:rsid w:val="003D3E6B"/>
    <w:rsid w:val="00404AB4"/>
    <w:rsid w:val="004064CE"/>
    <w:rsid w:val="004174AC"/>
    <w:rsid w:val="00430AB9"/>
    <w:rsid w:val="004777CE"/>
    <w:rsid w:val="004A3D51"/>
    <w:rsid w:val="004A6AF2"/>
    <w:rsid w:val="004E0F11"/>
    <w:rsid w:val="004E58DE"/>
    <w:rsid w:val="00517DFD"/>
    <w:rsid w:val="005439BC"/>
    <w:rsid w:val="005C1297"/>
    <w:rsid w:val="005C5BEF"/>
    <w:rsid w:val="005F0011"/>
    <w:rsid w:val="005F0557"/>
    <w:rsid w:val="006540D6"/>
    <w:rsid w:val="00662B02"/>
    <w:rsid w:val="00687DAD"/>
    <w:rsid w:val="0069020B"/>
    <w:rsid w:val="006D1C1F"/>
    <w:rsid w:val="006F2637"/>
    <w:rsid w:val="006F7B9F"/>
    <w:rsid w:val="00711499"/>
    <w:rsid w:val="007253B8"/>
    <w:rsid w:val="00757A17"/>
    <w:rsid w:val="007838BE"/>
    <w:rsid w:val="008003F2"/>
    <w:rsid w:val="00802C5B"/>
    <w:rsid w:val="00844FFC"/>
    <w:rsid w:val="008756DD"/>
    <w:rsid w:val="008956BC"/>
    <w:rsid w:val="008A1A9C"/>
    <w:rsid w:val="008A5E46"/>
    <w:rsid w:val="008B1E22"/>
    <w:rsid w:val="008C0669"/>
    <w:rsid w:val="00911A32"/>
    <w:rsid w:val="00962AEC"/>
    <w:rsid w:val="00964F40"/>
    <w:rsid w:val="00983F2C"/>
    <w:rsid w:val="00986280"/>
    <w:rsid w:val="0099219C"/>
    <w:rsid w:val="00993083"/>
    <w:rsid w:val="009A375B"/>
    <w:rsid w:val="009E7FCC"/>
    <w:rsid w:val="00A10234"/>
    <w:rsid w:val="00A64B28"/>
    <w:rsid w:val="00A75AE5"/>
    <w:rsid w:val="00A77F33"/>
    <w:rsid w:val="00A94421"/>
    <w:rsid w:val="00AC3C7A"/>
    <w:rsid w:val="00AD7716"/>
    <w:rsid w:val="00AE0A03"/>
    <w:rsid w:val="00AF0B6F"/>
    <w:rsid w:val="00B01103"/>
    <w:rsid w:val="00B03694"/>
    <w:rsid w:val="00B14A4C"/>
    <w:rsid w:val="00B16F89"/>
    <w:rsid w:val="00B576F5"/>
    <w:rsid w:val="00B63A0B"/>
    <w:rsid w:val="00B76A1E"/>
    <w:rsid w:val="00BB6162"/>
    <w:rsid w:val="00BB6AD9"/>
    <w:rsid w:val="00BC652D"/>
    <w:rsid w:val="00BD6F41"/>
    <w:rsid w:val="00C04D6E"/>
    <w:rsid w:val="00C07DCA"/>
    <w:rsid w:val="00C44D52"/>
    <w:rsid w:val="00C45583"/>
    <w:rsid w:val="00C71033"/>
    <w:rsid w:val="00C7368E"/>
    <w:rsid w:val="00C97949"/>
    <w:rsid w:val="00CA1C34"/>
    <w:rsid w:val="00CA480F"/>
    <w:rsid w:val="00D04475"/>
    <w:rsid w:val="00D524FA"/>
    <w:rsid w:val="00D53140"/>
    <w:rsid w:val="00D6657D"/>
    <w:rsid w:val="00D81B13"/>
    <w:rsid w:val="00DF0CE7"/>
    <w:rsid w:val="00DF1BCB"/>
    <w:rsid w:val="00DF2B12"/>
    <w:rsid w:val="00E01592"/>
    <w:rsid w:val="00E064DE"/>
    <w:rsid w:val="00E22E81"/>
    <w:rsid w:val="00E372F7"/>
    <w:rsid w:val="00E76879"/>
    <w:rsid w:val="00EA1244"/>
    <w:rsid w:val="00EB20F0"/>
    <w:rsid w:val="00ED6DB9"/>
    <w:rsid w:val="00F5232F"/>
    <w:rsid w:val="00F61493"/>
    <w:rsid w:val="00F70678"/>
    <w:rsid w:val="00F75DFA"/>
    <w:rsid w:val="00F82401"/>
    <w:rsid w:val="00F87FA8"/>
    <w:rsid w:val="00F900C7"/>
    <w:rsid w:val="00FA0FC4"/>
    <w:rsid w:val="00FB4833"/>
    <w:rsid w:val="00FD059A"/>
    <w:rsid w:val="00FE016D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Klub SLOVENSKO, ZA ĽUDÍ, KÚ</cp:lastModifiedBy>
  <cp:revision>2</cp:revision>
  <dcterms:created xsi:type="dcterms:W3CDTF">2024-04-24T11:43:00Z</dcterms:created>
  <dcterms:modified xsi:type="dcterms:W3CDTF">2024-04-24T11:43:00Z</dcterms:modified>
</cp:coreProperties>
</file>