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00888">
      <w:pPr>
        <w:pStyle w:val="Title"/>
      </w:pPr>
      <w:r>
        <w:t>NÁRODNÁ RADA SLOVENSKEJ REPUBLIKY</w:t>
      </w:r>
    </w:p>
    <w:p w:rsidR="00400888">
      <w:pPr>
        <w:pStyle w:val="Subtitle"/>
      </w:pPr>
      <w:r w:rsidR="00AF70DA">
        <w:t>I</w:t>
      </w:r>
      <w:r w:rsidR="00E31E83">
        <w:t>X</w:t>
      </w:r>
      <w:r>
        <w:t>. volebné obdobie</w:t>
      </w:r>
    </w:p>
    <w:p w:rsidR="00400888">
      <w:r>
        <w:t>___________________________________________________________________________</w:t>
      </w:r>
    </w:p>
    <w:p w:rsidR="00400888">
      <w:r w:rsidR="00127DF7">
        <w:t>K číslu:</w:t>
      </w:r>
      <w:r w:rsidR="002B65A8">
        <w:t xml:space="preserve"> 308</w:t>
      </w:r>
      <w:r>
        <w:t>/20</w:t>
      </w:r>
      <w:r w:rsidR="002B65A8">
        <w:t>24</w:t>
      </w:r>
    </w:p>
    <w:p w:rsidR="00D760C8" w:rsidP="00F73D96">
      <w:r w:rsidR="00F73D96">
        <w:tab/>
        <w:tab/>
        <w:tab/>
        <w:tab/>
        <w:tab/>
        <w:t xml:space="preserve">        </w:t>
      </w:r>
    </w:p>
    <w:p w:rsidR="00400888" w:rsidRPr="00F73D96" w:rsidP="00D760C8">
      <w:pPr>
        <w:jc w:val="center"/>
      </w:pPr>
      <w:r w:rsidR="002B65A8">
        <w:rPr>
          <w:b/>
          <w:bCs/>
          <w:sz w:val="28"/>
        </w:rPr>
        <w:t>191</w:t>
      </w:r>
      <w:r>
        <w:rPr>
          <w:b/>
          <w:bCs/>
          <w:sz w:val="28"/>
        </w:rPr>
        <w:t>a</w:t>
      </w:r>
    </w:p>
    <w:p w:rsidR="00400888">
      <w:pPr>
        <w:rPr>
          <w:b/>
          <w:bCs/>
          <w:sz w:val="28"/>
        </w:rPr>
      </w:pPr>
    </w:p>
    <w:p w:rsidR="00400888">
      <w:pPr>
        <w:jc w:val="center"/>
        <w:rPr>
          <w:b/>
          <w:sz w:val="28"/>
        </w:rPr>
      </w:pPr>
      <w:r w:rsidR="002B65A8">
        <w:rPr>
          <w:b/>
          <w:sz w:val="28"/>
        </w:rPr>
        <w:t>S</w:t>
      </w:r>
      <w:r>
        <w:rPr>
          <w:b/>
          <w:sz w:val="28"/>
        </w:rPr>
        <w:t xml:space="preserve">práva </w:t>
      </w:r>
    </w:p>
    <w:p w:rsidR="00400888"/>
    <w:p w:rsidR="002B65A8" w:rsidRPr="002B65A8" w:rsidP="002B65A8">
      <w:pPr>
        <w:pStyle w:val="BodyText"/>
      </w:pPr>
      <w:r w:rsidR="00EB4B81">
        <w:t>výboru</w:t>
      </w:r>
      <w:r w:rsidRPr="00E31E83" w:rsidR="00400888">
        <w:t xml:space="preserve"> Národnej rady Slovenskej republiky o</w:t>
      </w:r>
      <w:r w:rsidRPr="00E31E83" w:rsidR="004E5E73">
        <w:t xml:space="preserve"> </w:t>
      </w:r>
      <w:r w:rsidRPr="00E31E83" w:rsidR="00400888">
        <w:t> výsledku prerokovania</w:t>
      </w:r>
      <w:r>
        <w:t xml:space="preserve"> </w:t>
      </w:r>
      <w:r w:rsidRPr="002B65A8">
        <w:t>návrhu na vyslovenie súhlasu Národnej rady Slovenskej republiky so zmenami Dohody o založení Európskej banky pre obnovu a rozvoj (tlač 191)</w:t>
      </w:r>
    </w:p>
    <w:p w:rsidR="00400888" w:rsidP="00E31E83">
      <w:pPr>
        <w:jc w:val="both"/>
        <w:rPr>
          <w:b/>
        </w:rPr>
      </w:pPr>
      <w:r>
        <w:rPr>
          <w:b/>
        </w:rPr>
        <w:t>_______</w:t>
      </w:r>
      <w:r w:rsidR="00E31E83">
        <w:rPr>
          <w:b/>
        </w:rPr>
        <w:t>_________________</w:t>
      </w:r>
      <w:r>
        <w:rPr>
          <w:b/>
        </w:rPr>
        <w:t>__________________________________________________</w:t>
      </w:r>
    </w:p>
    <w:p w:rsidR="00EB4B81">
      <w:pPr>
        <w:jc w:val="center"/>
        <w:rPr>
          <w:b/>
          <w:bCs/>
        </w:rPr>
      </w:pPr>
    </w:p>
    <w:p w:rsidR="0040088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AD5EFA">
      <w:pPr>
        <w:jc w:val="center"/>
        <w:rPr>
          <w:b/>
          <w:bCs/>
        </w:rPr>
      </w:pPr>
    </w:p>
    <w:p w:rsidR="00400888" w:rsidRPr="002B65A8" w:rsidP="002B65A8">
      <w:pPr>
        <w:pStyle w:val="BodyText"/>
        <w:rPr>
          <w:b w:val="0"/>
        </w:rPr>
      </w:pPr>
      <w:r w:rsidRPr="00E31E83">
        <w:t xml:space="preserve"> </w:t>
      </w:r>
      <w:r w:rsidRPr="00E31E83" w:rsidR="005D5F51">
        <w:t xml:space="preserve">       </w:t>
      </w:r>
      <w:r w:rsidRPr="002B65A8">
        <w:rPr>
          <w:b w:val="0"/>
        </w:rPr>
        <w:t>Predseda  Národnej rady Slove</w:t>
      </w:r>
      <w:r w:rsidRPr="002B65A8" w:rsidR="004E5E73">
        <w:rPr>
          <w:b w:val="0"/>
        </w:rPr>
        <w:t>ns</w:t>
      </w:r>
      <w:r w:rsidRPr="002B65A8" w:rsidR="00166A63">
        <w:rPr>
          <w:b w:val="0"/>
        </w:rPr>
        <w:t>kej republiky rozhodnutím č.</w:t>
      </w:r>
      <w:r w:rsidRPr="002B65A8" w:rsidR="00127DF7">
        <w:rPr>
          <w:b w:val="0"/>
        </w:rPr>
        <w:t xml:space="preserve"> </w:t>
      </w:r>
      <w:r w:rsidRPr="002B65A8" w:rsidR="002B65A8">
        <w:rPr>
          <w:b w:val="0"/>
        </w:rPr>
        <w:t>204</w:t>
      </w:r>
      <w:r w:rsidRPr="002B65A8" w:rsidR="005062C4">
        <w:rPr>
          <w:b w:val="0"/>
        </w:rPr>
        <w:t xml:space="preserve"> z</w:t>
      </w:r>
      <w:r w:rsidRPr="002B65A8" w:rsidR="009244A9">
        <w:rPr>
          <w:b w:val="0"/>
        </w:rPr>
        <w:t> </w:t>
      </w:r>
      <w:r w:rsidRPr="002B65A8" w:rsidR="002B65A8">
        <w:rPr>
          <w:b w:val="0"/>
        </w:rPr>
        <w:t>13</w:t>
      </w:r>
      <w:r w:rsidRPr="002B65A8" w:rsidR="009244A9">
        <w:rPr>
          <w:b w:val="0"/>
        </w:rPr>
        <w:t xml:space="preserve">. </w:t>
      </w:r>
      <w:r w:rsidRPr="002B65A8" w:rsidR="002B65A8">
        <w:rPr>
          <w:b w:val="0"/>
        </w:rPr>
        <w:t>februára</w:t>
      </w:r>
      <w:r w:rsidRPr="002B65A8" w:rsidR="00E31E83">
        <w:rPr>
          <w:b w:val="0"/>
        </w:rPr>
        <w:t xml:space="preserve"> </w:t>
      </w:r>
      <w:r w:rsidRPr="002B65A8" w:rsidR="004E5E73">
        <w:rPr>
          <w:b w:val="0"/>
        </w:rPr>
        <w:t>20</w:t>
      </w:r>
      <w:r w:rsidRPr="002B65A8" w:rsidR="00E31E83">
        <w:rPr>
          <w:b w:val="0"/>
        </w:rPr>
        <w:t>2</w:t>
      </w:r>
      <w:r w:rsidRPr="002B65A8" w:rsidR="002B65A8">
        <w:rPr>
          <w:b w:val="0"/>
        </w:rPr>
        <w:t>4</w:t>
      </w:r>
      <w:r w:rsidRPr="002B65A8" w:rsidR="004E5E73">
        <w:rPr>
          <w:b w:val="0"/>
        </w:rPr>
        <w:t xml:space="preserve"> </w:t>
      </w:r>
      <w:r w:rsidRPr="002B65A8">
        <w:rPr>
          <w:b w:val="0"/>
        </w:rPr>
        <w:t>pridelil</w:t>
      </w:r>
      <w:r w:rsidRPr="002B65A8" w:rsidR="005D5F51">
        <w:rPr>
          <w:b w:val="0"/>
        </w:rPr>
        <w:t xml:space="preserve"> </w:t>
      </w:r>
      <w:r w:rsidRPr="002B65A8" w:rsidR="002B65A8">
        <w:rPr>
          <w:b w:val="0"/>
        </w:rPr>
        <w:t xml:space="preserve">návrh na vyslovenie súhlasu Národnej rady Slovenskej republiky so zmenami Dohody o založení Európskej banky pre obnovu a rozvoj (tlač 191) </w:t>
      </w:r>
      <w:r w:rsidRPr="002B65A8" w:rsidR="00AD5EFA">
        <w:rPr>
          <w:b w:val="0"/>
        </w:rPr>
        <w:t xml:space="preserve">na prerokovanie </w:t>
      </w:r>
      <w:r w:rsidRPr="002B65A8">
        <w:rPr>
          <w:b w:val="0"/>
        </w:rPr>
        <w:t>t</w:t>
      </w:r>
      <w:r w:rsidR="002B65A8">
        <w:rPr>
          <w:b w:val="0"/>
        </w:rPr>
        <w:t>ýmto výborom</w:t>
      </w:r>
      <w:r w:rsidRPr="002B65A8">
        <w:rPr>
          <w:b w:val="0"/>
        </w:rPr>
        <w:t xml:space="preserve"> Nár</w:t>
      </w:r>
      <w:r w:rsidRPr="002B65A8" w:rsidR="005062C4">
        <w:rPr>
          <w:b w:val="0"/>
        </w:rPr>
        <w:t>odnej rady Slovenskej republiky</w:t>
      </w:r>
      <w:r w:rsidRPr="002B65A8">
        <w:rPr>
          <w:b w:val="0"/>
        </w:rPr>
        <w:t>:</w:t>
      </w:r>
    </w:p>
    <w:p w:rsidR="00400888">
      <w:pPr>
        <w:pStyle w:val="BodyText2"/>
      </w:pPr>
    </w:p>
    <w:p w:rsidR="002B65A8" w:rsidP="004E5E73">
      <w:pPr>
        <w:pStyle w:val="BodyText2"/>
        <w:numPr>
          <w:ilvl w:val="0"/>
          <w:numId w:val="2"/>
        </w:numPr>
        <w:jc w:val="left"/>
      </w:pPr>
      <w:r>
        <w:t>Ústavnoprávnemu výboru Národnej rady Slovenskej republiky,</w:t>
      </w:r>
    </w:p>
    <w:p w:rsidR="00400888" w:rsidP="004E5E73">
      <w:pPr>
        <w:pStyle w:val="BodyText2"/>
        <w:numPr>
          <w:ilvl w:val="0"/>
          <w:numId w:val="2"/>
        </w:numPr>
        <w:jc w:val="left"/>
      </w:pPr>
      <w:r>
        <w:t>Výboru Národnej rady Slovenskej republiky p</w:t>
      </w:r>
      <w:r w:rsidR="007C326C">
        <w:t>re financie a</w:t>
      </w:r>
      <w:r>
        <w:t xml:space="preserve"> rozpočet </w:t>
      </w:r>
    </w:p>
    <w:p w:rsidR="002B65A8" w:rsidP="002B65A8">
      <w:pPr>
        <w:pStyle w:val="BodyText2"/>
        <w:ind w:left="720"/>
        <w:jc w:val="left"/>
      </w:pPr>
    </w:p>
    <w:p w:rsidR="00400888">
      <w:pPr>
        <w:pStyle w:val="BodyText2"/>
        <w:jc w:val="left"/>
      </w:pPr>
      <w:r w:rsidR="00EB4B81">
        <w:t xml:space="preserve"> </w:t>
      </w:r>
    </w:p>
    <w:p w:rsidR="006F7D74" w:rsidP="00A93456">
      <w:pPr>
        <w:pStyle w:val="BodyText2"/>
        <w:ind w:firstLine="705"/>
      </w:pPr>
      <w:r>
        <w:t>Za gestorský výbor určil Výbor Národnej rady Slovenskej republiky pre financie a rozpočet.</w:t>
      </w:r>
    </w:p>
    <w:p w:rsidR="006F7D74" w:rsidP="006F7D74">
      <w:pPr>
        <w:pStyle w:val="BodyText2"/>
        <w:ind w:left="360"/>
        <w:jc w:val="left"/>
      </w:pPr>
    </w:p>
    <w:p w:rsidR="004E5E73" w:rsidP="004E5E73">
      <w:pPr>
        <w:ind w:firstLine="705"/>
        <w:jc w:val="both"/>
      </w:pPr>
      <w:r w:rsidR="002B65A8">
        <w:t>Uvedené</w:t>
      </w:r>
      <w:r w:rsidR="00400888">
        <w:t xml:space="preserve"> výbor</w:t>
      </w:r>
      <w:r w:rsidR="002B65A8">
        <w:t>y</w:t>
      </w:r>
      <w:r w:rsidR="00400888">
        <w:t xml:space="preserve"> pre</w:t>
      </w:r>
      <w:r w:rsidR="005E4CE8">
        <w:t>rokoval</w:t>
      </w:r>
      <w:r w:rsidR="002B65A8">
        <w:t>i</w:t>
      </w:r>
      <w:r w:rsidR="005E4CE8">
        <w:t xml:space="preserve"> predm</w:t>
      </w:r>
      <w:r w:rsidR="005E4CE8">
        <w:t>etný návrh</w:t>
      </w:r>
      <w:r w:rsidRPr="00B54026" w:rsidR="00B54026">
        <w:t xml:space="preserve"> </w:t>
      </w:r>
      <w:r w:rsidR="00B54026">
        <w:t xml:space="preserve">na vyslovenie </w:t>
      </w:r>
      <w:r w:rsidR="00127DF7">
        <w:t>súhlasu NR SR s uvedeným návrhom</w:t>
      </w:r>
      <w:r w:rsidR="005E4CE8">
        <w:t xml:space="preserve"> </w:t>
      </w:r>
      <w:r>
        <w:t>v stanovenom termíne.</w:t>
      </w:r>
    </w:p>
    <w:p w:rsidR="00400888">
      <w:pPr>
        <w:ind w:firstLine="705"/>
        <w:jc w:val="both"/>
      </w:pPr>
    </w:p>
    <w:p w:rsidR="00AD5EFA">
      <w:pPr>
        <w:pStyle w:val="BodyText2"/>
        <w:ind w:left="4248"/>
        <w:rPr>
          <w:b/>
        </w:rPr>
      </w:pPr>
    </w:p>
    <w:p w:rsidR="00400888">
      <w:pPr>
        <w:pStyle w:val="BodyText2"/>
        <w:ind w:left="4248"/>
        <w:rPr>
          <w:b/>
        </w:rPr>
      </w:pPr>
      <w:r w:rsidR="00AD5EFA">
        <w:rPr>
          <w:b/>
        </w:rPr>
        <w:t>II</w:t>
      </w:r>
      <w:r>
        <w:rPr>
          <w:b/>
        </w:rPr>
        <w:t>.</w:t>
      </w:r>
    </w:p>
    <w:p w:rsidR="00AD5EFA">
      <w:pPr>
        <w:pStyle w:val="BodyText2"/>
        <w:ind w:left="4248"/>
        <w:rPr>
          <w:b/>
        </w:rPr>
      </w:pPr>
    </w:p>
    <w:p w:rsidR="006F7D74" w:rsidP="006F7D74">
      <w:pPr>
        <w:pStyle w:val="BodyText2"/>
      </w:pPr>
      <w:r w:rsidR="00400888">
        <w:t xml:space="preserve"> </w:t>
      </w:r>
      <w:r w:rsidR="00D815CD">
        <w:tab/>
      </w:r>
      <w:r w:rsidR="00EB4B81">
        <w:t>K predmetnému návrhu zaujal</w:t>
      </w:r>
      <w:r w:rsidR="00DE5B3E">
        <w:t>i</w:t>
      </w:r>
      <w:r>
        <w:t xml:space="preserve"> výbor</w:t>
      </w:r>
      <w:r w:rsidR="002B65A8">
        <w:t>y</w:t>
      </w:r>
      <w:r>
        <w:t xml:space="preserve"> Národnej rady Slovenskej republiky toto stanovisko :</w:t>
      </w:r>
    </w:p>
    <w:p w:rsidR="006F7D74" w:rsidP="006F7D74">
      <w:pPr>
        <w:pStyle w:val="BodyText2"/>
        <w:ind w:left="705"/>
        <w:jc w:val="left"/>
      </w:pPr>
    </w:p>
    <w:p w:rsidR="006F7D74" w:rsidP="00A93456">
      <w:pPr>
        <w:ind w:firstLine="708"/>
        <w:jc w:val="both"/>
      </w:pPr>
      <w:r>
        <w:t>Odporúčanie pre Národnú radu Slovenskej republiky s návrhm</w:t>
      </w:r>
      <w:r w:rsidR="00DE5B3E">
        <w:t>i</w:t>
      </w:r>
      <w:r>
        <w:t xml:space="preserve"> </w:t>
      </w:r>
      <w:r>
        <w:rPr>
          <w:b/>
          <w:bCs/>
        </w:rPr>
        <w:t>vysloviť súhlas</w:t>
      </w:r>
      <w:r>
        <w:t xml:space="preserve">  </w:t>
      </w:r>
      <w:r w:rsidRPr="00DE5B3E">
        <w:rPr>
          <w:b/>
        </w:rPr>
        <w:t>a</w:t>
      </w:r>
      <w:r>
        <w:t> </w:t>
      </w:r>
      <w:r w:rsidRPr="00B8403F">
        <w:rPr>
          <w:b/>
        </w:rPr>
        <w:t xml:space="preserve">rozhodnúť, </w:t>
      </w:r>
      <w:r w:rsidRPr="00DE5B3E">
        <w:rPr>
          <w:b/>
        </w:rPr>
        <w:t xml:space="preserve">že ide </w:t>
      </w:r>
      <w:r w:rsidRPr="00DE5B3E">
        <w:rPr>
          <w:b/>
          <w:bCs/>
        </w:rPr>
        <w:t>o medzinárodnú zmluvu</w:t>
      </w:r>
      <w:r w:rsidRPr="00085D19">
        <w:rPr>
          <w:bCs/>
        </w:rPr>
        <w:t xml:space="preserve"> podľa čl. 7 ods. 5 Ústavy </w:t>
      </w:r>
      <w:r>
        <w:rPr>
          <w:bCs/>
        </w:rPr>
        <w:t xml:space="preserve">SR, ktorá má </w:t>
      </w:r>
      <w:r w:rsidRPr="00085D19">
        <w:rPr>
          <w:bCs/>
        </w:rPr>
        <w:t>prednosť</w:t>
      </w:r>
      <w:r>
        <w:rPr>
          <w:bCs/>
        </w:rPr>
        <w:t xml:space="preserve"> pred zákonmi.</w:t>
      </w:r>
    </w:p>
    <w:p w:rsidR="006F7D74" w:rsidP="006F7D74">
      <w:pPr>
        <w:jc w:val="both"/>
      </w:pPr>
    </w:p>
    <w:p w:rsidR="006F7D74" w:rsidRPr="00D30430" w:rsidP="006F7D74">
      <w:pPr>
        <w:pStyle w:val="BodyText2"/>
        <w:numPr>
          <w:ilvl w:val="0"/>
          <w:numId w:val="2"/>
        </w:numPr>
      </w:pPr>
      <w:r w:rsidRPr="00D30430">
        <w:rPr>
          <w:b/>
        </w:rPr>
        <w:t>Výbor</w:t>
      </w:r>
      <w:r w:rsidRPr="00D30430">
        <w:t xml:space="preserve"> Národnej rady Slovenskej republiky </w:t>
      </w:r>
      <w:r w:rsidRPr="00D30430">
        <w:rPr>
          <w:b/>
        </w:rPr>
        <w:t>pre financie a rozpočet</w:t>
      </w:r>
      <w:r w:rsidRPr="00D30430">
        <w:t xml:space="preserve"> (uzn. č. </w:t>
      </w:r>
      <w:r w:rsidRPr="00D30430" w:rsidR="00D30430">
        <w:t>56</w:t>
      </w:r>
      <w:r w:rsidRPr="00D30430">
        <w:t xml:space="preserve"> z </w:t>
      </w:r>
      <w:r w:rsidRPr="00D30430" w:rsidR="002B65A8">
        <w:t>9</w:t>
      </w:r>
      <w:r w:rsidRPr="00D30430">
        <w:t xml:space="preserve">. </w:t>
      </w:r>
      <w:r w:rsidRPr="00D30430" w:rsidR="002B65A8">
        <w:t>apríla</w:t>
      </w:r>
      <w:r w:rsidRPr="00D30430" w:rsidR="00CD4E27">
        <w:t xml:space="preserve"> 202</w:t>
      </w:r>
      <w:r w:rsidRPr="00D30430" w:rsidR="002B65A8">
        <w:t>4</w:t>
      </w:r>
      <w:r w:rsidRPr="00D30430">
        <w:t>)</w:t>
      </w:r>
    </w:p>
    <w:p w:rsidR="002B65A8" w:rsidRPr="00D30430" w:rsidP="002B65A8">
      <w:pPr>
        <w:pStyle w:val="BodyText2"/>
        <w:ind w:left="720"/>
      </w:pPr>
    </w:p>
    <w:p w:rsidR="002B65A8" w:rsidRPr="00D30430" w:rsidP="002B65A8">
      <w:pPr>
        <w:pStyle w:val="BodyText2"/>
        <w:numPr>
          <w:ilvl w:val="0"/>
          <w:numId w:val="2"/>
        </w:numPr>
      </w:pPr>
      <w:r w:rsidRPr="00D30430">
        <w:rPr>
          <w:b/>
        </w:rPr>
        <w:t>Ústavnoprávny výbor</w:t>
      </w:r>
      <w:r w:rsidRPr="00D30430">
        <w:t xml:space="preserve"> Národnej rady Slovenskej republi</w:t>
      </w:r>
      <w:r w:rsidRPr="00D30430" w:rsidR="00D30430">
        <w:t>ky(uzn. č. 66</w:t>
      </w:r>
      <w:r w:rsidRPr="00D30430">
        <w:t xml:space="preserve"> z </w:t>
      </w:r>
      <w:r w:rsidRPr="00D30430" w:rsidR="00DE5B3E">
        <w:t>11</w:t>
      </w:r>
      <w:r w:rsidRPr="00D30430">
        <w:t>. apríla 2024)</w:t>
      </w:r>
    </w:p>
    <w:p w:rsidR="002B65A8" w:rsidRPr="00143B4C" w:rsidP="002B65A8">
      <w:pPr>
        <w:pStyle w:val="BodyText2"/>
        <w:ind w:left="720"/>
      </w:pPr>
    </w:p>
    <w:p w:rsidR="006F7D74" w:rsidRPr="00143B4C" w:rsidP="006F7D74">
      <w:pPr>
        <w:pStyle w:val="BodyText2"/>
        <w:ind w:left="360"/>
        <w:jc w:val="left"/>
      </w:pPr>
    </w:p>
    <w:p w:rsidR="00400888" w:rsidRPr="00143B4C" w:rsidP="006F7D74">
      <w:pPr>
        <w:pStyle w:val="BodyText2"/>
        <w:jc w:val="center"/>
        <w:rPr>
          <w:b/>
        </w:rPr>
      </w:pPr>
      <w:r w:rsidRPr="00143B4C" w:rsidR="00AD5EFA">
        <w:rPr>
          <w:b/>
        </w:rPr>
        <w:t>III</w:t>
      </w:r>
      <w:r w:rsidRPr="00143B4C">
        <w:rPr>
          <w:b/>
        </w:rPr>
        <w:t>.</w:t>
      </w:r>
    </w:p>
    <w:p w:rsidR="00D760C8" w:rsidRPr="00143B4C" w:rsidP="006F7D74">
      <w:pPr>
        <w:pStyle w:val="BodyText2"/>
        <w:jc w:val="center"/>
        <w:rPr>
          <w:b/>
        </w:rPr>
      </w:pPr>
    </w:p>
    <w:p w:rsidR="00400888" w:rsidRPr="00143B4C" w:rsidP="00AD5EFA">
      <w:pPr>
        <w:pStyle w:val="BodyText2"/>
        <w:ind w:firstLine="708"/>
      </w:pPr>
      <w:r w:rsidR="002B65A8">
        <w:t>Z uznesení</w:t>
      </w:r>
      <w:r w:rsidR="00EB4B81">
        <w:t xml:space="preserve"> výbor</w:t>
      </w:r>
      <w:r w:rsidR="002B65A8">
        <w:t>ov</w:t>
      </w:r>
      <w:r w:rsidRPr="00143B4C">
        <w:t xml:space="preserve"> Národnej rady Slovenskej republiky uvedených pod bodom II. tejto správy nevyplynuli </w:t>
      </w:r>
      <w:r w:rsidRPr="00143B4C" w:rsidR="00B54026">
        <w:t xml:space="preserve">iné </w:t>
      </w:r>
      <w:r w:rsidRPr="00143B4C">
        <w:t>návrhy.</w:t>
      </w:r>
    </w:p>
    <w:p w:rsidR="005D5F51" w:rsidRPr="00143B4C">
      <w:pPr>
        <w:pStyle w:val="BodyText2"/>
        <w:ind w:firstLine="708"/>
        <w:jc w:val="left"/>
      </w:pPr>
    </w:p>
    <w:p w:rsidR="00EB4B81" w:rsidRPr="00143B4C">
      <w:pPr>
        <w:jc w:val="both"/>
        <w:rPr>
          <w:b/>
        </w:rPr>
      </w:pPr>
    </w:p>
    <w:p w:rsidR="00400888" w:rsidRPr="00143B4C" w:rsidP="00AD5EFA">
      <w:pPr>
        <w:pStyle w:val="BodyText2"/>
        <w:jc w:val="center"/>
        <w:rPr>
          <w:b/>
        </w:rPr>
      </w:pPr>
      <w:r w:rsidRPr="00143B4C" w:rsidR="00AD5EFA">
        <w:rPr>
          <w:b/>
        </w:rPr>
        <w:t>IV</w:t>
      </w:r>
      <w:r w:rsidRPr="00143B4C">
        <w:rPr>
          <w:b/>
        </w:rPr>
        <w:t>.</w:t>
      </w:r>
    </w:p>
    <w:p w:rsidR="00400888" w:rsidRPr="00143B4C">
      <w:pPr>
        <w:pStyle w:val="BodyText2"/>
        <w:ind w:left="1065"/>
        <w:jc w:val="center"/>
        <w:rPr>
          <w:b/>
        </w:rPr>
      </w:pPr>
    </w:p>
    <w:p w:rsidR="00FB195A" w:rsidRPr="002B65A8" w:rsidP="002B65A8">
      <w:pPr>
        <w:pStyle w:val="BodyText"/>
        <w:rPr>
          <w:b w:val="0"/>
        </w:rPr>
      </w:pPr>
      <w:r w:rsidRPr="002B65A8" w:rsidR="00400888">
        <w:rPr>
          <w:b w:val="0"/>
        </w:rPr>
        <w:t>Gestorský výbor na základe stanov</w:t>
      </w:r>
      <w:r w:rsidRPr="002B65A8" w:rsidR="00EB4B81">
        <w:rPr>
          <w:b w:val="0"/>
        </w:rPr>
        <w:t>i</w:t>
      </w:r>
      <w:r w:rsidRPr="002B65A8" w:rsidR="00400888">
        <w:rPr>
          <w:b w:val="0"/>
        </w:rPr>
        <w:t>sk</w:t>
      </w:r>
      <w:r w:rsidRPr="002B65A8" w:rsidR="00EB4B81">
        <w:rPr>
          <w:b w:val="0"/>
        </w:rPr>
        <w:t>a</w:t>
      </w:r>
      <w:r w:rsidRPr="002B65A8" w:rsidR="00400888">
        <w:rPr>
          <w:b w:val="0"/>
        </w:rPr>
        <w:t xml:space="preserve"> výbor</w:t>
      </w:r>
      <w:r w:rsidRPr="002B65A8" w:rsidR="00EB4B81">
        <w:rPr>
          <w:b w:val="0"/>
        </w:rPr>
        <w:t>u</w:t>
      </w:r>
      <w:r w:rsidRPr="002B65A8" w:rsidR="00400888">
        <w:rPr>
          <w:b w:val="0"/>
        </w:rPr>
        <w:t xml:space="preserve"> k </w:t>
      </w:r>
      <w:r w:rsidRPr="002B65A8" w:rsidR="002B65A8">
        <w:rPr>
          <w:b w:val="0"/>
        </w:rPr>
        <w:t xml:space="preserve">návrhu na vyslovenie súhlasu Národnej rady Slovenskej republiky so zmenami Dohody o založení Európskej banky pre obnovu a rozvoj </w:t>
      </w:r>
      <w:r w:rsidRPr="002B65A8" w:rsidR="002B65A8">
        <w:t>(tlač 191)</w:t>
      </w:r>
      <w:r w:rsidRPr="002B65A8" w:rsidR="00CD4E27">
        <w:rPr>
          <w:b w:val="0"/>
          <w:bCs w:val="0"/>
        </w:rPr>
        <w:t xml:space="preserve"> </w:t>
      </w:r>
      <w:r w:rsidRPr="002B65A8">
        <w:rPr>
          <w:b w:val="0"/>
        </w:rPr>
        <w:t xml:space="preserve">vyjadrených v uznesení uvedeného pod bodom II. tejto správy </w:t>
      </w:r>
    </w:p>
    <w:p w:rsidR="00400888" w:rsidRPr="00143B4C" w:rsidP="00FB195A">
      <w:pPr>
        <w:pStyle w:val="ListParagraph"/>
        <w:tabs>
          <w:tab w:val="left" w:pos="426"/>
        </w:tabs>
        <w:ind w:left="0"/>
        <w:jc w:val="both"/>
      </w:pPr>
      <w:r w:rsidRPr="00143B4C">
        <w:t xml:space="preserve"> </w:t>
      </w:r>
    </w:p>
    <w:p w:rsidR="006F7D74" w:rsidRPr="00143B4C" w:rsidP="00DE5B3E">
      <w:pPr>
        <w:pStyle w:val="BodyText2"/>
        <w:tabs>
          <w:tab w:val="left" w:pos="709"/>
        </w:tabs>
        <w:spacing w:line="360" w:lineRule="auto"/>
        <w:rPr>
          <w:b/>
        </w:rPr>
      </w:pPr>
      <w:r w:rsidRPr="00143B4C" w:rsidR="00400888">
        <w:tab/>
      </w:r>
      <w:r w:rsidRPr="00143B4C">
        <w:rPr>
          <w:b/>
        </w:rPr>
        <w:t xml:space="preserve">odporúča </w:t>
      </w:r>
    </w:p>
    <w:p w:rsidR="006F7D74" w:rsidRPr="00564BCC" w:rsidP="00DE5B3E">
      <w:pPr>
        <w:pStyle w:val="BodyText2"/>
        <w:tabs>
          <w:tab w:val="left" w:pos="709"/>
        </w:tabs>
        <w:spacing w:line="360" w:lineRule="auto"/>
        <w:ind w:firstLine="708"/>
        <w:rPr>
          <w:b/>
        </w:rPr>
      </w:pPr>
      <w:r w:rsidRPr="00143B4C">
        <w:rPr>
          <w:b/>
        </w:rPr>
        <w:t>Národnej rade Slovenskej republiky</w:t>
      </w:r>
      <w:r w:rsidR="00564BCC">
        <w:rPr>
          <w:b/>
        </w:rPr>
        <w:t xml:space="preserve"> </w:t>
      </w:r>
      <w:r w:rsidRPr="00564BCC">
        <w:rPr>
          <w:b/>
        </w:rPr>
        <w:t>podľa čl. 86 písm. d) Ústavy SR</w:t>
      </w:r>
    </w:p>
    <w:p w:rsidR="00564BCC" w:rsidRPr="00564BCC" w:rsidP="00DE5B3E">
      <w:pPr>
        <w:pStyle w:val="BodyText"/>
        <w:tabs>
          <w:tab w:val="left" w:pos="709"/>
        </w:tabs>
        <w:spacing w:line="360" w:lineRule="auto"/>
        <w:ind w:firstLine="708"/>
      </w:pPr>
      <w:r>
        <w:rPr>
          <w:bCs w:val="0"/>
        </w:rPr>
        <w:t>vysloviť súhlas</w:t>
      </w:r>
    </w:p>
    <w:p w:rsidR="00564BCC" w:rsidP="00564BCC">
      <w:pPr>
        <w:tabs>
          <w:tab w:val="left" w:pos="709"/>
        </w:tabs>
        <w:rPr>
          <w:b/>
          <w:bCs/>
        </w:rPr>
      </w:pPr>
    </w:p>
    <w:p w:rsidR="00564BCC" w:rsidRPr="00C46C9B" w:rsidP="00564BCC">
      <w:pPr>
        <w:numPr>
          <w:ilvl w:val="0"/>
          <w:numId w:val="16"/>
        </w:numPr>
        <w:tabs>
          <w:tab w:val="left" w:pos="709"/>
          <w:tab w:val="left" w:pos="993"/>
        </w:tabs>
        <w:ind w:left="709" w:firstLine="0"/>
        <w:jc w:val="both"/>
        <w:rPr>
          <w:bCs/>
          <w:color w:val="000000"/>
          <w:sz w:val="27"/>
          <w:szCs w:val="27"/>
        </w:rPr>
      </w:pPr>
      <w:r w:rsidRPr="00C46C9B">
        <w:rPr>
          <w:bCs/>
          <w:color w:val="000000"/>
        </w:rPr>
        <w:t>so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zmen</w:t>
      </w:r>
      <w:r w:rsidRPr="00C46C9B">
        <w:rPr>
          <w:bCs/>
          <w:color w:val="000000"/>
        </w:rPr>
        <w:t>ou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článku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1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Dohody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o založení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Európskej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banky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pre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obnovu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a rozvoj,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ktorá umožní</w:t>
      </w:r>
      <w:r w:rsidRPr="00C46C9B">
        <w:rPr>
          <w:bCs/>
          <w:color w:val="000000"/>
          <w:spacing w:val="26"/>
        </w:rPr>
        <w:t xml:space="preserve"> </w:t>
      </w:r>
      <w:r w:rsidRPr="00C46C9B">
        <w:rPr>
          <w:bCs/>
          <w:color w:val="000000"/>
        </w:rPr>
        <w:t>banke</w:t>
      </w:r>
      <w:r w:rsidRPr="00C46C9B">
        <w:rPr>
          <w:bCs/>
          <w:color w:val="000000"/>
          <w:spacing w:val="26"/>
        </w:rPr>
        <w:t xml:space="preserve"> </w:t>
      </w:r>
      <w:r w:rsidRPr="00C46C9B">
        <w:rPr>
          <w:bCs/>
          <w:color w:val="000000"/>
        </w:rPr>
        <w:t>obmedzené</w:t>
      </w:r>
      <w:r w:rsidRPr="00C46C9B">
        <w:rPr>
          <w:bCs/>
          <w:color w:val="000000"/>
          <w:spacing w:val="26"/>
        </w:rPr>
        <w:t xml:space="preserve"> </w:t>
      </w:r>
      <w:r w:rsidRPr="00C46C9B">
        <w:rPr>
          <w:bCs/>
          <w:color w:val="000000"/>
        </w:rPr>
        <w:t>a postupné</w:t>
      </w:r>
      <w:r w:rsidRPr="00C46C9B">
        <w:rPr>
          <w:bCs/>
          <w:color w:val="000000"/>
          <w:spacing w:val="26"/>
        </w:rPr>
        <w:t xml:space="preserve"> </w:t>
      </w:r>
      <w:r w:rsidRPr="00C46C9B">
        <w:rPr>
          <w:bCs/>
          <w:color w:val="000000"/>
        </w:rPr>
        <w:t>rozšírenie</w:t>
      </w:r>
      <w:r w:rsidRPr="00C46C9B">
        <w:rPr>
          <w:bCs/>
          <w:color w:val="000000"/>
          <w:spacing w:val="26"/>
        </w:rPr>
        <w:t xml:space="preserve"> </w:t>
      </w:r>
      <w:r w:rsidRPr="00C46C9B">
        <w:rPr>
          <w:bCs/>
          <w:color w:val="000000"/>
        </w:rPr>
        <w:t>geografického</w:t>
      </w:r>
      <w:r w:rsidRPr="00C46C9B">
        <w:rPr>
          <w:bCs/>
          <w:color w:val="000000"/>
          <w:spacing w:val="26"/>
        </w:rPr>
        <w:t xml:space="preserve"> </w:t>
      </w:r>
      <w:r w:rsidRPr="00C46C9B">
        <w:rPr>
          <w:bCs/>
          <w:color w:val="000000"/>
        </w:rPr>
        <w:t>mandátu</w:t>
      </w:r>
      <w:r w:rsidRPr="00C46C9B">
        <w:rPr>
          <w:bCs/>
          <w:color w:val="000000"/>
          <w:spacing w:val="26"/>
        </w:rPr>
        <w:t xml:space="preserve"> </w:t>
      </w:r>
      <w:r w:rsidRPr="00C46C9B">
        <w:rPr>
          <w:bCs/>
          <w:color w:val="000000"/>
        </w:rPr>
        <w:t xml:space="preserve">operácií EBOR do regiónu subsaharskej Afriky a Iraku,  </w:t>
      </w:r>
    </w:p>
    <w:p w:rsidR="00564BCC" w:rsidRPr="00EF2B00" w:rsidP="00564BCC">
      <w:pPr>
        <w:pStyle w:val="BodyText"/>
        <w:tabs>
          <w:tab w:val="left" w:pos="709"/>
        </w:tabs>
        <w:ind w:left="1134"/>
      </w:pPr>
      <w:r>
        <w:rPr>
          <w:b w:val="0"/>
          <w:bCs w:val="0"/>
        </w:rPr>
        <w:t xml:space="preserve"> </w:t>
      </w:r>
    </w:p>
    <w:p w:rsidR="00564BCC" w:rsidRPr="00C46C9B" w:rsidP="00564BCC">
      <w:pPr>
        <w:numPr>
          <w:ilvl w:val="0"/>
          <w:numId w:val="16"/>
        </w:numPr>
        <w:tabs>
          <w:tab w:val="left" w:pos="709"/>
          <w:tab w:val="left" w:pos="993"/>
        </w:tabs>
        <w:ind w:hanging="11"/>
        <w:jc w:val="both"/>
        <w:rPr>
          <w:bCs/>
          <w:color w:val="000000"/>
          <w:sz w:val="27"/>
          <w:szCs w:val="27"/>
        </w:rPr>
      </w:pPr>
      <w:r w:rsidRPr="00C46C9B">
        <w:rPr>
          <w:bCs/>
          <w:color w:val="000000"/>
        </w:rPr>
        <w:t>so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zmenou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článku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12.1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Dohody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o založení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Európskej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banky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pr</w:t>
      </w:r>
      <w:r w:rsidRPr="00C46C9B">
        <w:rPr>
          <w:bCs/>
          <w:color w:val="000000"/>
        </w:rPr>
        <w:t>e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obnovu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a rozvoj, ktorá</w:t>
      </w:r>
      <w:r w:rsidRPr="00C46C9B">
        <w:rPr>
          <w:bCs/>
          <w:color w:val="000000"/>
          <w:spacing w:val="34"/>
        </w:rPr>
        <w:t xml:space="preserve"> </w:t>
      </w:r>
      <w:r w:rsidRPr="00C46C9B">
        <w:rPr>
          <w:bCs/>
          <w:color w:val="000000"/>
        </w:rPr>
        <w:t>odstraňuje</w:t>
      </w:r>
      <w:r w:rsidRPr="00C46C9B">
        <w:rPr>
          <w:bCs/>
          <w:color w:val="000000"/>
          <w:spacing w:val="34"/>
        </w:rPr>
        <w:t xml:space="preserve"> </w:t>
      </w:r>
      <w:r w:rsidRPr="00C46C9B">
        <w:rPr>
          <w:bCs/>
          <w:color w:val="000000"/>
        </w:rPr>
        <w:t>obmedzenie</w:t>
      </w:r>
      <w:r w:rsidRPr="00C46C9B">
        <w:rPr>
          <w:bCs/>
          <w:color w:val="000000"/>
          <w:spacing w:val="34"/>
        </w:rPr>
        <w:t xml:space="preserve"> </w:t>
      </w:r>
      <w:r w:rsidRPr="00C46C9B">
        <w:rPr>
          <w:bCs/>
          <w:color w:val="000000"/>
        </w:rPr>
        <w:t>k prístupu</w:t>
      </w:r>
      <w:r w:rsidRPr="00C46C9B">
        <w:rPr>
          <w:bCs/>
          <w:color w:val="000000"/>
          <w:spacing w:val="34"/>
        </w:rPr>
        <w:t xml:space="preserve"> </w:t>
      </w:r>
      <w:r w:rsidRPr="00C46C9B">
        <w:rPr>
          <w:bCs/>
          <w:color w:val="000000"/>
        </w:rPr>
        <w:t>k základnému</w:t>
      </w:r>
      <w:r w:rsidRPr="00C46C9B">
        <w:rPr>
          <w:bCs/>
          <w:color w:val="000000"/>
          <w:spacing w:val="34"/>
        </w:rPr>
        <w:t xml:space="preserve"> </w:t>
      </w:r>
      <w:r w:rsidRPr="00C46C9B">
        <w:rPr>
          <w:bCs/>
          <w:color w:val="000000"/>
        </w:rPr>
        <w:t>kapitálu</w:t>
      </w:r>
      <w:r w:rsidRPr="00C46C9B">
        <w:rPr>
          <w:bCs/>
          <w:color w:val="000000"/>
          <w:spacing w:val="34"/>
        </w:rPr>
        <w:t xml:space="preserve"> </w:t>
      </w:r>
      <w:r w:rsidRPr="00C46C9B">
        <w:rPr>
          <w:bCs/>
          <w:color w:val="000000"/>
        </w:rPr>
        <w:t>banky</w:t>
      </w:r>
      <w:r w:rsidRPr="00C46C9B">
        <w:rPr>
          <w:bCs/>
          <w:color w:val="000000"/>
          <w:spacing w:val="34"/>
        </w:rPr>
        <w:t xml:space="preserve"> </w:t>
      </w:r>
      <w:r w:rsidRPr="00C46C9B">
        <w:rPr>
          <w:bCs/>
          <w:color w:val="000000"/>
        </w:rPr>
        <w:t>pre</w:t>
      </w:r>
      <w:r w:rsidRPr="00C46C9B">
        <w:rPr>
          <w:bCs/>
          <w:color w:val="000000"/>
          <w:spacing w:val="34"/>
        </w:rPr>
        <w:t xml:space="preserve"> </w:t>
      </w:r>
      <w:r w:rsidRPr="00C46C9B">
        <w:rPr>
          <w:bCs/>
          <w:color w:val="000000"/>
        </w:rPr>
        <w:t>bežné operácie;</w:t>
      </w:r>
    </w:p>
    <w:p w:rsidR="00564BCC" w:rsidP="00564BCC">
      <w:pPr>
        <w:pStyle w:val="BodyText"/>
        <w:tabs>
          <w:tab w:val="left" w:pos="709"/>
        </w:tabs>
        <w:ind w:left="1134"/>
      </w:pPr>
    </w:p>
    <w:p w:rsidR="00564BCC" w:rsidRPr="00564BCC" w:rsidP="00564BCC">
      <w:pPr>
        <w:pStyle w:val="BodyText"/>
        <w:tabs>
          <w:tab w:val="left" w:pos="709"/>
        </w:tabs>
        <w:ind w:firstLine="708"/>
      </w:pPr>
      <w:r w:rsidRPr="00564BCC">
        <w:t xml:space="preserve">a </w:t>
      </w:r>
    </w:p>
    <w:p w:rsidR="00564BCC" w:rsidP="00564BCC">
      <w:pPr>
        <w:pStyle w:val="BodyText"/>
        <w:tabs>
          <w:tab w:val="left" w:pos="709"/>
        </w:tabs>
        <w:ind w:left="1134"/>
      </w:pPr>
    </w:p>
    <w:p w:rsidR="00564BCC" w:rsidRPr="00564BCC" w:rsidP="00564BCC">
      <w:pPr>
        <w:pStyle w:val="BodyText"/>
        <w:tabs>
          <w:tab w:val="left" w:pos="709"/>
        </w:tabs>
        <w:ind w:left="708" w:firstLine="12"/>
        <w:rPr>
          <w:b w:val="0"/>
        </w:rPr>
      </w:pPr>
      <w:r w:rsidRPr="00DE5B3E">
        <w:t>rozhodnúť o tom, že ide o medzinárodnú zmluvu</w:t>
      </w:r>
      <w:r w:rsidRPr="00564BCC">
        <w:rPr>
          <w:b w:val="0"/>
        </w:rPr>
        <w:t xml:space="preserve"> podľa čl. 7 ods. 5 Ústavy SR, ktorá má prednosť pred zákonmi;</w:t>
      </w:r>
    </w:p>
    <w:p w:rsidR="006F7D74" w:rsidRPr="00143B4C" w:rsidP="006F7D74">
      <w:pPr>
        <w:jc w:val="both"/>
      </w:pPr>
    </w:p>
    <w:p w:rsidR="00AD5EFA" w:rsidRPr="00143B4C">
      <w:pPr>
        <w:pStyle w:val="BodyText2"/>
      </w:pPr>
    </w:p>
    <w:p w:rsidR="00EB4B81" w:rsidRPr="00E00255" w:rsidP="002B65A8">
      <w:pPr>
        <w:pStyle w:val="BodyText"/>
      </w:pPr>
      <w:r w:rsidRPr="00143B4C" w:rsidR="00400888">
        <w:tab/>
      </w:r>
      <w:r w:rsidRPr="002B65A8" w:rsidR="00400888">
        <w:rPr>
          <w:b w:val="0"/>
        </w:rPr>
        <w:t>Predmetná správa výbor</w:t>
      </w:r>
      <w:r w:rsidRPr="002B65A8">
        <w:rPr>
          <w:b w:val="0"/>
        </w:rPr>
        <w:t>u</w:t>
      </w:r>
      <w:r w:rsidRPr="002B65A8" w:rsidR="00400888">
        <w:rPr>
          <w:b w:val="0"/>
        </w:rPr>
        <w:t xml:space="preserve"> Národnej rady Slovenskej republiky o </w:t>
      </w:r>
      <w:r w:rsidRPr="002B65A8" w:rsidR="002B65A8">
        <w:rPr>
          <w:b w:val="0"/>
        </w:rPr>
        <w:t>návrhu na vyslovenie súhlasu Národnej rady Slovenskej republiky so zmenami Dohody o založení Európskej banky pre obnovu a rozvoj</w:t>
      </w:r>
      <w:r w:rsidRPr="002B65A8" w:rsidR="002B65A8">
        <w:t xml:space="preserve"> (tlač 191</w:t>
      </w:r>
      <w:r w:rsidR="002B65A8">
        <w:t>a</w:t>
      </w:r>
      <w:r w:rsidRPr="002B65A8" w:rsidR="002B65A8">
        <w:t>)</w:t>
      </w:r>
      <w:r w:rsidR="002B65A8">
        <w:t xml:space="preserve"> </w:t>
      </w:r>
      <w:r w:rsidRPr="002B65A8" w:rsidR="00400888">
        <w:rPr>
          <w:b w:val="0"/>
        </w:rPr>
        <w:t xml:space="preserve">bola schválená </w:t>
      </w:r>
      <w:r w:rsidRPr="002B65A8" w:rsidR="00F66C1C">
        <w:rPr>
          <w:b w:val="0"/>
        </w:rPr>
        <w:t>uz</w:t>
      </w:r>
      <w:r w:rsidRPr="002B65A8" w:rsidR="00CD17CA">
        <w:rPr>
          <w:b w:val="0"/>
        </w:rPr>
        <w:t xml:space="preserve">nesením gestorského výboru </w:t>
      </w:r>
      <w:r w:rsidRPr="00E00255" w:rsidR="00CD17CA">
        <w:t xml:space="preserve">č. </w:t>
      </w:r>
      <w:r w:rsidRPr="00E00255" w:rsidR="00E00255">
        <w:t>66</w:t>
      </w:r>
      <w:r w:rsidRPr="00E00255" w:rsidR="00C57778">
        <w:t xml:space="preserve"> </w:t>
      </w:r>
      <w:r w:rsidRPr="00E00255" w:rsidR="00400888">
        <w:t>z</w:t>
      </w:r>
      <w:r w:rsidRPr="00E00255" w:rsidR="00CD4E27">
        <w:t>o</w:t>
      </w:r>
      <w:r w:rsidRPr="00E00255" w:rsidR="009244A9">
        <w:t> </w:t>
      </w:r>
      <w:r w:rsidRPr="00E00255" w:rsidR="002B65A8">
        <w:t>1</w:t>
      </w:r>
      <w:r w:rsidRPr="00E00255" w:rsidR="000D3D49">
        <w:t>7</w:t>
      </w:r>
      <w:r w:rsidRPr="00E00255" w:rsidR="009244A9">
        <w:t xml:space="preserve">. </w:t>
      </w:r>
      <w:r w:rsidRPr="00E00255" w:rsidR="002B65A8">
        <w:t>apríla</w:t>
      </w:r>
      <w:r w:rsidRPr="00E00255" w:rsidR="009244A9">
        <w:t xml:space="preserve"> </w:t>
      </w:r>
      <w:r w:rsidRPr="00E00255" w:rsidR="00400888">
        <w:t>20</w:t>
      </w:r>
      <w:r w:rsidRPr="00E00255" w:rsidR="00CD4E27">
        <w:t>2</w:t>
      </w:r>
      <w:r w:rsidRPr="00E00255" w:rsidR="002B65A8">
        <w:t>4</w:t>
      </w:r>
      <w:r w:rsidRPr="00E00255" w:rsidR="007C326C">
        <w:t xml:space="preserve">. </w:t>
      </w:r>
    </w:p>
    <w:p w:rsidR="00EB4B81" w:rsidRPr="002B65A8" w:rsidP="00896DB8">
      <w:pPr>
        <w:pStyle w:val="ListParagraph"/>
        <w:tabs>
          <w:tab w:val="left" w:pos="426"/>
        </w:tabs>
        <w:ind w:left="0"/>
        <w:jc w:val="both"/>
      </w:pPr>
    </w:p>
    <w:p w:rsidR="00896DB8" w:rsidP="00896DB8">
      <w:pPr>
        <w:pStyle w:val="ListParagraph"/>
        <w:tabs>
          <w:tab w:val="left" w:pos="426"/>
        </w:tabs>
        <w:ind w:left="0"/>
        <w:jc w:val="both"/>
      </w:pPr>
      <w:r w:rsidR="00CD4E27">
        <w:t>Výbor určil poslanca</w:t>
      </w:r>
      <w:r>
        <w:t xml:space="preserve"> </w:t>
      </w:r>
      <w:r w:rsidR="002B65A8">
        <w:rPr>
          <w:b/>
        </w:rPr>
        <w:t>Radomíra Šalitroša</w:t>
      </w:r>
      <w:r>
        <w:rPr>
          <w:b/>
          <w:bCs/>
        </w:rPr>
        <w:t xml:space="preserve"> </w:t>
      </w:r>
      <w:r>
        <w:t>za sprav</w:t>
      </w:r>
      <w:r w:rsidR="00CD4E27">
        <w:t>odajcu</w:t>
      </w:r>
      <w:r>
        <w:t xml:space="preserve"> výbor</w:t>
      </w:r>
      <w:r w:rsidR="00EB4B81">
        <w:t>u</w:t>
      </w:r>
      <w:r>
        <w:t xml:space="preserve">. </w:t>
      </w:r>
    </w:p>
    <w:p w:rsidR="00896DB8" w:rsidP="00896DB8">
      <w:pPr>
        <w:pStyle w:val="BodyText2"/>
      </w:pPr>
    </w:p>
    <w:p w:rsidR="00EB4B81" w:rsidP="00896DB8">
      <w:pPr>
        <w:pStyle w:val="BodyText2"/>
      </w:pPr>
    </w:p>
    <w:p w:rsidR="00896DB8" w:rsidP="00896DB8">
      <w:pPr>
        <w:pStyle w:val="BodyText3"/>
        <w:widowControl w:val="0"/>
        <w:ind w:firstLine="567"/>
      </w:pPr>
      <w:r w:rsidR="00CD4E27">
        <w:t>Zároveň ho</w:t>
      </w:r>
      <w:r>
        <w:t xml:space="preserve"> poveril:</w:t>
      </w:r>
    </w:p>
    <w:p w:rsidR="00896DB8" w:rsidP="00896DB8">
      <w:pPr>
        <w:pStyle w:val="BodyText3"/>
        <w:widowControl w:val="0"/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 xml:space="preserve">predniesť správu na schôdzi Národnej rady Slovenskej republiky, </w:t>
      </w:r>
    </w:p>
    <w:p w:rsidR="00896DB8" w:rsidRPr="00B307D9" w:rsidP="00896DB8">
      <w:pPr>
        <w:jc w:val="both"/>
        <w:rPr>
          <w:bCs/>
        </w:rPr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>navrhnúť Národnej rade Slovenskej republiky postup pri hlasovaní.</w:t>
      </w:r>
    </w:p>
    <w:p w:rsidR="006F7D74" w:rsidP="006F7D74">
      <w:pPr>
        <w:pStyle w:val="BodyText2"/>
      </w:pPr>
    </w:p>
    <w:p w:rsidR="00AD5EFA" w:rsidP="006F7D74">
      <w:pPr>
        <w:pStyle w:val="BodyText2"/>
      </w:pPr>
    </w:p>
    <w:p w:rsidR="006F7D74" w:rsidP="00CD4E27">
      <w:pPr>
        <w:pStyle w:val="BodyText2"/>
        <w:jc w:val="center"/>
      </w:pPr>
      <w:r>
        <w:t>Návrh na uznesenie Národnej rady Slovenskej republiky je prílohou tejto správy.</w:t>
      </w:r>
    </w:p>
    <w:p w:rsidR="00400888">
      <w:pPr>
        <w:pStyle w:val="BodyText2"/>
      </w:pPr>
    </w:p>
    <w:p w:rsidR="00AD5EFA">
      <w:pPr>
        <w:pStyle w:val="BodyText2"/>
        <w:jc w:val="center"/>
      </w:pPr>
    </w:p>
    <w:p w:rsidR="00400888">
      <w:pPr>
        <w:pStyle w:val="BodyText2"/>
        <w:jc w:val="center"/>
      </w:pPr>
      <w:r>
        <w:t xml:space="preserve">Bratislava </w:t>
      </w:r>
      <w:r w:rsidR="002B65A8">
        <w:t>1</w:t>
      </w:r>
      <w:r w:rsidR="000D3D49">
        <w:t>7</w:t>
      </w:r>
      <w:r w:rsidR="009244A9">
        <w:t xml:space="preserve">. </w:t>
      </w:r>
      <w:r w:rsidR="002B65A8">
        <w:t>apríla</w:t>
      </w:r>
      <w:r w:rsidRPr="002A12E9">
        <w:t xml:space="preserve"> 20</w:t>
      </w:r>
      <w:r w:rsidR="00CD4E27">
        <w:t>2</w:t>
      </w:r>
      <w:r w:rsidR="002B65A8">
        <w:t>4</w:t>
      </w:r>
    </w:p>
    <w:p w:rsidR="00400888">
      <w:pPr>
        <w:pStyle w:val="BodyText2"/>
      </w:pPr>
      <w:r>
        <w:t xml:space="preserve">    </w:t>
      </w:r>
    </w:p>
    <w:p w:rsidR="000D44BE">
      <w:pPr>
        <w:pStyle w:val="BodyText2"/>
      </w:pPr>
    </w:p>
    <w:p w:rsidR="008F6A78">
      <w:pPr>
        <w:pStyle w:val="BodyText2"/>
      </w:pPr>
    </w:p>
    <w:p w:rsidR="008F6A78">
      <w:pPr>
        <w:pStyle w:val="BodyText2"/>
      </w:pPr>
    </w:p>
    <w:p w:rsidR="00B50C45">
      <w:pPr>
        <w:pStyle w:val="BodyText2"/>
      </w:pPr>
    </w:p>
    <w:p w:rsidR="00400888">
      <w:pPr>
        <w:pStyle w:val="BodyText2"/>
        <w:jc w:val="center"/>
        <w:rPr>
          <w:b/>
          <w:bCs/>
        </w:rPr>
      </w:pPr>
      <w:r w:rsidR="00CD4E27">
        <w:rPr>
          <w:b/>
          <w:bCs/>
        </w:rPr>
        <w:t>Ján Blcháč, v.r.</w:t>
      </w:r>
    </w:p>
    <w:p w:rsidR="00400888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00888">
      <w:pPr>
        <w:pStyle w:val="BodyText2"/>
        <w:jc w:val="center"/>
        <w:rPr>
          <w:b/>
          <w:bCs/>
        </w:rPr>
      </w:pPr>
      <w:r w:rsidR="007C326C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0D44BE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842811" w:rsidP="00842811">
      <w:pPr>
        <w:pStyle w:val="Title"/>
        <w:rPr>
          <w:caps/>
        </w:rPr>
      </w:pPr>
      <w:r w:rsidRPr="008C2E69">
        <w:rPr>
          <w:caps/>
        </w:rPr>
        <w:t>Národná  rada  slovenskej  republiky</w:t>
      </w:r>
    </w:p>
    <w:p w:rsidR="002A12E9" w:rsidP="00842811">
      <w:pPr>
        <w:pStyle w:val="Title"/>
      </w:pPr>
      <w:r w:rsidR="00CD4E27">
        <w:t>X</w:t>
      </w:r>
      <w:r w:rsidR="00127DF7">
        <w:t>I</w:t>
      </w:r>
      <w:r>
        <w:t>. volebné obdobie</w:t>
      </w:r>
    </w:p>
    <w:p w:rsidR="002A12E9" w:rsidRPr="008C2E69" w:rsidP="00842811">
      <w:pPr>
        <w:pStyle w:val="Title"/>
        <w:rPr>
          <w:caps/>
        </w:rPr>
      </w:pPr>
      <w:r>
        <w:t>––––––––––––––––––––––––––––––––––––––––––––––––––––-</w:t>
      </w:r>
      <w:r w:rsidR="00736EA1">
        <w:t>------</w:t>
      </w:r>
      <w:r>
        <w:t xml:space="preserve">   </w:t>
      </w:r>
    </w:p>
    <w:p w:rsidR="00C57778" w:rsidP="00C57778">
      <w:r w:rsidR="00EC7260">
        <w:t xml:space="preserve">K číslu: </w:t>
      </w:r>
      <w:r w:rsidR="002B65A8">
        <w:t>308</w:t>
      </w:r>
      <w:r w:rsidR="00EC7260">
        <w:t>/20</w:t>
      </w:r>
      <w:r w:rsidR="00736EA1">
        <w:t>2</w:t>
      </w:r>
      <w:r w:rsidR="002B65A8">
        <w:t>4</w:t>
      </w:r>
    </w:p>
    <w:p w:rsidR="00842811" w:rsidP="00842811">
      <w:pPr>
        <w:jc w:val="center"/>
        <w:rPr>
          <w:b/>
          <w:caps/>
          <w:sz w:val="28"/>
        </w:rPr>
      </w:pPr>
    </w:p>
    <w:p w:rsidR="009244A9" w:rsidP="00842811">
      <w:pPr>
        <w:jc w:val="center"/>
        <w:rPr>
          <w:b/>
          <w:caps/>
          <w:sz w:val="28"/>
        </w:rPr>
      </w:pPr>
    </w:p>
    <w:p w:rsidR="00842811" w:rsidP="00842811">
      <w:pPr>
        <w:pStyle w:val="Heading1"/>
        <w:ind w:left="3540"/>
        <w:rPr>
          <w:caps/>
        </w:rPr>
      </w:pPr>
      <w:r>
        <w:rPr>
          <w:caps/>
        </w:rPr>
        <w:t xml:space="preserve">   Návrh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Uznesenie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národnej  rady  slovenskej  republiky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Cs/>
        </w:rPr>
      </w:pPr>
      <w:r>
        <w:rPr>
          <w:bCs/>
        </w:rPr>
        <w:t>zo dňa .......</w:t>
      </w:r>
      <w:r w:rsidR="00736EA1">
        <w:rPr>
          <w:bCs/>
        </w:rPr>
        <w:t xml:space="preserve"> </w:t>
      </w:r>
      <w:r w:rsidR="009244A9">
        <w:rPr>
          <w:bCs/>
        </w:rPr>
        <w:t>a</w:t>
      </w:r>
      <w:r w:rsidR="002B65A8">
        <w:rPr>
          <w:bCs/>
        </w:rPr>
        <w:t>príla</w:t>
      </w:r>
      <w:r w:rsidR="00441D9B">
        <w:rPr>
          <w:bCs/>
        </w:rPr>
        <w:t xml:space="preserve"> 20</w:t>
      </w:r>
      <w:r w:rsidR="00736EA1">
        <w:rPr>
          <w:bCs/>
        </w:rPr>
        <w:t>2</w:t>
      </w:r>
      <w:r w:rsidR="002B65A8">
        <w:rPr>
          <w:bCs/>
        </w:rPr>
        <w:t>4</w:t>
      </w: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2B65A8" w:rsidRPr="00887999" w:rsidP="00DE5B3E">
      <w:pPr>
        <w:pStyle w:val="BodyText"/>
      </w:pPr>
      <w:r w:rsidRPr="002B65A8" w:rsidR="00842811">
        <w:rPr>
          <w:b w:val="0"/>
        </w:rPr>
        <w:t>k </w:t>
      </w:r>
      <w:r w:rsidRPr="002B65A8">
        <w:rPr>
          <w:b w:val="0"/>
        </w:rPr>
        <w:t xml:space="preserve">návrhu na vyslovenie súhlasu Národnej rady Slovenskej republiky so zmenami Dohody o založení Európskej banky pre obnovu a rozvoj </w:t>
      </w:r>
      <w:r w:rsidRPr="00887999">
        <w:t>(tlač 191)</w:t>
      </w:r>
    </w:p>
    <w:p w:rsidR="00842811" w:rsidRPr="002B65A8" w:rsidP="002B65A8">
      <w:pPr>
        <w:pStyle w:val="BodyTextIndent"/>
        <w:ind w:firstLine="425"/>
        <w:jc w:val="both"/>
      </w:pPr>
    </w:p>
    <w:p w:rsidR="00842811" w:rsidP="00842811">
      <w:pPr>
        <w:ind w:firstLine="708"/>
        <w:rPr>
          <w:b/>
        </w:rPr>
      </w:pPr>
      <w:r>
        <w:rPr>
          <w:b/>
        </w:rPr>
        <w:t>Národná rada Slovenskej republiky</w:t>
      </w:r>
      <w:r w:rsidR="00D142BB">
        <w:rPr>
          <w:b/>
        </w:rPr>
        <w:t xml:space="preserve"> 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Cs/>
        </w:rPr>
      </w:pPr>
      <w:r>
        <w:rPr>
          <w:bCs/>
        </w:rPr>
        <w:t>podľa článku 86 písm. d) Ústavy Slovenskej republiky</w:t>
      </w:r>
    </w:p>
    <w:p w:rsidR="00842811" w:rsidP="00842811">
      <w:pPr>
        <w:ind w:firstLine="708"/>
        <w:rPr>
          <w:bCs/>
        </w:rPr>
      </w:pPr>
    </w:p>
    <w:p w:rsidR="00F43097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 xml:space="preserve">v y s l o v u j e   s ú h l a s </w:t>
      </w:r>
    </w:p>
    <w:p w:rsidR="00F43097" w:rsidP="00F43097">
      <w:pPr>
        <w:ind w:firstLine="708"/>
        <w:rPr>
          <w:b/>
        </w:rPr>
      </w:pPr>
    </w:p>
    <w:p w:rsidR="00DE5B3E" w:rsidRPr="00C46C9B" w:rsidP="00DE5B3E">
      <w:pPr>
        <w:numPr>
          <w:ilvl w:val="0"/>
          <w:numId w:val="17"/>
        </w:numPr>
        <w:tabs>
          <w:tab w:val="left" w:pos="709"/>
          <w:tab w:val="left" w:pos="993"/>
        </w:tabs>
        <w:ind w:hanging="11"/>
        <w:jc w:val="both"/>
        <w:rPr>
          <w:bCs/>
          <w:color w:val="000000"/>
          <w:sz w:val="27"/>
          <w:szCs w:val="27"/>
        </w:rPr>
      </w:pPr>
      <w:r w:rsidRPr="00C46C9B">
        <w:rPr>
          <w:bCs/>
          <w:color w:val="000000"/>
        </w:rPr>
        <w:t>so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zmenou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článku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1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Dohody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o založení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Európskej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banky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pre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obnovu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a rozvoj,</w:t>
      </w:r>
      <w:r w:rsidRPr="00C46C9B">
        <w:rPr>
          <w:bCs/>
          <w:color w:val="000000"/>
          <w:spacing w:val="-11"/>
        </w:rPr>
        <w:t xml:space="preserve"> </w:t>
      </w:r>
      <w:r w:rsidRPr="00C46C9B">
        <w:rPr>
          <w:bCs/>
          <w:color w:val="000000"/>
        </w:rPr>
        <w:t>ktorá umožní</w:t>
      </w:r>
      <w:r w:rsidRPr="00C46C9B">
        <w:rPr>
          <w:bCs/>
          <w:color w:val="000000"/>
          <w:spacing w:val="26"/>
        </w:rPr>
        <w:t xml:space="preserve"> </w:t>
      </w:r>
      <w:r w:rsidRPr="00C46C9B">
        <w:rPr>
          <w:bCs/>
          <w:color w:val="000000"/>
        </w:rPr>
        <w:t>banke</w:t>
      </w:r>
      <w:r w:rsidRPr="00C46C9B">
        <w:rPr>
          <w:bCs/>
          <w:color w:val="000000"/>
          <w:spacing w:val="26"/>
        </w:rPr>
        <w:t xml:space="preserve"> </w:t>
      </w:r>
      <w:r w:rsidRPr="00C46C9B">
        <w:rPr>
          <w:bCs/>
          <w:color w:val="000000"/>
        </w:rPr>
        <w:t>obmedzené</w:t>
      </w:r>
      <w:r w:rsidRPr="00C46C9B">
        <w:rPr>
          <w:bCs/>
          <w:color w:val="000000"/>
          <w:spacing w:val="26"/>
        </w:rPr>
        <w:t xml:space="preserve"> </w:t>
      </w:r>
      <w:r w:rsidRPr="00C46C9B">
        <w:rPr>
          <w:bCs/>
          <w:color w:val="000000"/>
        </w:rPr>
        <w:t>a postupné</w:t>
      </w:r>
      <w:r w:rsidRPr="00C46C9B">
        <w:rPr>
          <w:bCs/>
          <w:color w:val="000000"/>
          <w:spacing w:val="26"/>
        </w:rPr>
        <w:t xml:space="preserve"> </w:t>
      </w:r>
      <w:r w:rsidRPr="00C46C9B">
        <w:rPr>
          <w:bCs/>
          <w:color w:val="000000"/>
        </w:rPr>
        <w:t>rozšírenie</w:t>
      </w:r>
      <w:r w:rsidRPr="00C46C9B">
        <w:rPr>
          <w:bCs/>
          <w:color w:val="000000"/>
          <w:spacing w:val="26"/>
        </w:rPr>
        <w:t xml:space="preserve"> </w:t>
      </w:r>
      <w:r w:rsidRPr="00C46C9B">
        <w:rPr>
          <w:bCs/>
          <w:color w:val="000000"/>
        </w:rPr>
        <w:t>geografického</w:t>
      </w:r>
      <w:r w:rsidRPr="00C46C9B">
        <w:rPr>
          <w:bCs/>
          <w:color w:val="000000"/>
          <w:spacing w:val="26"/>
        </w:rPr>
        <w:t xml:space="preserve"> </w:t>
      </w:r>
      <w:r w:rsidRPr="00C46C9B">
        <w:rPr>
          <w:bCs/>
          <w:color w:val="000000"/>
        </w:rPr>
        <w:t>mandátu</w:t>
      </w:r>
      <w:r w:rsidRPr="00C46C9B">
        <w:rPr>
          <w:bCs/>
          <w:color w:val="000000"/>
          <w:spacing w:val="26"/>
        </w:rPr>
        <w:t xml:space="preserve"> </w:t>
      </w:r>
      <w:r w:rsidRPr="00C46C9B">
        <w:rPr>
          <w:bCs/>
          <w:color w:val="000000"/>
        </w:rPr>
        <w:t xml:space="preserve">operácií EBOR do regiónu subsaharskej Afriky a Iraku,  </w:t>
      </w:r>
    </w:p>
    <w:p w:rsidR="00DE5B3E" w:rsidRPr="00EF2B00" w:rsidP="00DE5B3E">
      <w:pPr>
        <w:pStyle w:val="BodyText"/>
        <w:tabs>
          <w:tab w:val="left" w:pos="709"/>
        </w:tabs>
        <w:ind w:left="1134"/>
      </w:pPr>
      <w:r>
        <w:rPr>
          <w:b w:val="0"/>
          <w:bCs w:val="0"/>
        </w:rPr>
        <w:t xml:space="preserve"> </w:t>
      </w:r>
    </w:p>
    <w:p w:rsidR="00DE5B3E" w:rsidRPr="00C46C9B" w:rsidP="00DE5B3E">
      <w:pPr>
        <w:numPr>
          <w:ilvl w:val="0"/>
          <w:numId w:val="17"/>
        </w:numPr>
        <w:tabs>
          <w:tab w:val="left" w:pos="709"/>
          <w:tab w:val="left" w:pos="993"/>
        </w:tabs>
        <w:ind w:hanging="11"/>
        <w:jc w:val="both"/>
        <w:rPr>
          <w:bCs/>
          <w:color w:val="000000"/>
          <w:sz w:val="27"/>
          <w:szCs w:val="27"/>
        </w:rPr>
      </w:pPr>
      <w:r w:rsidRPr="00C46C9B">
        <w:rPr>
          <w:bCs/>
          <w:color w:val="000000"/>
        </w:rPr>
        <w:t>so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zmenou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článku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12.1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Dohody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o založení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Európskej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banky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pre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obnovu</w:t>
      </w:r>
      <w:r w:rsidRPr="00C46C9B">
        <w:rPr>
          <w:bCs/>
          <w:color w:val="000000"/>
          <w:spacing w:val="13"/>
        </w:rPr>
        <w:t xml:space="preserve"> </w:t>
      </w:r>
      <w:r w:rsidRPr="00C46C9B">
        <w:rPr>
          <w:bCs/>
          <w:color w:val="000000"/>
        </w:rPr>
        <w:t>a rozvoj, ktorá</w:t>
      </w:r>
      <w:r w:rsidRPr="00C46C9B">
        <w:rPr>
          <w:bCs/>
          <w:color w:val="000000"/>
          <w:spacing w:val="34"/>
        </w:rPr>
        <w:t xml:space="preserve"> </w:t>
      </w:r>
      <w:r w:rsidRPr="00C46C9B">
        <w:rPr>
          <w:bCs/>
          <w:color w:val="000000"/>
        </w:rPr>
        <w:t>odstraňuje</w:t>
      </w:r>
      <w:r w:rsidRPr="00C46C9B">
        <w:rPr>
          <w:bCs/>
          <w:color w:val="000000"/>
          <w:spacing w:val="34"/>
        </w:rPr>
        <w:t xml:space="preserve"> </w:t>
      </w:r>
      <w:r w:rsidRPr="00C46C9B">
        <w:rPr>
          <w:bCs/>
          <w:color w:val="000000"/>
        </w:rPr>
        <w:t>obmedzenie</w:t>
      </w:r>
      <w:r w:rsidRPr="00C46C9B">
        <w:rPr>
          <w:bCs/>
          <w:color w:val="000000"/>
          <w:spacing w:val="34"/>
        </w:rPr>
        <w:t xml:space="preserve"> </w:t>
      </w:r>
      <w:r w:rsidRPr="00C46C9B">
        <w:rPr>
          <w:bCs/>
          <w:color w:val="000000"/>
        </w:rPr>
        <w:t>k prístupu</w:t>
      </w:r>
      <w:r w:rsidRPr="00C46C9B">
        <w:rPr>
          <w:bCs/>
          <w:color w:val="000000"/>
          <w:spacing w:val="34"/>
        </w:rPr>
        <w:t xml:space="preserve"> </w:t>
      </w:r>
      <w:r w:rsidRPr="00C46C9B">
        <w:rPr>
          <w:bCs/>
          <w:color w:val="000000"/>
        </w:rPr>
        <w:t>k základnému</w:t>
      </w:r>
      <w:r w:rsidRPr="00C46C9B">
        <w:rPr>
          <w:bCs/>
          <w:color w:val="000000"/>
          <w:spacing w:val="34"/>
        </w:rPr>
        <w:t xml:space="preserve"> </w:t>
      </w:r>
      <w:r w:rsidRPr="00C46C9B">
        <w:rPr>
          <w:bCs/>
          <w:color w:val="000000"/>
        </w:rPr>
        <w:t>kapitálu</w:t>
      </w:r>
      <w:r w:rsidRPr="00C46C9B">
        <w:rPr>
          <w:bCs/>
          <w:color w:val="000000"/>
          <w:spacing w:val="34"/>
        </w:rPr>
        <w:t xml:space="preserve"> </w:t>
      </w:r>
      <w:r w:rsidRPr="00C46C9B">
        <w:rPr>
          <w:bCs/>
          <w:color w:val="000000"/>
        </w:rPr>
        <w:t>banky</w:t>
      </w:r>
      <w:r w:rsidRPr="00C46C9B">
        <w:rPr>
          <w:bCs/>
          <w:color w:val="000000"/>
          <w:spacing w:val="34"/>
        </w:rPr>
        <w:t xml:space="preserve"> </w:t>
      </w:r>
      <w:r w:rsidRPr="00C46C9B">
        <w:rPr>
          <w:bCs/>
          <w:color w:val="000000"/>
        </w:rPr>
        <w:t>pre</w:t>
      </w:r>
      <w:r w:rsidRPr="00C46C9B">
        <w:rPr>
          <w:bCs/>
          <w:color w:val="000000"/>
          <w:spacing w:val="34"/>
        </w:rPr>
        <w:t xml:space="preserve"> </w:t>
      </w:r>
      <w:r w:rsidRPr="00C46C9B">
        <w:rPr>
          <w:bCs/>
          <w:color w:val="000000"/>
        </w:rPr>
        <w:t>bežné operácie;</w:t>
      </w:r>
    </w:p>
    <w:p w:rsidR="00736EA1" w:rsidP="00736EA1">
      <w:pPr>
        <w:ind w:left="284" w:firstLine="424"/>
        <w:jc w:val="both"/>
        <w:rPr>
          <w:bCs/>
        </w:rPr>
      </w:pPr>
    </w:p>
    <w:p w:rsidR="00736EA1" w:rsidP="00F43097">
      <w:pPr>
        <w:ind w:firstLine="708"/>
        <w:rPr>
          <w:bCs/>
        </w:rPr>
      </w:pPr>
      <w:r w:rsidR="002B65A8">
        <w:rPr>
          <w:bCs/>
        </w:rPr>
        <w:t xml:space="preserve"> </w:t>
      </w: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>r o z h o d l a</w:t>
      </w:r>
    </w:p>
    <w:p w:rsidR="00AD5EFA" w:rsidP="00AD5EFA">
      <w:pPr>
        <w:pStyle w:val="BodyText2"/>
      </w:pPr>
    </w:p>
    <w:p w:rsidR="00F43097" w:rsidP="00AD5EFA">
      <w:pPr>
        <w:pStyle w:val="BodyText2"/>
        <w:ind w:left="360" w:firstLine="348"/>
      </w:pPr>
      <w:r>
        <w:t xml:space="preserve">o tom, že </w:t>
      </w:r>
      <w:r w:rsidR="00075DC5">
        <w:t>ide o medzinárodnú</w:t>
      </w:r>
      <w:r>
        <w:t xml:space="preserve"> zmluv</w:t>
      </w:r>
      <w:r w:rsidR="00075DC5">
        <w:t>u</w:t>
      </w:r>
      <w:r>
        <w:t xml:space="preserve"> podľa čl. 7 ods. 5 Ústavy SR, ktorá má prednosť pred zákonmi.</w:t>
      </w:r>
    </w:p>
    <w:p w:rsidR="00F43097" w:rsidP="00F43097"/>
    <w:p w:rsidR="00842811" w:rsidP="00842811">
      <w:pPr>
        <w:ind w:firstLine="708"/>
        <w:rPr>
          <w:bCs/>
        </w:rPr>
      </w:pPr>
    </w:p>
    <w:sectPr w:rsidSect="00B50C4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2858"/>
    <w:multiLevelType w:val="hybridMultilevel"/>
    <w:tmpl w:val="AC3E4D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97A91"/>
    <w:multiLevelType w:val="hybridMultilevel"/>
    <w:tmpl w:val="2A1AA48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14E75"/>
    <w:multiLevelType w:val="hybridMultilevel"/>
    <w:tmpl w:val="2A1AA48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D02E8"/>
    <w:multiLevelType w:val="hybridMultilevel"/>
    <w:tmpl w:val="FF46CD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4">
    <w:nsid w:val="6C8578AB"/>
    <w:multiLevelType w:val="hybridMultilevel"/>
    <w:tmpl w:val="01324D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2"/>
    </w:lvlOverride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1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5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4"/>
  </w:num>
  <w:num w:numId="16">
    <w:abstractNumId w:val="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Heading2">
    <w:name w:val="heading 2"/>
    <w:basedOn w:val="Normal"/>
    <w:next w:val="Normal"/>
    <w:link w:val="Nadpis2Char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link w:val="Zarkazkladnhotextu2Char"/>
    <w:pPr>
      <w:ind w:left="198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</w:pPr>
  </w:style>
  <w:style w:type="character" w:customStyle="1" w:styleId="Zkladntext2Char">
    <w:name w:val="Základný text 2 Char"/>
    <w:link w:val="BodyText2"/>
    <w:rsid w:val="00F43097"/>
    <w:rPr>
      <w:sz w:val="24"/>
    </w:rPr>
  </w:style>
  <w:style w:type="character" w:customStyle="1" w:styleId="Zarkazkladnhotextu2Char">
    <w:name w:val="Zarážka základného textu 2 Char"/>
    <w:link w:val="BodyTextIndent2"/>
    <w:rsid w:val="00F43097"/>
    <w:rPr>
      <w:sz w:val="24"/>
      <w:szCs w:val="24"/>
    </w:rPr>
  </w:style>
  <w:style w:type="character" w:customStyle="1" w:styleId="Nadpis2Char">
    <w:name w:val="Nadpis 2 Char"/>
    <w:link w:val="Heading2"/>
    <w:rsid w:val="00F43097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27DF7"/>
    <w:pPr>
      <w:ind w:left="720"/>
      <w:contextualSpacing/>
    </w:pPr>
  </w:style>
  <w:style w:type="paragraph" w:styleId="BalloonText">
    <w:name w:val="Balloon Text"/>
    <w:basedOn w:val="Normal"/>
    <w:link w:val="TextbublinyChar"/>
    <w:rsid w:val="009E1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9E1628"/>
    <w:rPr>
      <w:rFonts w:ascii="Tahoma" w:hAnsi="Tahoma" w:cs="Tahoma"/>
      <w:sz w:val="16"/>
      <w:szCs w:val="16"/>
    </w:rPr>
  </w:style>
  <w:style w:type="character" w:customStyle="1" w:styleId="Zkladntext3Char">
    <w:name w:val="Základný text 3 Char"/>
    <w:link w:val="BodyText3"/>
    <w:rsid w:val="00896DB8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75</cp:revision>
  <cp:lastPrinted>2016-09-05T14:16:00Z</cp:lastPrinted>
  <dcterms:created xsi:type="dcterms:W3CDTF">2000-06-22T08:23:00Z</dcterms:created>
  <dcterms:modified xsi:type="dcterms:W3CDTF">2024-04-17T12:05:00Z</dcterms:modified>
</cp:coreProperties>
</file>