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5C20" w14:textId="06852762" w:rsidR="00C33C4A" w:rsidRPr="002967BC" w:rsidRDefault="00C33C4A" w:rsidP="005307AE">
      <w:pPr>
        <w:pStyle w:val="Nadpis5"/>
        <w:tabs>
          <w:tab w:val="left" w:pos="284"/>
        </w:tabs>
        <w:rPr>
          <w:rFonts w:ascii="Times New Roman" w:hAnsi="Times New Roman"/>
          <w:i w:val="0"/>
          <w:iCs w:val="0"/>
          <w:spacing w:val="20"/>
          <w:sz w:val="32"/>
          <w:szCs w:val="32"/>
        </w:rPr>
      </w:pPr>
      <w:bookmarkStart w:id="0" w:name="_Toc158112578"/>
      <w:bookmarkStart w:id="1" w:name="_Toc162317347"/>
      <w:bookmarkStart w:id="2" w:name="_Toc257716896"/>
      <w:r w:rsidRPr="002967BC">
        <w:rPr>
          <w:rFonts w:ascii="Times New Roman" w:hAnsi="Times New Roman"/>
          <w:i w:val="0"/>
          <w:iCs w:val="0"/>
          <w:spacing w:val="20"/>
          <w:sz w:val="32"/>
          <w:szCs w:val="32"/>
        </w:rPr>
        <w:t>Správa</w:t>
      </w:r>
    </w:p>
    <w:p w14:paraId="587A10F0" w14:textId="70E580C5" w:rsidR="00C33C4A" w:rsidRPr="002967BC" w:rsidRDefault="00C33C4A" w:rsidP="00C33C4A">
      <w:pPr>
        <w:jc w:val="center"/>
        <w:rPr>
          <w:b/>
          <w:bCs/>
          <w:sz w:val="32"/>
          <w:szCs w:val="32"/>
        </w:rPr>
      </w:pPr>
      <w:r w:rsidRPr="002967BC">
        <w:rPr>
          <w:b/>
          <w:bCs/>
          <w:sz w:val="32"/>
          <w:szCs w:val="32"/>
        </w:rPr>
        <w:t>o stave jadrovej bezpečnosti jadrových zariadení na území Slovenskej republiky a o činnosti Úradu jadrového dozoru Slovenskej republiky</w:t>
      </w:r>
    </w:p>
    <w:p w14:paraId="45282753" w14:textId="1B9DEC3E" w:rsidR="001A411F" w:rsidRPr="002967BC" w:rsidRDefault="00C33C4A" w:rsidP="00AC375B">
      <w:pPr>
        <w:jc w:val="center"/>
        <w:rPr>
          <w:b/>
          <w:sz w:val="32"/>
          <w:szCs w:val="32"/>
        </w:rPr>
      </w:pPr>
      <w:r w:rsidRPr="002967BC">
        <w:rPr>
          <w:b/>
          <w:sz w:val="32"/>
          <w:szCs w:val="32"/>
        </w:rPr>
        <w:t xml:space="preserve">za rok </w:t>
      </w:r>
      <w:r w:rsidR="00C93D75" w:rsidRPr="002967BC">
        <w:rPr>
          <w:b/>
          <w:sz w:val="32"/>
          <w:szCs w:val="32"/>
        </w:rPr>
        <w:t>202</w:t>
      </w:r>
      <w:r w:rsidR="00C67CE1">
        <w:rPr>
          <w:b/>
          <w:sz w:val="32"/>
          <w:szCs w:val="32"/>
        </w:rPr>
        <w:t>3</w:t>
      </w:r>
    </w:p>
    <w:p w14:paraId="0721E2F2" w14:textId="77777777" w:rsidR="002967BC" w:rsidRPr="002967BC" w:rsidRDefault="002967BC" w:rsidP="00C33C4A">
      <w:pPr>
        <w:rPr>
          <w:lang w:eastAsia="cs-CZ"/>
        </w:rPr>
      </w:pPr>
    </w:p>
    <w:p w14:paraId="2D514EF2" w14:textId="07D53D53" w:rsidR="00156D65" w:rsidRPr="002967BC" w:rsidRDefault="00156D65" w:rsidP="005B072A">
      <w:pPr>
        <w:pStyle w:val="Nadpis1"/>
      </w:pPr>
      <w:bookmarkStart w:id="3" w:name="_Toc161214303"/>
      <w:r w:rsidRPr="00FA1219">
        <w:t>Úvod</w:t>
      </w:r>
      <w:bookmarkEnd w:id="3"/>
    </w:p>
    <w:p w14:paraId="5361A1B2" w14:textId="3CB72465" w:rsidR="00687E45" w:rsidRPr="00583F42" w:rsidRDefault="00687E45" w:rsidP="005B072A">
      <w:pPr>
        <w:rPr>
          <w:bCs/>
          <w:caps/>
          <w:szCs w:val="24"/>
        </w:rPr>
      </w:pPr>
    </w:p>
    <w:p w14:paraId="2E884907" w14:textId="7938262A" w:rsidR="0030679D" w:rsidRPr="002967BC" w:rsidRDefault="0030679D" w:rsidP="005B072A">
      <w:pPr>
        <w:pStyle w:val="Zkladntext"/>
        <w:spacing w:after="0"/>
        <w:jc w:val="both"/>
      </w:pPr>
      <w:r w:rsidRPr="002967BC">
        <w:t xml:space="preserve">Úrad jadrového dozoru Slovenskej republiky </w:t>
      </w:r>
      <w:r w:rsidRPr="00040B75">
        <w:t>(ÚJD</w:t>
      </w:r>
      <w:r w:rsidR="003B702F" w:rsidRPr="00040B75">
        <w:t> </w:t>
      </w:r>
      <w:r w:rsidRPr="00040B75">
        <w:t>SR</w:t>
      </w:r>
      <w:r w:rsidR="00FD6FFF" w:rsidRPr="00040B75">
        <w:t>, úrad</w:t>
      </w:r>
      <w:r w:rsidRPr="00040B75">
        <w:t>)</w:t>
      </w:r>
      <w:r w:rsidRPr="002967BC">
        <w:t xml:space="preserve"> </w:t>
      </w:r>
      <w:r w:rsidR="002572FF" w:rsidRPr="002967BC">
        <w:t xml:space="preserve">podľa zákona č. 541/2004 Z. z. o mierovom využívaní jadrovej energie (atómový zákon) a o zmene a doplnení niektorých zákonov v znení neskorších predpisov </w:t>
      </w:r>
      <w:r w:rsidRPr="002967BC">
        <w:t>každoročne spracováva správu</w:t>
      </w:r>
      <w:r w:rsidR="001C279C" w:rsidRPr="002967BC">
        <w:t>,</w:t>
      </w:r>
      <w:r w:rsidR="002967BC">
        <w:t xml:space="preserve"> </w:t>
      </w:r>
      <w:r w:rsidR="001C279C" w:rsidRPr="002967BC">
        <w:t>v</w:t>
      </w:r>
      <w:r w:rsidR="00F60785" w:rsidRPr="002967BC">
        <w:t> </w:t>
      </w:r>
      <w:r w:rsidR="001C279C" w:rsidRPr="002967BC">
        <w:t>ktorej</w:t>
      </w:r>
      <w:r w:rsidRPr="002967BC">
        <w:t> podáva súhrnnú informáciu o činnosti ÚJD</w:t>
      </w:r>
      <w:r w:rsidR="003B702F">
        <w:t> </w:t>
      </w:r>
      <w:r w:rsidRPr="002967BC">
        <w:t xml:space="preserve">SR a o hodnotení a kontrole stavu jadrovej bezpečnosti jadrových zariadení na území Slovenskej republiky </w:t>
      </w:r>
      <w:r w:rsidRPr="00040B75">
        <w:t>(SR</w:t>
      </w:r>
      <w:r w:rsidR="0071393E" w:rsidRPr="00040B75">
        <w:t>)</w:t>
      </w:r>
      <w:r w:rsidR="0071393E" w:rsidRPr="0071393E">
        <w:t xml:space="preserve"> </w:t>
      </w:r>
      <w:r w:rsidR="0071393E" w:rsidRPr="002967BC">
        <w:t>za uplynulý rok</w:t>
      </w:r>
      <w:r w:rsidRPr="002967BC">
        <w:t>.</w:t>
      </w:r>
    </w:p>
    <w:p w14:paraId="4D80F0EE" w14:textId="4B1E61C0" w:rsidR="00933BBE" w:rsidRPr="002967BC" w:rsidRDefault="0030679D" w:rsidP="005B072A">
      <w:pPr>
        <w:jc w:val="both"/>
      </w:pPr>
      <w:r w:rsidRPr="002967BC">
        <w:t>ÚJD</w:t>
      </w:r>
      <w:r w:rsidR="003B702F">
        <w:t> </w:t>
      </w:r>
      <w:r w:rsidRPr="002967BC">
        <w:t xml:space="preserve">SR vykonáva podľa zákona č. 575/2001 Z. z. o organizácii činnosti vlády a organizácii ústrednej štátnej správy v znení neskorších predpisov a atómového zákona štátny dozor v oblasti </w:t>
      </w:r>
      <w:r w:rsidR="009D73F3">
        <w:t xml:space="preserve">mierového </w:t>
      </w:r>
      <w:r w:rsidRPr="002967BC">
        <w:t>využívania jadrovej energie a bezpečného nakladania s vyhoretým jadrovým palivom</w:t>
      </w:r>
      <w:r w:rsidR="005C5068" w:rsidRPr="002967BC">
        <w:t xml:space="preserve"> </w:t>
      </w:r>
      <w:r w:rsidR="005C5068" w:rsidRPr="001E12C6">
        <w:t>(VJP)</w:t>
      </w:r>
      <w:r w:rsidRPr="002967BC">
        <w:t xml:space="preserve"> a rádioaktívnymi odpadmi</w:t>
      </w:r>
      <w:r w:rsidR="005C5068" w:rsidRPr="002967BC">
        <w:t xml:space="preserve"> </w:t>
      </w:r>
      <w:r w:rsidR="005C5068" w:rsidRPr="001E12C6">
        <w:t>(RAO)</w:t>
      </w:r>
      <w:r w:rsidRPr="001E12C6">
        <w:t>,</w:t>
      </w:r>
      <w:r w:rsidRPr="002967BC">
        <w:t xml:space="preserve"> pri fyzickej ochrane jadrových materiálov</w:t>
      </w:r>
      <w:r w:rsidR="000B14CC" w:rsidRPr="002967BC">
        <w:t xml:space="preserve"> </w:t>
      </w:r>
      <w:r w:rsidR="000B14CC" w:rsidRPr="007362E3">
        <w:t>(JM</w:t>
      </w:r>
      <w:r w:rsidR="000B14CC" w:rsidRPr="002967BC">
        <w:t>)</w:t>
      </w:r>
      <w:r w:rsidRPr="002967BC">
        <w:t>, pri</w:t>
      </w:r>
      <w:r w:rsidR="00C4751B" w:rsidRPr="002967BC">
        <w:t> </w:t>
      </w:r>
      <w:r w:rsidRPr="002967BC">
        <w:t>havarijnom plánovaní v SR pre prípad radiačného ohrozenia a zabezpečuje plnenie povinností vyplývajúcich z medzinárodných zmlúv a dohôd v oblasti mierového využívania jadrovej energie.</w:t>
      </w:r>
    </w:p>
    <w:p w14:paraId="78EDEF89" w14:textId="542A8DF2" w:rsidR="006F53A4" w:rsidRPr="002967BC" w:rsidRDefault="007D2BD9" w:rsidP="005B072A">
      <w:pPr>
        <w:jc w:val="both"/>
        <w:rPr>
          <w:sz w:val="26"/>
          <w:szCs w:val="26"/>
        </w:rPr>
      </w:pPr>
      <w:r>
        <w:rPr>
          <w:rFonts w:eastAsiaTheme="minorHAnsi"/>
          <w:color w:val="000000"/>
          <w:szCs w:val="24"/>
          <w:lang w:eastAsia="en-US"/>
        </w:rPr>
        <w:t>Úrad</w:t>
      </w:r>
      <w:r w:rsidR="006F53A4" w:rsidRPr="002967BC">
        <w:rPr>
          <w:rFonts w:eastAsiaTheme="minorHAnsi"/>
          <w:color w:val="000000"/>
          <w:szCs w:val="24"/>
          <w:lang w:eastAsia="en-US"/>
        </w:rPr>
        <w:t xml:space="preserve"> tiež vykonáva pôsobnosť stavebného úradu podľa zákona č.</w:t>
      </w:r>
      <w:r w:rsidR="000C1D24">
        <w:rPr>
          <w:rFonts w:eastAsiaTheme="minorHAnsi"/>
          <w:color w:val="000000"/>
          <w:szCs w:val="24"/>
          <w:lang w:eastAsia="en-US"/>
        </w:rPr>
        <w:t> </w:t>
      </w:r>
      <w:r w:rsidR="006F53A4" w:rsidRPr="002967BC">
        <w:rPr>
          <w:rFonts w:eastAsiaTheme="minorHAnsi"/>
          <w:color w:val="000000"/>
          <w:szCs w:val="24"/>
          <w:lang w:eastAsia="en-US"/>
        </w:rPr>
        <w:t>50/1976 Zb. o územnom plánovaní a stavebnom poriadku (</w:t>
      </w:r>
      <w:r w:rsidR="006F53A4" w:rsidRPr="00040B75">
        <w:rPr>
          <w:rFonts w:eastAsiaTheme="minorHAnsi"/>
          <w:color w:val="000000"/>
          <w:szCs w:val="24"/>
          <w:lang w:eastAsia="en-US"/>
        </w:rPr>
        <w:t>stavebný zákon</w:t>
      </w:r>
      <w:r w:rsidR="006F53A4" w:rsidRPr="002967BC">
        <w:rPr>
          <w:rFonts w:eastAsiaTheme="minorHAnsi"/>
          <w:color w:val="000000"/>
          <w:szCs w:val="24"/>
          <w:lang w:eastAsia="en-US"/>
        </w:rPr>
        <w:t xml:space="preserve">) v znení neskorších predpisov pri stavbách </w:t>
      </w:r>
      <w:r w:rsidR="00604395" w:rsidRPr="002967BC">
        <w:rPr>
          <w:rFonts w:eastAsiaTheme="minorHAnsi"/>
          <w:color w:val="000000"/>
          <w:szCs w:val="24"/>
          <w:lang w:eastAsia="en-US"/>
        </w:rPr>
        <w:t xml:space="preserve">jadrových zariadení </w:t>
      </w:r>
      <w:r w:rsidR="00604395" w:rsidRPr="00DB6B0E">
        <w:rPr>
          <w:rFonts w:eastAsiaTheme="minorHAnsi"/>
          <w:color w:val="000000"/>
          <w:szCs w:val="24"/>
          <w:lang w:eastAsia="en-US"/>
        </w:rPr>
        <w:t>(</w:t>
      </w:r>
      <w:r w:rsidR="006F53A4" w:rsidRPr="00DB6B0E">
        <w:rPr>
          <w:rFonts w:eastAsiaTheme="minorHAnsi"/>
          <w:color w:val="000000"/>
          <w:szCs w:val="24"/>
          <w:lang w:eastAsia="en-US"/>
        </w:rPr>
        <w:t>JZ</w:t>
      </w:r>
      <w:r w:rsidR="00604395" w:rsidRPr="002967BC">
        <w:rPr>
          <w:rFonts w:eastAsiaTheme="minorHAnsi"/>
          <w:color w:val="000000"/>
          <w:szCs w:val="24"/>
          <w:lang w:eastAsia="en-US"/>
        </w:rPr>
        <w:t>)</w:t>
      </w:r>
      <w:r w:rsidR="006F53A4" w:rsidRPr="002967BC">
        <w:rPr>
          <w:rFonts w:eastAsiaTheme="minorHAnsi"/>
          <w:color w:val="000000"/>
          <w:szCs w:val="24"/>
          <w:lang w:eastAsia="en-US"/>
        </w:rPr>
        <w:t>, stavbách súvisiacich s JZ a nachádzajúcich sa v areáli ohraničenom hranicami JZ</w:t>
      </w:r>
      <w:r w:rsidR="00604395" w:rsidRPr="002967BC">
        <w:rPr>
          <w:rFonts w:eastAsiaTheme="minorHAnsi"/>
          <w:color w:val="000000"/>
          <w:szCs w:val="24"/>
          <w:lang w:eastAsia="en-US"/>
        </w:rPr>
        <w:t>.</w:t>
      </w:r>
    </w:p>
    <w:p w14:paraId="6D3CC6C2" w14:textId="77777777" w:rsidR="00C85C54" w:rsidRPr="007D2BD9" w:rsidRDefault="00C85C54" w:rsidP="005B072A">
      <w:pPr>
        <w:rPr>
          <w:bCs/>
          <w:caps/>
          <w:szCs w:val="24"/>
        </w:rPr>
      </w:pPr>
    </w:p>
    <w:p w14:paraId="66DC4C24" w14:textId="6CD1B324" w:rsidR="003841E6" w:rsidRPr="00B43DB0" w:rsidRDefault="00687E45" w:rsidP="007C21EA">
      <w:pPr>
        <w:pStyle w:val="Nadpis1"/>
        <w:numPr>
          <w:ilvl w:val="0"/>
          <w:numId w:val="5"/>
        </w:numPr>
        <w:ind w:left="360"/>
        <w:jc w:val="both"/>
      </w:pPr>
      <w:bookmarkStart w:id="4" w:name="_Toc285032436"/>
      <w:bookmarkStart w:id="5" w:name="_Toc161214304"/>
      <w:r w:rsidRPr="00B43DB0">
        <w:t>Výkon dozoru</w:t>
      </w:r>
      <w:bookmarkEnd w:id="4"/>
      <w:bookmarkEnd w:id="5"/>
    </w:p>
    <w:p w14:paraId="43D2592C" w14:textId="77B3D8CE" w:rsidR="002D7CAE" w:rsidRPr="002967BC" w:rsidRDefault="002D7CAE" w:rsidP="005B072A">
      <w:pPr>
        <w:rPr>
          <w:lang w:val="x-none" w:eastAsia="cs-CZ"/>
        </w:rPr>
      </w:pPr>
    </w:p>
    <w:p w14:paraId="73B648F4" w14:textId="77777777" w:rsidR="00E5792F" w:rsidRPr="002967BC" w:rsidRDefault="00E5792F" w:rsidP="005B072A">
      <w:pPr>
        <w:pStyle w:val="Zkladntext"/>
        <w:spacing w:after="0"/>
        <w:jc w:val="both"/>
      </w:pPr>
      <w:r w:rsidRPr="002967BC">
        <w:t>Výkon dozoru nad jadrovou bezpečnosťou sa realizuje v nasledovných hlavných oblastiach:</w:t>
      </w:r>
    </w:p>
    <w:p w14:paraId="33199F85" w14:textId="7859F1A1" w:rsidR="00E5792F" w:rsidRPr="002967BC"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2967BC">
        <w:rPr>
          <w:rFonts w:ascii="Times New Roman" w:hAnsi="Times New Roman"/>
          <w:color w:val="000000" w:themeColor="text1"/>
          <w:sz w:val="24"/>
          <w:szCs w:val="24"/>
        </w:rPr>
        <w:t>legislatíva,</w:t>
      </w:r>
    </w:p>
    <w:p w14:paraId="790973ED" w14:textId="2D979EB5" w:rsidR="00E5792F" w:rsidRPr="002967BC"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2967BC">
        <w:rPr>
          <w:rFonts w:ascii="Times New Roman" w:hAnsi="Times New Roman"/>
          <w:color w:val="000000" w:themeColor="text1"/>
          <w:sz w:val="24"/>
          <w:szCs w:val="24"/>
        </w:rPr>
        <w:t>vydávanie povolení,</w:t>
      </w:r>
    </w:p>
    <w:p w14:paraId="7AB1374A" w14:textId="2CB04AEA" w:rsidR="00E5792F" w:rsidRPr="002967BC"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2967BC">
        <w:rPr>
          <w:rFonts w:ascii="Times New Roman" w:hAnsi="Times New Roman"/>
          <w:color w:val="000000" w:themeColor="text1"/>
          <w:sz w:val="24"/>
          <w:szCs w:val="24"/>
        </w:rPr>
        <w:t>posudzovanie a hodnotenie bezpečnostnej dokumentácie,</w:t>
      </w:r>
    </w:p>
    <w:p w14:paraId="7BA31D2C" w14:textId="0E9149E6" w:rsidR="00E5792F" w:rsidRPr="002967BC"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2967BC">
        <w:rPr>
          <w:rFonts w:ascii="Times New Roman" w:hAnsi="Times New Roman"/>
          <w:color w:val="000000" w:themeColor="text1"/>
          <w:sz w:val="24"/>
          <w:szCs w:val="24"/>
        </w:rPr>
        <w:t>kontrolná/inšpekčná činnosť v </w:t>
      </w:r>
      <w:r w:rsidR="007D2BD9">
        <w:rPr>
          <w:rFonts w:ascii="Times New Roman" w:hAnsi="Times New Roman"/>
          <w:color w:val="000000" w:themeColor="text1"/>
          <w:sz w:val="24"/>
          <w:szCs w:val="24"/>
        </w:rPr>
        <w:t>JZ</w:t>
      </w:r>
      <w:r w:rsidRPr="002967BC">
        <w:rPr>
          <w:rFonts w:ascii="Times New Roman" w:hAnsi="Times New Roman"/>
          <w:color w:val="000000" w:themeColor="text1"/>
          <w:sz w:val="24"/>
          <w:szCs w:val="24"/>
        </w:rPr>
        <w:t xml:space="preserve"> a vynucovanie práva.</w:t>
      </w:r>
    </w:p>
    <w:p w14:paraId="569B0818" w14:textId="77777777" w:rsidR="00F3594F" w:rsidRDefault="00F3594F" w:rsidP="005B072A">
      <w:pPr>
        <w:pStyle w:val="Zkladntext"/>
        <w:spacing w:after="0"/>
        <w:jc w:val="both"/>
      </w:pPr>
    </w:p>
    <w:p w14:paraId="6D076DCC" w14:textId="6766320D" w:rsidR="00E5792F" w:rsidRPr="002967BC" w:rsidRDefault="00E5792F" w:rsidP="00722CD6">
      <w:pPr>
        <w:pStyle w:val="Zkladntext"/>
        <w:tabs>
          <w:tab w:val="left" w:pos="426"/>
        </w:tabs>
        <w:spacing w:after="0"/>
        <w:jc w:val="both"/>
      </w:pPr>
      <w:r w:rsidRPr="002967BC">
        <w:t xml:space="preserve">Hlavnými </w:t>
      </w:r>
      <w:proofErr w:type="spellStart"/>
      <w:r w:rsidRPr="002967BC">
        <w:t>dozorovanými</w:t>
      </w:r>
      <w:proofErr w:type="spellEnd"/>
      <w:r w:rsidRPr="002967BC">
        <w:t xml:space="preserve"> subjektmi </w:t>
      </w:r>
      <w:r w:rsidR="007A3408">
        <w:t xml:space="preserve">v SR </w:t>
      </w:r>
      <w:r w:rsidRPr="002967BC">
        <w:t>sú držitelia povolení na stavbu, uvádzanie do</w:t>
      </w:r>
      <w:r w:rsidR="007A3408">
        <w:t> </w:t>
      </w:r>
      <w:r w:rsidRPr="002967BC">
        <w:t xml:space="preserve">prevádzky, </w:t>
      </w:r>
      <w:r w:rsidRPr="00C24BCE">
        <w:t xml:space="preserve">prevádzku a etapu vyraďovania </w:t>
      </w:r>
      <w:r w:rsidR="000B14CC" w:rsidRPr="00C24BCE">
        <w:t>JZ</w:t>
      </w:r>
      <w:r w:rsidRPr="00C24BCE">
        <w:t xml:space="preserve">. </w:t>
      </w:r>
      <w:r w:rsidR="007A3408" w:rsidRPr="00C24BCE">
        <w:t>D</w:t>
      </w:r>
      <w:r w:rsidRPr="00C24BCE">
        <w:t xml:space="preserve">ržiteľmi takýchto povolení </w:t>
      </w:r>
      <w:r w:rsidR="007A3408" w:rsidRPr="00C24BCE">
        <w:t xml:space="preserve">sú </w:t>
      </w:r>
      <w:r w:rsidRPr="00C24BCE">
        <w:t>Slovenské elektrárne, a. s. (</w:t>
      </w:r>
      <w:r w:rsidRPr="00C24BCE">
        <w:rPr>
          <w:iCs/>
        </w:rPr>
        <w:t>SE, a. s.)</w:t>
      </w:r>
      <w:r w:rsidR="005E637A" w:rsidRPr="00C24BCE">
        <w:rPr>
          <w:iCs/>
        </w:rPr>
        <w:t>,</w:t>
      </w:r>
      <w:r w:rsidRPr="002967BC">
        <w:t xml:space="preserve"> a Jadrová a vyraďovacia spoločnosť</w:t>
      </w:r>
      <w:r w:rsidR="00272BA5" w:rsidRPr="002967BC">
        <w:t>, a. s.</w:t>
      </w:r>
      <w:r w:rsidRPr="002967BC">
        <w:t xml:space="preserve"> (</w:t>
      </w:r>
      <w:r w:rsidRPr="00C24BCE">
        <w:t>JAVYS, a. s.).</w:t>
      </w:r>
      <w:r w:rsidR="00C45332" w:rsidRPr="002967BC">
        <w:t xml:space="preserve"> </w:t>
      </w:r>
      <w:r w:rsidRPr="002967BC">
        <w:rPr>
          <w:iCs/>
        </w:rPr>
        <w:t>JZ t</w:t>
      </w:r>
      <w:r w:rsidR="00193345" w:rsidRPr="002967BC">
        <w:rPr>
          <w:iCs/>
        </w:rPr>
        <w:t>ých</w:t>
      </w:r>
      <w:r w:rsidRPr="002967BC">
        <w:rPr>
          <w:iCs/>
        </w:rPr>
        <w:t>to spoločnost</w:t>
      </w:r>
      <w:r w:rsidR="00193345" w:rsidRPr="002967BC">
        <w:rPr>
          <w:iCs/>
        </w:rPr>
        <w:t>í</w:t>
      </w:r>
      <w:r w:rsidRPr="002967BC">
        <w:rPr>
          <w:iCs/>
        </w:rPr>
        <w:t xml:space="preserve"> rozdeľujeme na jadrové elektrárne </w:t>
      </w:r>
      <w:r w:rsidRPr="00C24BCE">
        <w:rPr>
          <w:iCs/>
        </w:rPr>
        <w:t>(JE</w:t>
      </w:r>
      <w:r w:rsidRPr="002967BC">
        <w:rPr>
          <w:iCs/>
        </w:rPr>
        <w:t>) a iné JZ.</w:t>
      </w:r>
    </w:p>
    <w:p w14:paraId="59301D38" w14:textId="77777777" w:rsidR="00C45332" w:rsidRPr="002967BC" w:rsidRDefault="00C45332" w:rsidP="005B072A">
      <w:pPr>
        <w:pStyle w:val="slovanzoznam"/>
        <w:numPr>
          <w:ilvl w:val="0"/>
          <w:numId w:val="0"/>
        </w:numPr>
        <w:spacing w:before="0"/>
        <w:jc w:val="both"/>
        <w:rPr>
          <w:i/>
          <w:iCs/>
        </w:rPr>
      </w:pPr>
    </w:p>
    <w:p w14:paraId="5AA170E9" w14:textId="128A2813" w:rsidR="00E5792F" w:rsidRPr="002967BC" w:rsidRDefault="00E5792F" w:rsidP="005B072A">
      <w:pPr>
        <w:pStyle w:val="slovanzoznam"/>
        <w:numPr>
          <w:ilvl w:val="0"/>
          <w:numId w:val="0"/>
        </w:numPr>
        <w:spacing w:before="0"/>
        <w:jc w:val="both"/>
        <w:rPr>
          <w:i/>
          <w:iCs/>
        </w:rPr>
      </w:pPr>
      <w:r w:rsidRPr="002967BC">
        <w:rPr>
          <w:i/>
          <w:iCs/>
        </w:rPr>
        <w:t>Jadrové elektrárne:</w:t>
      </w:r>
    </w:p>
    <w:p w14:paraId="7E75912D" w14:textId="63B00929" w:rsidR="00E5792F" w:rsidRPr="009A743F"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Jadrová elektráreň Bohunice V-2 (</w:t>
      </w:r>
      <w:r w:rsidRPr="009A743F">
        <w:rPr>
          <w:rFonts w:ascii="Times New Roman" w:hAnsi="Times New Roman"/>
          <w:color w:val="000000" w:themeColor="text1"/>
          <w:sz w:val="24"/>
          <w:szCs w:val="24"/>
        </w:rPr>
        <w:t>JE Bohunice V-2</w:t>
      </w:r>
      <w:r w:rsidR="00943B58" w:rsidRPr="009A743F">
        <w:rPr>
          <w:rFonts w:ascii="Times New Roman" w:hAnsi="Times New Roman"/>
          <w:color w:val="000000" w:themeColor="text1"/>
          <w:sz w:val="24"/>
          <w:szCs w:val="24"/>
        </w:rPr>
        <w:t>/EBO V-2</w:t>
      </w:r>
      <w:r w:rsidRPr="009A743F">
        <w:rPr>
          <w:rFonts w:ascii="Times New Roman" w:hAnsi="Times New Roman"/>
          <w:color w:val="000000" w:themeColor="text1"/>
          <w:sz w:val="24"/>
          <w:szCs w:val="24"/>
        </w:rPr>
        <w:t>), dva bloky v prevádzke,</w:t>
      </w:r>
    </w:p>
    <w:p w14:paraId="7F4F792F" w14:textId="39680963" w:rsidR="00E5792F" w:rsidRPr="0099692A"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A743F">
        <w:rPr>
          <w:rFonts w:ascii="Times New Roman" w:hAnsi="Times New Roman"/>
          <w:color w:val="000000" w:themeColor="text1"/>
          <w:sz w:val="24"/>
          <w:szCs w:val="24"/>
        </w:rPr>
        <w:t>Jadrová elektráreň Mochovce 1</w:t>
      </w:r>
      <w:r w:rsidR="00604395" w:rsidRPr="009A743F">
        <w:rPr>
          <w:rFonts w:ascii="Times New Roman" w:hAnsi="Times New Roman"/>
          <w:color w:val="000000" w:themeColor="text1"/>
          <w:sz w:val="24"/>
          <w:szCs w:val="24"/>
        </w:rPr>
        <w:t>, </w:t>
      </w:r>
      <w:r w:rsidRPr="009A743F">
        <w:rPr>
          <w:rFonts w:ascii="Times New Roman" w:hAnsi="Times New Roman"/>
          <w:color w:val="000000" w:themeColor="text1"/>
          <w:sz w:val="24"/>
          <w:szCs w:val="24"/>
        </w:rPr>
        <w:t xml:space="preserve">2 (JE Mochovce </w:t>
      </w:r>
      <w:r w:rsidR="00604395" w:rsidRPr="009A743F">
        <w:rPr>
          <w:rFonts w:ascii="Times New Roman" w:hAnsi="Times New Roman"/>
          <w:color w:val="000000" w:themeColor="text1"/>
          <w:sz w:val="24"/>
          <w:szCs w:val="24"/>
        </w:rPr>
        <w:t>1, 2</w:t>
      </w:r>
      <w:r w:rsidR="00943B58" w:rsidRPr="009A743F">
        <w:rPr>
          <w:rFonts w:ascii="Times New Roman" w:hAnsi="Times New Roman"/>
          <w:color w:val="000000" w:themeColor="text1"/>
          <w:sz w:val="24"/>
          <w:szCs w:val="24"/>
        </w:rPr>
        <w:t>/EMO</w:t>
      </w:r>
      <w:r w:rsidR="00604395" w:rsidRPr="009A743F">
        <w:rPr>
          <w:rFonts w:ascii="Times New Roman" w:hAnsi="Times New Roman"/>
          <w:color w:val="000000" w:themeColor="text1"/>
          <w:sz w:val="24"/>
          <w:szCs w:val="24"/>
        </w:rPr>
        <w:t>1</w:t>
      </w:r>
      <w:r w:rsidR="00604395" w:rsidRPr="0085360C">
        <w:rPr>
          <w:rFonts w:ascii="Times New Roman" w:hAnsi="Times New Roman"/>
          <w:color w:val="000000" w:themeColor="text1"/>
          <w:sz w:val="24"/>
          <w:szCs w:val="24"/>
        </w:rPr>
        <w:t>, 2</w:t>
      </w:r>
      <w:r w:rsidRPr="0099692A">
        <w:rPr>
          <w:rFonts w:ascii="Times New Roman" w:hAnsi="Times New Roman"/>
          <w:color w:val="000000" w:themeColor="text1"/>
          <w:sz w:val="24"/>
          <w:szCs w:val="24"/>
        </w:rPr>
        <w:t>), dva bloky v prevádzke,</w:t>
      </w:r>
    </w:p>
    <w:p w14:paraId="26E8FA6F" w14:textId="1F92FE75" w:rsidR="00E5792F" w:rsidRPr="0081728E"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81728E">
        <w:rPr>
          <w:rFonts w:ascii="Times New Roman" w:hAnsi="Times New Roman"/>
          <w:color w:val="000000" w:themeColor="text1"/>
          <w:sz w:val="24"/>
          <w:szCs w:val="24"/>
        </w:rPr>
        <w:t>Jadrová elektráreň Mochovce 3</w:t>
      </w:r>
      <w:r w:rsidR="00604395" w:rsidRPr="0081728E">
        <w:rPr>
          <w:rFonts w:ascii="Times New Roman" w:hAnsi="Times New Roman"/>
          <w:color w:val="000000" w:themeColor="text1"/>
          <w:sz w:val="24"/>
          <w:szCs w:val="24"/>
        </w:rPr>
        <w:t>, </w:t>
      </w:r>
      <w:r w:rsidRPr="009A743F">
        <w:rPr>
          <w:rFonts w:ascii="Times New Roman" w:hAnsi="Times New Roman"/>
          <w:color w:val="000000" w:themeColor="text1"/>
          <w:sz w:val="24"/>
          <w:szCs w:val="24"/>
        </w:rPr>
        <w:t xml:space="preserve">4 (JE Mochovce </w:t>
      </w:r>
      <w:r w:rsidR="00604395" w:rsidRPr="009A743F">
        <w:rPr>
          <w:rFonts w:ascii="Times New Roman" w:hAnsi="Times New Roman"/>
          <w:color w:val="000000" w:themeColor="text1"/>
          <w:sz w:val="24"/>
          <w:szCs w:val="24"/>
        </w:rPr>
        <w:t>3, 4</w:t>
      </w:r>
      <w:r w:rsidR="00943B58" w:rsidRPr="009A743F">
        <w:rPr>
          <w:rFonts w:ascii="Times New Roman" w:hAnsi="Times New Roman"/>
          <w:color w:val="000000" w:themeColor="text1"/>
          <w:sz w:val="24"/>
          <w:szCs w:val="24"/>
        </w:rPr>
        <w:t>/MO</w:t>
      </w:r>
      <w:r w:rsidR="00362261" w:rsidRPr="009A743F">
        <w:rPr>
          <w:rFonts w:ascii="Times New Roman" w:hAnsi="Times New Roman"/>
          <w:color w:val="000000" w:themeColor="text1"/>
          <w:sz w:val="24"/>
          <w:szCs w:val="24"/>
        </w:rPr>
        <w:t> </w:t>
      </w:r>
      <w:r w:rsidR="00604395" w:rsidRPr="009A743F">
        <w:rPr>
          <w:rFonts w:ascii="Times New Roman" w:hAnsi="Times New Roman"/>
          <w:color w:val="000000" w:themeColor="text1"/>
          <w:sz w:val="24"/>
          <w:szCs w:val="24"/>
        </w:rPr>
        <w:t>34</w:t>
      </w:r>
      <w:r w:rsidRPr="009A743F">
        <w:rPr>
          <w:rFonts w:ascii="Times New Roman" w:hAnsi="Times New Roman"/>
          <w:color w:val="000000" w:themeColor="text1"/>
          <w:sz w:val="24"/>
          <w:szCs w:val="24"/>
        </w:rPr>
        <w:t>),</w:t>
      </w:r>
      <w:r w:rsidRPr="0081728E">
        <w:rPr>
          <w:rFonts w:ascii="Times New Roman" w:hAnsi="Times New Roman"/>
          <w:color w:val="000000" w:themeColor="text1"/>
          <w:sz w:val="24"/>
          <w:szCs w:val="24"/>
        </w:rPr>
        <w:t xml:space="preserve"> </w:t>
      </w:r>
      <w:r w:rsidR="0081728E" w:rsidRPr="006C7EE8">
        <w:rPr>
          <w:rFonts w:ascii="Times New Roman" w:hAnsi="Times New Roman"/>
          <w:color w:val="000000" w:themeColor="text1"/>
          <w:sz w:val="24"/>
          <w:szCs w:val="24"/>
        </w:rPr>
        <w:t>tretí blok v</w:t>
      </w:r>
      <w:r w:rsidR="006C7EE8">
        <w:rPr>
          <w:rFonts w:ascii="Times New Roman" w:hAnsi="Times New Roman"/>
          <w:color w:val="000000" w:themeColor="text1"/>
          <w:sz w:val="24"/>
          <w:szCs w:val="24"/>
        </w:rPr>
        <w:t xml:space="preserve">o fáze </w:t>
      </w:r>
      <w:r w:rsidR="004C7398" w:rsidRPr="006C7EE8">
        <w:rPr>
          <w:rFonts w:ascii="Times New Roman" w:hAnsi="Times New Roman"/>
          <w:color w:val="000000" w:themeColor="text1"/>
          <w:sz w:val="24"/>
          <w:szCs w:val="24"/>
        </w:rPr>
        <w:t>uvádzan</w:t>
      </w:r>
      <w:r w:rsidR="006C7EE8">
        <w:rPr>
          <w:rFonts w:ascii="Times New Roman" w:hAnsi="Times New Roman"/>
          <w:color w:val="000000" w:themeColor="text1"/>
          <w:sz w:val="24"/>
          <w:szCs w:val="24"/>
        </w:rPr>
        <w:t>ia</w:t>
      </w:r>
      <w:r w:rsidR="004C7398" w:rsidRPr="006C7EE8">
        <w:rPr>
          <w:rFonts w:ascii="Times New Roman" w:hAnsi="Times New Roman"/>
          <w:color w:val="000000" w:themeColor="text1"/>
          <w:sz w:val="24"/>
          <w:szCs w:val="24"/>
        </w:rPr>
        <w:t xml:space="preserve"> do prevádzky</w:t>
      </w:r>
      <w:r w:rsidR="00890A46">
        <w:rPr>
          <w:rFonts w:ascii="Times New Roman" w:hAnsi="Times New Roman"/>
          <w:color w:val="000000" w:themeColor="text1"/>
          <w:sz w:val="24"/>
          <w:szCs w:val="24"/>
        </w:rPr>
        <w:t>,</w:t>
      </w:r>
      <w:r w:rsidR="0081728E" w:rsidRPr="0081728E">
        <w:rPr>
          <w:rFonts w:ascii="Times New Roman" w:hAnsi="Times New Roman"/>
          <w:color w:val="000000" w:themeColor="text1"/>
          <w:sz w:val="24"/>
          <w:szCs w:val="24"/>
        </w:rPr>
        <w:t xml:space="preserve"> štv</w:t>
      </w:r>
      <w:r w:rsidR="0081728E">
        <w:rPr>
          <w:rFonts w:ascii="Times New Roman" w:hAnsi="Times New Roman"/>
          <w:color w:val="000000" w:themeColor="text1"/>
          <w:sz w:val="24"/>
          <w:szCs w:val="24"/>
        </w:rPr>
        <w:t>r</w:t>
      </w:r>
      <w:r w:rsidR="0081728E" w:rsidRPr="0081728E">
        <w:rPr>
          <w:rFonts w:ascii="Times New Roman" w:hAnsi="Times New Roman"/>
          <w:color w:val="000000" w:themeColor="text1"/>
          <w:sz w:val="24"/>
          <w:szCs w:val="24"/>
        </w:rPr>
        <w:t>tý blok vo výstavbe</w:t>
      </w:r>
      <w:r w:rsidRPr="0081728E">
        <w:rPr>
          <w:rFonts w:ascii="Times New Roman" w:hAnsi="Times New Roman"/>
          <w:color w:val="000000" w:themeColor="text1"/>
          <w:sz w:val="24"/>
          <w:szCs w:val="24"/>
        </w:rPr>
        <w:t>,</w:t>
      </w:r>
    </w:p>
    <w:p w14:paraId="52DC3FA0" w14:textId="03371DBB" w:rsidR="00E5792F" w:rsidRPr="009A743F"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 xml:space="preserve">Jadrová elektráreň Bohunice V-1 </w:t>
      </w:r>
      <w:r w:rsidRPr="009A743F">
        <w:rPr>
          <w:rFonts w:ascii="Times New Roman" w:hAnsi="Times New Roman"/>
          <w:color w:val="000000" w:themeColor="text1"/>
          <w:sz w:val="24"/>
          <w:szCs w:val="24"/>
        </w:rPr>
        <w:t>(JE Bohunice V-1</w:t>
      </w:r>
      <w:r w:rsidR="00943B58" w:rsidRPr="009A743F">
        <w:rPr>
          <w:rFonts w:ascii="Times New Roman" w:hAnsi="Times New Roman"/>
          <w:color w:val="000000" w:themeColor="text1"/>
          <w:sz w:val="24"/>
          <w:szCs w:val="24"/>
        </w:rPr>
        <w:t>/EBO V-1</w:t>
      </w:r>
      <w:r w:rsidRPr="009A743F">
        <w:rPr>
          <w:rFonts w:ascii="Times New Roman" w:hAnsi="Times New Roman"/>
          <w:color w:val="000000" w:themeColor="text1"/>
          <w:sz w:val="24"/>
          <w:szCs w:val="24"/>
        </w:rPr>
        <w:t>), dva bloky v II. etape vyraďovania,</w:t>
      </w:r>
    </w:p>
    <w:p w14:paraId="10AC0512" w14:textId="3C08730C" w:rsidR="005E637A" w:rsidRPr="0099692A"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A743F">
        <w:rPr>
          <w:rFonts w:ascii="Times New Roman" w:hAnsi="Times New Roman"/>
          <w:color w:val="000000" w:themeColor="text1"/>
          <w:sz w:val="24"/>
          <w:szCs w:val="24"/>
        </w:rPr>
        <w:t>Jadrová elektráreň Bohunice A-1, (JE Bohunice A-1</w:t>
      </w:r>
      <w:r w:rsidR="00943B58" w:rsidRPr="009A743F">
        <w:rPr>
          <w:rFonts w:ascii="Times New Roman" w:hAnsi="Times New Roman"/>
          <w:color w:val="000000" w:themeColor="text1"/>
          <w:sz w:val="24"/>
          <w:szCs w:val="24"/>
        </w:rPr>
        <w:t>/EBO A-1</w:t>
      </w:r>
      <w:r w:rsidRPr="009A743F">
        <w:rPr>
          <w:rFonts w:ascii="Times New Roman" w:hAnsi="Times New Roman"/>
          <w:color w:val="000000" w:themeColor="text1"/>
          <w:sz w:val="24"/>
          <w:szCs w:val="24"/>
        </w:rPr>
        <w:t xml:space="preserve">), </w:t>
      </w:r>
      <w:r w:rsidR="00285270">
        <w:rPr>
          <w:rFonts w:ascii="Times New Roman" w:hAnsi="Times New Roman"/>
          <w:color w:val="000000" w:themeColor="text1"/>
          <w:sz w:val="24"/>
          <w:szCs w:val="24"/>
        </w:rPr>
        <w:t>jeden blok</w:t>
      </w:r>
      <w:r w:rsidR="002360AF">
        <w:rPr>
          <w:rFonts w:ascii="Times New Roman" w:hAnsi="Times New Roman"/>
          <w:color w:val="000000" w:themeColor="text1"/>
          <w:sz w:val="24"/>
          <w:szCs w:val="24"/>
        </w:rPr>
        <w:t xml:space="preserve"> v</w:t>
      </w:r>
      <w:r w:rsidRPr="009A743F">
        <w:rPr>
          <w:rFonts w:ascii="Times New Roman" w:hAnsi="Times New Roman"/>
          <w:color w:val="000000" w:themeColor="text1"/>
          <w:sz w:val="24"/>
          <w:szCs w:val="24"/>
        </w:rPr>
        <w:t> III</w:t>
      </w:r>
      <w:r w:rsidRPr="0099692A">
        <w:rPr>
          <w:rFonts w:ascii="Times New Roman" w:hAnsi="Times New Roman"/>
          <w:color w:val="000000" w:themeColor="text1"/>
          <w:sz w:val="24"/>
          <w:szCs w:val="24"/>
        </w:rPr>
        <w:t>. a IV. etape vyraďovania.</w:t>
      </w:r>
    </w:p>
    <w:p w14:paraId="7654CB15" w14:textId="77777777" w:rsidR="00E5792F" w:rsidRPr="002967BC" w:rsidRDefault="00E5792F" w:rsidP="005B072A">
      <w:pPr>
        <w:pStyle w:val="slovanzoznam"/>
        <w:numPr>
          <w:ilvl w:val="0"/>
          <w:numId w:val="0"/>
        </w:numPr>
        <w:spacing w:before="0"/>
        <w:jc w:val="both"/>
        <w:rPr>
          <w:i/>
          <w:iCs/>
        </w:rPr>
      </w:pPr>
      <w:r w:rsidRPr="002967BC">
        <w:rPr>
          <w:i/>
          <w:iCs/>
        </w:rPr>
        <w:lastRenderedPageBreak/>
        <w:t>Iné jadrové zariadenia:</w:t>
      </w:r>
    </w:p>
    <w:p w14:paraId="2DFFCF67" w14:textId="4DABD27C" w:rsidR="00E5792F" w:rsidRPr="009A743F"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99692A">
        <w:rPr>
          <w:rFonts w:ascii="Times New Roman" w:hAnsi="Times New Roman"/>
          <w:color w:val="000000" w:themeColor="text1"/>
          <w:sz w:val="24"/>
          <w:szCs w:val="24"/>
        </w:rPr>
        <w:t>Medzisklad</w:t>
      </w:r>
      <w:proofErr w:type="spellEnd"/>
      <w:r w:rsidRPr="0099692A">
        <w:rPr>
          <w:rFonts w:ascii="Times New Roman" w:hAnsi="Times New Roman"/>
          <w:color w:val="000000" w:themeColor="text1"/>
          <w:sz w:val="24"/>
          <w:szCs w:val="24"/>
        </w:rPr>
        <w:t xml:space="preserve"> vyhoretého jadrového paliva</w:t>
      </w:r>
      <w:r w:rsidR="00121B55" w:rsidRPr="0099692A">
        <w:rPr>
          <w:rFonts w:ascii="Times New Roman" w:hAnsi="Times New Roman"/>
          <w:color w:val="000000" w:themeColor="text1"/>
          <w:sz w:val="24"/>
          <w:szCs w:val="24"/>
        </w:rPr>
        <w:t xml:space="preserve"> (</w:t>
      </w:r>
      <w:r w:rsidR="00121B55" w:rsidRPr="009A743F">
        <w:rPr>
          <w:rFonts w:ascii="Times New Roman" w:hAnsi="Times New Roman"/>
          <w:color w:val="000000" w:themeColor="text1"/>
          <w:sz w:val="24"/>
          <w:szCs w:val="24"/>
        </w:rPr>
        <w:t>MSVP)</w:t>
      </w:r>
      <w:r w:rsidRPr="009A743F">
        <w:rPr>
          <w:rFonts w:ascii="Times New Roman" w:hAnsi="Times New Roman"/>
          <w:color w:val="000000" w:themeColor="text1"/>
          <w:sz w:val="24"/>
          <w:szCs w:val="24"/>
        </w:rPr>
        <w:t>,</w:t>
      </w:r>
    </w:p>
    <w:p w14:paraId="49C4761D" w14:textId="354402D9" w:rsidR="00E5792F" w:rsidRPr="0099692A"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Technológie na spracovanie a úpravu rádioaktívnych odpadov</w:t>
      </w:r>
      <w:r w:rsidR="00121B55" w:rsidRPr="0099692A">
        <w:rPr>
          <w:rFonts w:ascii="Times New Roman" w:hAnsi="Times New Roman"/>
          <w:color w:val="000000" w:themeColor="text1"/>
          <w:sz w:val="24"/>
          <w:szCs w:val="24"/>
        </w:rPr>
        <w:t xml:space="preserve"> (</w:t>
      </w:r>
      <w:r w:rsidR="00121B55" w:rsidRPr="00B12C29">
        <w:rPr>
          <w:rFonts w:ascii="Times New Roman" w:hAnsi="Times New Roman"/>
          <w:color w:val="000000" w:themeColor="text1"/>
          <w:sz w:val="24"/>
          <w:szCs w:val="24"/>
        </w:rPr>
        <w:t>TSÚ</w:t>
      </w:r>
      <w:r w:rsidR="00180FC2" w:rsidRPr="00B12C29">
        <w:rPr>
          <w:rFonts w:ascii="Times New Roman" w:hAnsi="Times New Roman"/>
          <w:color w:val="000000" w:themeColor="text1"/>
          <w:sz w:val="24"/>
          <w:szCs w:val="24"/>
        </w:rPr>
        <w:t> </w:t>
      </w:r>
      <w:r w:rsidR="00121B55" w:rsidRPr="00B12C29">
        <w:rPr>
          <w:rFonts w:ascii="Times New Roman" w:hAnsi="Times New Roman"/>
          <w:color w:val="000000" w:themeColor="text1"/>
          <w:sz w:val="24"/>
          <w:szCs w:val="24"/>
        </w:rPr>
        <w:t>RAO</w:t>
      </w:r>
      <w:r w:rsidR="00121B55" w:rsidRPr="0099692A">
        <w:rPr>
          <w:rFonts w:ascii="Times New Roman" w:hAnsi="Times New Roman"/>
          <w:color w:val="000000" w:themeColor="text1"/>
          <w:sz w:val="24"/>
          <w:szCs w:val="24"/>
        </w:rPr>
        <w:t>)</w:t>
      </w:r>
      <w:r w:rsidRPr="0099692A">
        <w:rPr>
          <w:rFonts w:ascii="Times New Roman" w:hAnsi="Times New Roman"/>
          <w:color w:val="000000" w:themeColor="text1"/>
          <w:sz w:val="24"/>
          <w:szCs w:val="24"/>
        </w:rPr>
        <w:t>,</w:t>
      </w:r>
    </w:p>
    <w:p w14:paraId="10F40C42" w14:textId="3CA34E16" w:rsidR="00E5792F" w:rsidRPr="00B12C29"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Republikové úložisko rádioaktívnych odpadov</w:t>
      </w:r>
      <w:r w:rsidR="00121B55" w:rsidRPr="0099692A">
        <w:rPr>
          <w:rFonts w:ascii="Times New Roman" w:hAnsi="Times New Roman"/>
          <w:color w:val="000000" w:themeColor="text1"/>
          <w:sz w:val="24"/>
          <w:szCs w:val="24"/>
        </w:rPr>
        <w:t xml:space="preserve"> (</w:t>
      </w:r>
      <w:r w:rsidR="00121B55" w:rsidRPr="00B12C29">
        <w:rPr>
          <w:rFonts w:ascii="Times New Roman" w:hAnsi="Times New Roman"/>
          <w:color w:val="000000" w:themeColor="text1"/>
          <w:sz w:val="24"/>
          <w:szCs w:val="24"/>
        </w:rPr>
        <w:t>RÚ</w:t>
      </w:r>
      <w:r w:rsidR="00180FC2" w:rsidRPr="00B12C29">
        <w:rPr>
          <w:rFonts w:ascii="Times New Roman" w:hAnsi="Times New Roman"/>
          <w:color w:val="000000" w:themeColor="text1"/>
          <w:sz w:val="24"/>
          <w:szCs w:val="24"/>
        </w:rPr>
        <w:t> </w:t>
      </w:r>
      <w:r w:rsidR="00121B55" w:rsidRPr="00B12C29">
        <w:rPr>
          <w:rFonts w:ascii="Times New Roman" w:hAnsi="Times New Roman"/>
          <w:color w:val="000000" w:themeColor="text1"/>
          <w:sz w:val="24"/>
          <w:szCs w:val="24"/>
        </w:rPr>
        <w:t>RAO)</w:t>
      </w:r>
      <w:r w:rsidRPr="00B12C29">
        <w:rPr>
          <w:rFonts w:ascii="Times New Roman" w:hAnsi="Times New Roman"/>
          <w:color w:val="000000" w:themeColor="text1"/>
          <w:sz w:val="24"/>
          <w:szCs w:val="24"/>
        </w:rPr>
        <w:t>,</w:t>
      </w:r>
    </w:p>
    <w:p w14:paraId="7D86EBA8" w14:textId="35E31A34" w:rsidR="00E5792F" w:rsidRPr="0099692A"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Finálne spracovanie kvapalných rádioaktívnych odpadov</w:t>
      </w:r>
      <w:r w:rsidR="00121B55" w:rsidRPr="0099692A">
        <w:rPr>
          <w:rFonts w:ascii="Times New Roman" w:hAnsi="Times New Roman"/>
          <w:color w:val="000000" w:themeColor="text1"/>
          <w:sz w:val="24"/>
          <w:szCs w:val="24"/>
        </w:rPr>
        <w:t xml:space="preserve"> (</w:t>
      </w:r>
      <w:r w:rsidR="00121B55" w:rsidRPr="00FB1B08">
        <w:rPr>
          <w:rFonts w:ascii="Times New Roman" w:hAnsi="Times New Roman"/>
          <w:color w:val="000000" w:themeColor="text1"/>
          <w:sz w:val="24"/>
          <w:szCs w:val="24"/>
        </w:rPr>
        <w:t>FS</w:t>
      </w:r>
      <w:r w:rsidR="00180FC2" w:rsidRPr="00FB1B08">
        <w:rPr>
          <w:rFonts w:ascii="Times New Roman" w:hAnsi="Times New Roman"/>
          <w:color w:val="000000" w:themeColor="text1"/>
          <w:sz w:val="24"/>
          <w:szCs w:val="24"/>
        </w:rPr>
        <w:t> </w:t>
      </w:r>
      <w:r w:rsidR="00121B55" w:rsidRPr="00FB1B08">
        <w:rPr>
          <w:rFonts w:ascii="Times New Roman" w:hAnsi="Times New Roman"/>
          <w:color w:val="000000" w:themeColor="text1"/>
          <w:sz w:val="24"/>
          <w:szCs w:val="24"/>
        </w:rPr>
        <w:t>KRAO)</w:t>
      </w:r>
      <w:r w:rsidRPr="0099692A">
        <w:rPr>
          <w:rFonts w:ascii="Times New Roman" w:hAnsi="Times New Roman"/>
          <w:color w:val="000000" w:themeColor="text1"/>
          <w:sz w:val="24"/>
          <w:szCs w:val="24"/>
        </w:rPr>
        <w:t>,</w:t>
      </w:r>
    </w:p>
    <w:p w14:paraId="42E17818" w14:textId="62734ABE" w:rsidR="003841E6" w:rsidRPr="0099692A" w:rsidRDefault="00E5792F"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99692A">
        <w:rPr>
          <w:rFonts w:ascii="Times New Roman" w:hAnsi="Times New Roman"/>
          <w:color w:val="000000" w:themeColor="text1"/>
          <w:sz w:val="24"/>
          <w:szCs w:val="24"/>
        </w:rPr>
        <w:t>Integrálny sklad rádioaktívnych odpadov</w:t>
      </w:r>
      <w:r w:rsidR="00856688" w:rsidRPr="0099692A">
        <w:rPr>
          <w:rFonts w:ascii="Times New Roman" w:hAnsi="Times New Roman"/>
          <w:color w:val="000000" w:themeColor="text1"/>
          <w:sz w:val="24"/>
          <w:szCs w:val="24"/>
        </w:rPr>
        <w:t xml:space="preserve"> (</w:t>
      </w:r>
      <w:r w:rsidR="00856688" w:rsidRPr="00B12C29">
        <w:rPr>
          <w:rFonts w:ascii="Times New Roman" w:hAnsi="Times New Roman"/>
          <w:color w:val="000000" w:themeColor="text1"/>
          <w:sz w:val="24"/>
          <w:szCs w:val="24"/>
        </w:rPr>
        <w:t>IS</w:t>
      </w:r>
      <w:r w:rsidR="00180FC2" w:rsidRPr="00B12C29">
        <w:rPr>
          <w:rFonts w:ascii="Times New Roman" w:hAnsi="Times New Roman"/>
          <w:color w:val="000000" w:themeColor="text1"/>
          <w:sz w:val="24"/>
          <w:szCs w:val="24"/>
        </w:rPr>
        <w:t> </w:t>
      </w:r>
      <w:r w:rsidR="00856688" w:rsidRPr="00B12C29">
        <w:rPr>
          <w:rFonts w:ascii="Times New Roman" w:hAnsi="Times New Roman"/>
          <w:color w:val="000000" w:themeColor="text1"/>
          <w:sz w:val="24"/>
          <w:szCs w:val="24"/>
        </w:rPr>
        <w:t>RAO)</w:t>
      </w:r>
      <w:r w:rsidRPr="00B12C29">
        <w:rPr>
          <w:rFonts w:ascii="Times New Roman" w:hAnsi="Times New Roman"/>
          <w:color w:val="000000" w:themeColor="text1"/>
          <w:sz w:val="24"/>
          <w:szCs w:val="24"/>
        </w:rPr>
        <w:t>.</w:t>
      </w:r>
    </w:p>
    <w:p w14:paraId="21483939" w14:textId="77777777" w:rsidR="003E59E6" w:rsidRPr="00903612" w:rsidRDefault="003E59E6" w:rsidP="007F72AC">
      <w:pPr>
        <w:pStyle w:val="Zoznamsodrkami2"/>
        <w:ind w:left="0"/>
        <w:rPr>
          <w:highlight w:val="yellow"/>
        </w:rPr>
      </w:pPr>
    </w:p>
    <w:p w14:paraId="01573AED" w14:textId="56E700FE" w:rsidR="00B54092" w:rsidRPr="00E660B4" w:rsidRDefault="00B54092" w:rsidP="00E660B4">
      <w:pPr>
        <w:pStyle w:val="Nadpis2"/>
        <w:tabs>
          <w:tab w:val="num" w:pos="0"/>
        </w:tabs>
        <w:ind w:left="0" w:firstLine="0"/>
        <w:rPr>
          <w:bCs/>
        </w:rPr>
      </w:pPr>
      <w:bookmarkStart w:id="6" w:name="_Toc161214305"/>
      <w:bookmarkStart w:id="7" w:name="_Toc224458807"/>
      <w:bookmarkStart w:id="8" w:name="_Toc290557773"/>
      <w:r w:rsidRPr="00E660B4">
        <w:rPr>
          <w:bCs/>
        </w:rPr>
        <w:t>Legislatívna činnosť</w:t>
      </w:r>
      <w:bookmarkEnd w:id="6"/>
    </w:p>
    <w:p w14:paraId="771DE8C3" w14:textId="51776E89" w:rsidR="00D8195D" w:rsidRDefault="00D8195D" w:rsidP="008C76B1">
      <w:pPr>
        <w:jc w:val="both"/>
      </w:pPr>
    </w:p>
    <w:p w14:paraId="7995272F" w14:textId="0AC8BB0B" w:rsidR="00331431" w:rsidRDefault="00331431" w:rsidP="00331431">
      <w:pPr>
        <w:jc w:val="both"/>
      </w:pPr>
      <w:r>
        <w:t>Ú</w:t>
      </w:r>
      <w:r w:rsidR="0030626B">
        <w:t>JD</w:t>
      </w:r>
      <w:r w:rsidR="00CD0539">
        <w:t> </w:t>
      </w:r>
      <w:r w:rsidR="0030626B">
        <w:t>SR</w:t>
      </w:r>
      <w:r>
        <w:t xml:space="preserve"> v rámci legislatívnych činností v roku 2023 sústredil svoju pozornosť na viacero ťažiskových oblastí. Bola vydaná </w:t>
      </w:r>
      <w:r w:rsidR="000822F3">
        <w:t>v</w:t>
      </w:r>
      <w:r>
        <w:t>yhláška č. 355/2023 Z. z., ktorou sa mení a dopĺňa vyhláška Ú</w:t>
      </w:r>
      <w:r w:rsidR="0030626B">
        <w:t>JD</w:t>
      </w:r>
      <w:r w:rsidR="00CD0539">
        <w:t> </w:t>
      </w:r>
      <w:r w:rsidR="0030626B">
        <w:t>SR</w:t>
      </w:r>
      <w:r>
        <w:t xml:space="preserve"> č. 52/2006 Z. z. o odbornej spôsobilosti v znení neskorších predpisov, ktorá nadobudla účinnosť 1. 1. 2024. Vyhláška reaguje na zákon č. 310/2021 Z. z., ktorým sa mení a dopĺňa zákon č. 177/2018 Z. z. o niektorých opatreniach na znižovanie administratívnej záťaže využívaním informačných systémov verejnej správy a o zmene a doplnení niektorých zákonov (zákon proti byrokracii) v znení zákona č. 221/2019 Z. z. Pri príprave a legislatívnom procese ÚJD SR úzko spolupracoval s Úradom podpredsedu vlády pre legislatívu a strategické plánovanie.</w:t>
      </w:r>
    </w:p>
    <w:p w14:paraId="1804D240" w14:textId="031C2D38" w:rsidR="00331431" w:rsidRDefault="00331431" w:rsidP="00331431">
      <w:pPr>
        <w:jc w:val="both"/>
      </w:pPr>
      <w:r>
        <w:t>Významnou aktivitou ÚJD</w:t>
      </w:r>
      <w:r w:rsidR="00CD0539">
        <w:t> </w:t>
      </w:r>
      <w:r>
        <w:t xml:space="preserve">SR v legislatívnej oblasti bolo aj pokračovanie v prípravných prácach na novom atómovom zákone. V roku 2023 sa pokračovalo v príprave sprievodnej dokumentácie a spracovávanie analýz vplyvov podľa novej Jednotnej metodiky na posudzovanie vybraných vplyvov a pokračovalo sa v zapracovávaní pripomienok uplatnených vecnými odbormi. Zamestnanci sa zúčastnili na viacerých školeniach Ministerstva hospodárstva </w:t>
      </w:r>
      <w:r w:rsidRPr="007B091F">
        <w:t>SR</w:t>
      </w:r>
      <w:r w:rsidR="008D408C" w:rsidRPr="007B091F">
        <w:t xml:space="preserve"> (MH</w:t>
      </w:r>
      <w:r w:rsidR="00180FC2" w:rsidRPr="007B091F">
        <w:t> </w:t>
      </w:r>
      <w:r w:rsidR="008D408C" w:rsidRPr="007B091F">
        <w:t>SR)</w:t>
      </w:r>
      <w:r>
        <w:t xml:space="preserve"> na tému ,,Lepšia regulácia“ a ,,1in2out“, a následne tieto poznatky boli aplikované na tvorbu sprievodnej dokumentácie. </w:t>
      </w:r>
    </w:p>
    <w:p w14:paraId="5A9D4EE7" w14:textId="2103CE77" w:rsidR="00331431" w:rsidRPr="007B091F" w:rsidRDefault="00331431" w:rsidP="00331431">
      <w:pPr>
        <w:jc w:val="both"/>
      </w:pPr>
      <w:r>
        <w:t>ÚJD</w:t>
      </w:r>
      <w:r w:rsidR="00CD0539">
        <w:t> </w:t>
      </w:r>
      <w:r>
        <w:t>SR taktiež aktívne participoval v medzirezortnej koordinačnej skupine pre zastupovanie S</w:t>
      </w:r>
      <w:r w:rsidR="00731667">
        <w:t>R</w:t>
      </w:r>
      <w:r>
        <w:t xml:space="preserve"> pred súdmi </w:t>
      </w:r>
      <w:r w:rsidR="002C65F8">
        <w:t>Európskej únie (</w:t>
      </w:r>
      <w:r w:rsidRPr="00040B75">
        <w:t>EÚ</w:t>
      </w:r>
      <w:r w:rsidR="002C65F8">
        <w:t>)</w:t>
      </w:r>
      <w:r>
        <w:t xml:space="preserve"> na Ministerstve spravodliv</w:t>
      </w:r>
      <w:r w:rsidR="0052480C">
        <w:t>o</w:t>
      </w:r>
      <w:r>
        <w:t xml:space="preserve">sti </w:t>
      </w:r>
      <w:r w:rsidRPr="007B091F">
        <w:t>S</w:t>
      </w:r>
      <w:r w:rsidR="008D408C" w:rsidRPr="007B091F">
        <w:t>R (MS</w:t>
      </w:r>
      <w:r w:rsidR="00180FC2" w:rsidRPr="007B091F">
        <w:t> </w:t>
      </w:r>
      <w:r w:rsidR="008D408C" w:rsidRPr="007B091F">
        <w:t>SR)</w:t>
      </w:r>
      <w:r>
        <w:t xml:space="preserve"> a v medzirezortnej koordinačnej skupine v konaní pred Eu</w:t>
      </w:r>
      <w:r w:rsidRPr="007B091F">
        <w:t>rópskou komisiou</w:t>
      </w:r>
      <w:r w:rsidR="00372D85" w:rsidRPr="007B091F">
        <w:t xml:space="preserve"> (EK)</w:t>
      </w:r>
      <w:r w:rsidRPr="007B091F">
        <w:t xml:space="preserve"> v predsúdnej fáze na Ministerstve zahraničných vecí a európskych záležitostí S</w:t>
      </w:r>
      <w:r w:rsidR="00DC3E02" w:rsidRPr="007B091F">
        <w:t>R</w:t>
      </w:r>
      <w:r w:rsidRPr="007B091F">
        <w:t xml:space="preserve"> (MZVEZ</w:t>
      </w:r>
      <w:r w:rsidR="00180FC2" w:rsidRPr="007B091F">
        <w:t> </w:t>
      </w:r>
      <w:r w:rsidRPr="007B091F">
        <w:t>SR</w:t>
      </w:r>
      <w:r w:rsidR="008D408C" w:rsidRPr="007B091F">
        <w:t>)</w:t>
      </w:r>
      <w:r w:rsidRPr="007B091F">
        <w:t>.</w:t>
      </w:r>
    </w:p>
    <w:p w14:paraId="0554CD2C" w14:textId="591404BD" w:rsidR="00331431" w:rsidRDefault="00331431" w:rsidP="00331431">
      <w:pPr>
        <w:jc w:val="both"/>
      </w:pPr>
      <w:r w:rsidRPr="007B091F">
        <w:t>V priebehu rok</w:t>
      </w:r>
      <w:r w:rsidR="00112F3A">
        <w:t>a</w:t>
      </w:r>
      <w:r w:rsidRPr="007B091F">
        <w:t xml:space="preserve"> 2023 ÚJD</w:t>
      </w:r>
      <w:r w:rsidR="00CD0539" w:rsidRPr="007B091F">
        <w:t> </w:t>
      </w:r>
      <w:r w:rsidRPr="007B091F">
        <w:t>SR naďalej koordinoval spoluprácu</w:t>
      </w:r>
      <w:r>
        <w:t xml:space="preserve"> dotknutých subjektov v rámci </w:t>
      </w:r>
      <w:r w:rsidRPr="002A5167">
        <w:t>medzirezortnej pracovnej skupiny k občianskoprávnej zodpovednosti za jadrové škody (MRPS</w:t>
      </w:r>
      <w:r w:rsidR="00180FC2" w:rsidRPr="002A5167">
        <w:t> </w:t>
      </w:r>
      <w:r w:rsidRPr="002A5167">
        <w:t>OBPZJŠ</w:t>
      </w:r>
      <w:r>
        <w:t xml:space="preserve">). V roku 2023 sa uskutočnili </w:t>
      </w:r>
      <w:r w:rsidR="00725911">
        <w:t>dve</w:t>
      </w:r>
      <w:r>
        <w:t xml:space="preserve"> zasadnutia. V termíne 24.</w:t>
      </w:r>
      <w:r w:rsidR="00C349E0">
        <w:t> </w:t>
      </w:r>
      <w:r>
        <w:t>4.</w:t>
      </w:r>
      <w:r w:rsidR="00C349E0">
        <w:t> </w:t>
      </w:r>
      <w:r>
        <w:t>2023 sa uskutočnilo jarné zasadnutie a 9.</w:t>
      </w:r>
      <w:r w:rsidR="00332C75">
        <w:t> </w:t>
      </w:r>
      <w:r>
        <w:t>10.</w:t>
      </w:r>
      <w:r w:rsidR="00332C75">
        <w:t> </w:t>
      </w:r>
      <w:r>
        <w:t>2023 sa uskutočnilo jesenné zasadnutie. Obe zasadnutia boli prezenčné. Predmetom zasadnutí bolo informovanie členov MRPS</w:t>
      </w:r>
      <w:r w:rsidR="00C349E0">
        <w:t> </w:t>
      </w:r>
      <w:r>
        <w:t>OBPZJŠ o vývoji v členskej základni medzinárodných dohovorov v oblasti občianskoprávnej zodpovednosti za jadrové škody a vyhodnotenie plnenia úloh.</w:t>
      </w:r>
    </w:p>
    <w:p w14:paraId="0CF70B9E" w14:textId="7006B879" w:rsidR="00331431" w:rsidRDefault="00331431" w:rsidP="00331431">
      <w:pPr>
        <w:jc w:val="both"/>
      </w:pPr>
      <w:r>
        <w:t>V spojitosti s medzirezortnými pripomienkovými konaniami bol</w:t>
      </w:r>
      <w:r w:rsidR="00725911">
        <w:t>i</w:t>
      </w:r>
      <w:r>
        <w:t xml:space="preserve"> posudzované legislatívne aj nelegislatívne materiály (takmer 800), pri ktorých ÚJD</w:t>
      </w:r>
      <w:r w:rsidR="00C349E0">
        <w:t> </w:t>
      </w:r>
      <w:r>
        <w:t xml:space="preserve">SR uplatnil obyčajné alebo zásadné pripomienky, z ktorých mnohé boli následne prerokované na </w:t>
      </w:r>
      <w:proofErr w:type="spellStart"/>
      <w:r>
        <w:t>rozporových</w:t>
      </w:r>
      <w:proofErr w:type="spellEnd"/>
      <w:r>
        <w:t xml:space="preserve"> konaniach s príslušnými rezortmi. </w:t>
      </w:r>
    </w:p>
    <w:p w14:paraId="270BDFE6" w14:textId="2A9E3142" w:rsidR="00331431" w:rsidRDefault="00331431" w:rsidP="00331431">
      <w:pPr>
        <w:jc w:val="both"/>
      </w:pPr>
      <w:r>
        <w:t xml:space="preserve">Medzi najdôležitejšie legislatívne materiály posudzované </w:t>
      </w:r>
      <w:r w:rsidR="00112F3A">
        <w:t xml:space="preserve">v </w:t>
      </w:r>
      <w:r>
        <w:t>roku 2023 patril legislatívny proces k návrhu zákona o premenách obchodných spoločností a družstiev a o zmene a doplnení niektorých zákonov (LP/2023/14), návrhu zákona o opatreniach na zvýšenie bezpečnosti a dôveryhodnosti platforiem v on-line prostredí a o zmene a doplnení niektorých zákonov (LP/2023/129), návrhu vyhlášky Ministerstva životného prostredia S</w:t>
      </w:r>
      <w:r w:rsidR="00DC3E02">
        <w:t>R</w:t>
      </w:r>
      <w:r w:rsidR="00180FC2">
        <w:t xml:space="preserve"> (MŽP SR)</w:t>
      </w:r>
      <w:r>
        <w:t xml:space="preserve"> o monitorovaní emisií zo stacionárnych zdrojov znečisťovania ovzdušia a kvality ovzdušia v ich okolí (LP/2023/17), návrhu vyhlášky M</w:t>
      </w:r>
      <w:r w:rsidR="00731667">
        <w:t>ŽP SR</w:t>
      </w:r>
      <w:r>
        <w:t xml:space="preserve"> o požiadavkách na stacionárne zdroje znečisťovania ovzdušia (LP/2023/19), návrhu vyhlášky M</w:t>
      </w:r>
      <w:r w:rsidR="00731667">
        <w:t>ŽP SR</w:t>
      </w:r>
      <w:r>
        <w:t xml:space="preserve">, ktorou sa vykonávajú niektoré ustanovenia zákona o ochrane ovzdušia (LP/2023/20), k návrhu zákona, ktorým sa mení a dopĺňa zákon o štátnej službe (LP/2023/111), návrhu vyhlášky Ministerstva investícií, </w:t>
      </w:r>
      <w:r>
        <w:lastRenderedPageBreak/>
        <w:t xml:space="preserve">regionálneho rozvoja a informatizácie </w:t>
      </w:r>
      <w:r w:rsidRPr="007B091F">
        <w:t>S</w:t>
      </w:r>
      <w:r w:rsidR="00DC3E02" w:rsidRPr="007B091F">
        <w:t>R (MIRRI SR)</w:t>
      </w:r>
      <w:r>
        <w:t xml:space="preserve"> o riadení projektov a zmenových požiadaviek v prevádzke informačných technológií verejnej správy (LP/2023/96), návrhu vyhlášky Národného bezpečnostného úradu</w:t>
      </w:r>
      <w:r w:rsidR="00DC3E02">
        <w:t xml:space="preserve"> (</w:t>
      </w:r>
      <w:r w:rsidR="00DC3E02" w:rsidRPr="00567EA2">
        <w:t>NBÚ)</w:t>
      </w:r>
      <w:r>
        <w:t>, ktorou sa mení a dopĺňa vyhláška N</w:t>
      </w:r>
      <w:r w:rsidR="00DC3E02">
        <w:t>BÚ</w:t>
      </w:r>
      <w:r>
        <w:t xml:space="preserve"> č. 362/2018 Z. z., ktorou sa ustanovuje obsah bezpečnostných opatrení, obsah a štruktúra bezpečnostnej dokumentácie a rozsah všeobecných bezpečnostných opatrení (LP/2023/136), návrhu poslancov Národnej rady S</w:t>
      </w:r>
      <w:r w:rsidR="00DC3E02">
        <w:t>R (</w:t>
      </w:r>
      <w:r w:rsidR="00DC3E02" w:rsidRPr="00567EA2">
        <w:t>NR SR)</w:t>
      </w:r>
      <w:r>
        <w:t xml:space="preserve"> Miloša </w:t>
      </w:r>
      <w:proofErr w:type="spellStart"/>
      <w:r>
        <w:t>S</w:t>
      </w:r>
      <w:r w:rsidR="00D17E15">
        <w:t>vr</w:t>
      </w:r>
      <w:r w:rsidR="00C65860">
        <w:t>čeka</w:t>
      </w:r>
      <w:proofErr w:type="spellEnd"/>
      <w:r>
        <w:t xml:space="preserve">, Jaroslava </w:t>
      </w:r>
      <w:proofErr w:type="spellStart"/>
      <w:r>
        <w:t>K</w:t>
      </w:r>
      <w:r w:rsidR="00C65860">
        <w:t>arahutu</w:t>
      </w:r>
      <w:proofErr w:type="spellEnd"/>
      <w:r>
        <w:t xml:space="preserve"> a Jozefa L</w:t>
      </w:r>
      <w:r w:rsidR="00C65860">
        <w:t>ukáča</w:t>
      </w:r>
      <w:r>
        <w:t xml:space="preserve"> na vydanie zákona o zmene a doplnení niektorých zákonov v súvislosti s reformou stavebnej legislatívy (LP/2023/205), návrhu vyhlášky Ministerstva vnútra S</w:t>
      </w:r>
      <w:r w:rsidR="00DC3E02">
        <w:t xml:space="preserve">R </w:t>
      </w:r>
      <w:r w:rsidR="00DC3E02" w:rsidRPr="007B091F">
        <w:t>(MV SR)</w:t>
      </w:r>
      <w:r w:rsidRPr="007B091F">
        <w:t>, ktorou sa mení a dopĺňa vyhláška M</w:t>
      </w:r>
      <w:r w:rsidR="00DC3E02" w:rsidRPr="007B091F">
        <w:t>V SR</w:t>
      </w:r>
      <w:r w:rsidRPr="007B091F">
        <w:t xml:space="preserve"> č. 410/2015 Z. z. o podrobnostiach výkonu</w:t>
      </w:r>
      <w:r>
        <w:t xml:space="preserve"> správy registratúry orgánov verejnej moci a o tvorbe spisu v znení vyhlášky č. 49/2019 Z. z. (LP/2023/366), návrhu vyhlášky M</w:t>
      </w:r>
      <w:r w:rsidR="00DC3E02">
        <w:t>V SR</w:t>
      </w:r>
      <w:r>
        <w:t>, ktorou sa mení a dopĺňa vyhláška M</w:t>
      </w:r>
      <w:r w:rsidR="00DC3E02">
        <w:t>V SR</w:t>
      </w:r>
      <w:r>
        <w:t xml:space="preserve"> č. 628/2002 Z. z., ktorou sa vykonávajú niektoré ustanovenia zákona o archívoch a registratúrach (LP/2023/367), návrhu na zrušenie niektorých úloh vyplývajúcich z uznesení vlády S</w:t>
      </w:r>
      <w:r w:rsidR="00DC3E02">
        <w:t xml:space="preserve">R </w:t>
      </w:r>
      <w:r>
        <w:t>(LP/2023/305), Princípy a pravidlá zapájania verejnosti do tvorby verejných politík (LP/2023/491), Návrh Akčného plánu Iniciatívy pre otvorené vládnutie na roky 2024 – 2026 (LP/2023/492).</w:t>
      </w:r>
    </w:p>
    <w:p w14:paraId="4A4266A9" w14:textId="42B7E36B" w:rsidR="00331431" w:rsidRDefault="00331431" w:rsidP="00331431">
      <w:pPr>
        <w:jc w:val="both"/>
      </w:pPr>
      <w:r>
        <w:t xml:space="preserve">ÚJD SR musí pri tvorbe novej legislatívy zohľadňovať aj nové stavebné predpisy prijaté v roku 2022, t. j. zákon č. 200/2022 Z. z. o územnom plánovaní a zákon č. 201/2022 Z. z. o výstavbe, a to aj v prípade nového atómového zákona a aj v prípade stavebného atómového zákona. Zákon o výstavbe ale pomerne rozsiahlo mení kompetencie ÚJD SR vo vzťahu k povoľovaciemu procesu stavieb </w:t>
      </w:r>
      <w:r w:rsidR="0027075A">
        <w:t>JZ</w:t>
      </w:r>
      <w:r>
        <w:t xml:space="preserve"> a stavieb súvisiacich s </w:t>
      </w:r>
      <w:r w:rsidR="0027075A">
        <w:t>JZ</w:t>
      </w:r>
      <w:r>
        <w:t xml:space="preserve"> voči doterajšiemu stavu v zákone č. 50/1976 Zb. v znení neskorších predpisov. V roku 2023 bol prijatý zákon č. 205/2023 Z. z. o zmene a doplnení niektorých zákonov v súvislosti s reformou stavebnej legislatívy (tzv. zberný zákon) kde v článku XXXIV. vstupuje do atómového zákona z dôvodu, že ÚJD SR má byť podľa novej legislatívy špeciálnym stavebným úradom pre stavby </w:t>
      </w:r>
      <w:r w:rsidR="0027075A">
        <w:t>JZ</w:t>
      </w:r>
      <w:r>
        <w:t xml:space="preserve"> a stavby súvisiace s </w:t>
      </w:r>
      <w:r w:rsidR="0027075A">
        <w:t>JZ</w:t>
      </w:r>
      <w:r>
        <w:t>.</w:t>
      </w:r>
    </w:p>
    <w:p w14:paraId="12A1A0FC" w14:textId="656AA41E" w:rsidR="00331431" w:rsidRDefault="00331431" w:rsidP="00331431">
      <w:pPr>
        <w:jc w:val="both"/>
      </w:pPr>
      <w:r>
        <w:t>V roku 2022 predsedníčka úradu stanovila pracovnú skupinu</w:t>
      </w:r>
      <w:r w:rsidR="00461A36">
        <w:t xml:space="preserve"> (PS)</w:t>
      </w:r>
      <w:r>
        <w:t xml:space="preserve"> pre tvorbu nového stavebného atómového zákona, kde sú zastúpené všetky relevantné technické odbory. V roku 2023 boli na poradu predsedníčky ÚJD SR predložené celkovo </w:t>
      </w:r>
      <w:r w:rsidR="007362E3">
        <w:t>dva</w:t>
      </w:r>
      <w:r>
        <w:t xml:space="preserve"> materiály k uvedenej problematike. ,,Ďalší postup vo veci stavebných konaní – Návrh na prípravu nového stavebného zákona pre stavby </w:t>
      </w:r>
      <w:r w:rsidR="00123458">
        <w:t>JZ</w:t>
      </w:r>
      <w:r>
        <w:t xml:space="preserve"> a stavieb súvisiacich s </w:t>
      </w:r>
      <w:r w:rsidR="00123458">
        <w:t>JZ</w:t>
      </w:r>
      <w:r>
        <w:t>“ bol schválený poradou predsedníčky ÚJD SR dňa 9. 2. 2023 a ,,Návrh ďalšieho postupu vo veci stavebných konaní na Ú</w:t>
      </w:r>
      <w:r w:rsidR="00DC3E02">
        <w:t>JD SR</w:t>
      </w:r>
      <w:r>
        <w:t xml:space="preserve"> a informácia o stave a vývoji legislatívy stavebných zákonov k 31.</w:t>
      </w:r>
      <w:r w:rsidR="00970D71">
        <w:t> </w:t>
      </w:r>
      <w:r>
        <w:t>8.</w:t>
      </w:r>
      <w:r w:rsidR="00970D71">
        <w:t> </w:t>
      </w:r>
      <w:r>
        <w:t xml:space="preserve">2023“ bol schválený 3. 10. 2023. </w:t>
      </w:r>
      <w:r w:rsidR="008D6805">
        <w:t>PS</w:t>
      </w:r>
      <w:r>
        <w:t xml:space="preserve"> uskutočnila niekoľko rokovaní aj k novému jadrovému zdroju (</w:t>
      </w:r>
      <w:r w:rsidR="00A447E2">
        <w:t xml:space="preserve">Jadrová energetická spoločnosť Slovenska, a. s.  - </w:t>
      </w:r>
      <w:r w:rsidRPr="00A447E2">
        <w:t>JESS, a.</w:t>
      </w:r>
      <w:r w:rsidR="008C76B1">
        <w:t> </w:t>
      </w:r>
      <w:r w:rsidRPr="00A447E2">
        <w:t>s.)</w:t>
      </w:r>
      <w:r>
        <w:t xml:space="preserve"> </w:t>
      </w:r>
      <w:r w:rsidR="00D216A9">
        <w:t xml:space="preserve">vo </w:t>
      </w:r>
      <w:r>
        <w:t>vzťah</w:t>
      </w:r>
      <w:r w:rsidR="00D216A9">
        <w:t>u</w:t>
      </w:r>
      <w:r>
        <w:t xml:space="preserve"> k zákonu o výstavbe, sledovala vývoj na politickej úrovni a schválenie Programového vyhlásenia vlády SR na roky 2023 - 2027, ktoré počíta s pravdepodobnými zmenami v oblasti novej stavebnej legislatívy</w:t>
      </w:r>
      <w:r w:rsidR="00BA6AF3">
        <w:t>.</w:t>
      </w:r>
    </w:p>
    <w:p w14:paraId="5DA9AA34" w14:textId="77777777" w:rsidR="00331431" w:rsidRDefault="00331431" w:rsidP="00331431">
      <w:pPr>
        <w:jc w:val="both"/>
      </w:pPr>
    </w:p>
    <w:p w14:paraId="50F371BE" w14:textId="6DA9AA72" w:rsidR="00331431" w:rsidRDefault="00331431" w:rsidP="00331431">
      <w:pPr>
        <w:jc w:val="both"/>
      </w:pPr>
      <w:r>
        <w:t>V priebehu roka 2023 ÚJD SR postupne vydal tieto bezpečnostné návody</w:t>
      </w:r>
      <w:r w:rsidR="009B3A90">
        <w:t xml:space="preserve"> </w:t>
      </w:r>
      <w:r w:rsidR="009B3A90" w:rsidRPr="00143548">
        <w:t>(BN)</w:t>
      </w:r>
      <w:r w:rsidRPr="00143548">
        <w:t>:</w:t>
      </w:r>
    </w:p>
    <w:p w14:paraId="265F7299" w14:textId="07E28E35" w:rsidR="00331431" w:rsidRPr="009B3A90" w:rsidRDefault="00331431" w:rsidP="007C21EA">
      <w:pPr>
        <w:pStyle w:val="Odsekzoznamu"/>
        <w:numPr>
          <w:ilvl w:val="0"/>
          <w:numId w:val="12"/>
        </w:numPr>
        <w:jc w:val="both"/>
        <w:rPr>
          <w:rFonts w:ascii="Times New Roman" w:hAnsi="Times New Roman"/>
          <w:sz w:val="24"/>
          <w:szCs w:val="24"/>
        </w:rPr>
      </w:pPr>
      <w:r w:rsidRPr="009B3A90">
        <w:rPr>
          <w:rFonts w:ascii="Times New Roman" w:hAnsi="Times New Roman"/>
          <w:sz w:val="24"/>
          <w:szCs w:val="24"/>
        </w:rPr>
        <w:t>BN 1/2023 – Ohlasovanie, zisťovanie príčin a hodnotenie prevádzkových udalostí na jadrových zariadeniach</w:t>
      </w:r>
      <w:r w:rsidR="00BA6AF3">
        <w:rPr>
          <w:rFonts w:ascii="Times New Roman" w:hAnsi="Times New Roman"/>
          <w:sz w:val="24"/>
          <w:szCs w:val="24"/>
        </w:rPr>
        <w:t>,</w:t>
      </w:r>
    </w:p>
    <w:p w14:paraId="36BC12A0" w14:textId="19762B5F" w:rsidR="00331431" w:rsidRPr="009B3A90" w:rsidRDefault="00331431" w:rsidP="007C21EA">
      <w:pPr>
        <w:pStyle w:val="Odsekzoznamu"/>
        <w:numPr>
          <w:ilvl w:val="0"/>
          <w:numId w:val="12"/>
        </w:numPr>
        <w:jc w:val="both"/>
        <w:rPr>
          <w:rFonts w:ascii="Times New Roman" w:hAnsi="Times New Roman"/>
          <w:sz w:val="24"/>
          <w:szCs w:val="24"/>
        </w:rPr>
      </w:pPr>
      <w:r w:rsidRPr="009B3A90">
        <w:rPr>
          <w:rFonts w:ascii="Times New Roman" w:hAnsi="Times New Roman"/>
          <w:sz w:val="24"/>
          <w:szCs w:val="24"/>
        </w:rPr>
        <w:t>BN 2/2023 – Riadenie starnutia a dlhodobá prevádzka jadrových elektrární (3. vydanie – revidované a doplnené)</w:t>
      </w:r>
      <w:r w:rsidR="00BA6AF3">
        <w:rPr>
          <w:rFonts w:ascii="Times New Roman" w:hAnsi="Times New Roman"/>
          <w:sz w:val="24"/>
          <w:szCs w:val="24"/>
        </w:rPr>
        <w:t>.</w:t>
      </w:r>
    </w:p>
    <w:p w14:paraId="309C159C" w14:textId="3336FAF6" w:rsidR="00331431" w:rsidRDefault="00331431" w:rsidP="00331431">
      <w:pPr>
        <w:jc w:val="both"/>
      </w:pPr>
      <w:r>
        <w:t>V súvislosti s priebežným uplatňovaním zákona č. 305/2013 Z. z. o elektronickej podobe výkonu pôsobnosti orgánov verejnej moci a o zmene a doplnení niektorých zákonov (zákon o e-</w:t>
      </w:r>
      <w:proofErr w:type="spellStart"/>
      <w:r>
        <w:t>Governmente</w:t>
      </w:r>
      <w:proofErr w:type="spellEnd"/>
      <w:r>
        <w:t xml:space="preserve">) naďalej pracoval projektový tím na čele s podpredsedom ÚJD SR, ktorého úlohou je identifikovanie úloh, návrh ich riešenia v podmienkach ÚJD SR a zabezpečenie praktickej aplikácie zákona č. 305/2013 Z. z. do každodenných procesov, ktorých sa tento zákon týka. Projektový tím v priebehu celého roka vykonával činnosti potrebné na splnenie tejto úlohy. </w:t>
      </w:r>
    </w:p>
    <w:p w14:paraId="67215736" w14:textId="4735315D" w:rsidR="00331431" w:rsidRDefault="00331431" w:rsidP="00331431">
      <w:pPr>
        <w:jc w:val="both"/>
      </w:pPr>
      <w:r>
        <w:lastRenderedPageBreak/>
        <w:t>V nadväznosti na pokračovanie v konaní vo veci žiadosti o povolenie na prevádzku jadrovej elektrárne M</w:t>
      </w:r>
      <w:r w:rsidR="00DC3E02">
        <w:t>O34</w:t>
      </w:r>
      <w:r>
        <w:t xml:space="preserve"> odbor legislatívno-právny poskytol súčinnosť pri posudzovaní dokumentácie a pri príprave návrhu rozhodnutia na povolenie na prevádzku 3. bloku </w:t>
      </w:r>
      <w:r w:rsidR="00DC3E02">
        <w:t>JE Mochovce</w:t>
      </w:r>
      <w:r>
        <w:t>, nakladania s R</w:t>
      </w:r>
      <w:r w:rsidR="00DC3E02">
        <w:t>A</w:t>
      </w:r>
      <w:r>
        <w:t>O, VJP a</w:t>
      </w:r>
      <w:r w:rsidR="00F34598">
        <w:t xml:space="preserve"> rádioaktívnymi materiálmi </w:t>
      </w:r>
      <w:r w:rsidR="00F34598" w:rsidRPr="007362E3">
        <w:t>(RAM</w:t>
      </w:r>
      <w:r w:rsidR="00F34598">
        <w:t>)</w:t>
      </w:r>
      <w:r>
        <w:t xml:space="preserve">, súhlas na skúšobnú prevádzku a dočasné užívanie stavby. Odbor legislatívno-právny riešil na účely vydania povolenia na prevádzku 3. bloku </w:t>
      </w:r>
      <w:r w:rsidR="00DC3E02">
        <w:t xml:space="preserve">JE </w:t>
      </w:r>
      <w:r>
        <w:t xml:space="preserve">Mochovce potvrdenie poistného krytia zodpovednosti za jadrovú škodu, výpisy obchodného registra a splnenie ďalších zákonných podmienok. Odbor legislatívno-právny poskytol aj ďalšiu súčinnosť pri príprave rozhodnutia na povolenie na prevádzku 3. bloku. </w:t>
      </w:r>
    </w:p>
    <w:p w14:paraId="0F271C50" w14:textId="77777777" w:rsidR="00331431" w:rsidRDefault="00331431" w:rsidP="00331431">
      <w:pPr>
        <w:jc w:val="both"/>
      </w:pPr>
      <w:r>
        <w:t>Odbor legislatívno-právny poskytol súčinnosť v konaní o vydanie povolenia na predčasné užívanie stavby a vydanie súhlasu na realizáciu zmeny na jadrovom zariadení MSVJP v rozsahu uvádzania do prevádzky a prevádzky nových skladových kapacít VJP. V rámci súčinnosti boli posúdené relevantné dokumenty zo žiadosti a odbor legislatívno-právny skonštatoval, že doplnené podanie obsahuje požadované dokumenty a z pohľadu odboru neboli žiadne prekážky na schválenie požadovaných zmien.</w:t>
      </w:r>
    </w:p>
    <w:p w14:paraId="49800A70" w14:textId="7D419C19" w:rsidR="00331431" w:rsidRDefault="00331431" w:rsidP="00331431">
      <w:pPr>
        <w:jc w:val="both"/>
      </w:pPr>
      <w:r>
        <w:t>V roku 2023 prišlo k ukončeniu sporu s</w:t>
      </w:r>
      <w:r w:rsidR="008D6C3F">
        <w:t xml:space="preserve"> rakúskou </w:t>
      </w:r>
      <w:proofErr w:type="spellStart"/>
      <w:r w:rsidR="008D6C3F">
        <w:t>enviromentálnou</w:t>
      </w:r>
      <w:proofErr w:type="spellEnd"/>
      <w:r w:rsidR="008D6C3F">
        <w:t xml:space="preserve"> organizáciou </w:t>
      </w:r>
      <w:proofErr w:type="spellStart"/>
      <w:r>
        <w:t>Global</w:t>
      </w:r>
      <w:proofErr w:type="spellEnd"/>
      <w:r w:rsidR="008D6C3F">
        <w:t> </w:t>
      </w:r>
      <w:r>
        <w:t xml:space="preserve">2000. </w:t>
      </w:r>
      <w:proofErr w:type="spellStart"/>
      <w:r>
        <w:t>Global</w:t>
      </w:r>
      <w:proofErr w:type="spellEnd"/>
      <w:r w:rsidR="008D6C3F">
        <w:t> </w:t>
      </w:r>
      <w:r>
        <w:t xml:space="preserve">2000 sa žalobou domáhal preskúmania rozhodnutia ÚJD SR č. 387/2017 zo dňa 16. 10. 2017. ÚJD SR ako povinná osoba čiastočne nesprístupnil informácie požadované podľa zákona č. 211/2000 Z. z. v znení neskorších predpisov obsiahnuté v dokumentácií predloženej ÚJD SR v rámci povolenia na uvádzanie </w:t>
      </w:r>
      <w:r w:rsidR="008E0F91">
        <w:t>JZ</w:t>
      </w:r>
      <w:r>
        <w:t xml:space="preserve"> Mochovce 3. blok do prevádzky a to z dôvodu, že išlo o citlivé informácie. Krajský súd v Bratislave žalobu rozsudkom, ktorý nadobudol právoplatnosť 23.</w:t>
      </w:r>
      <w:r w:rsidR="00970D71">
        <w:t> </w:t>
      </w:r>
      <w:r>
        <w:t>3.</w:t>
      </w:r>
      <w:r w:rsidR="00970D71">
        <w:t> </w:t>
      </w:r>
      <w:r>
        <w:t>2023, zamietol.</w:t>
      </w:r>
    </w:p>
    <w:p w14:paraId="0F6D2E9D" w14:textId="49C0D1C5" w:rsidR="00331431" w:rsidRDefault="00331431" w:rsidP="00331431">
      <w:pPr>
        <w:jc w:val="both"/>
      </w:pPr>
      <w:r>
        <w:t xml:space="preserve">Odbor legislatívno-právny sa aktívne zúčastnil v dňoch 12. </w:t>
      </w:r>
      <w:r w:rsidR="00970D71">
        <w:t>– </w:t>
      </w:r>
      <w:r>
        <w:t xml:space="preserve">26. 2. 2023 misie Artemis, ktorá posúdila národnú štruktúru (stratégiu a program) oblastí ako je vyraďovanie, nakladanie s </w:t>
      </w:r>
      <w:r w:rsidR="001E12C6">
        <w:t>RAO</w:t>
      </w:r>
      <w:r>
        <w:t xml:space="preserve"> a </w:t>
      </w:r>
      <w:r w:rsidR="00FB5E72">
        <w:t>VJP</w:t>
      </w:r>
      <w:r>
        <w:t xml:space="preserve"> a súvisiacou ochranou životného prostredia. Rovnako sa zamestnanci legislatívno-právn</w:t>
      </w:r>
      <w:r w:rsidR="00725911">
        <w:t xml:space="preserve">eho odboru </w:t>
      </w:r>
      <w:r>
        <w:t xml:space="preserve">zúčastnili na misii medzinárodnej energetickej agentúry </w:t>
      </w:r>
      <w:r w:rsidR="008E0F91">
        <w:t>(</w:t>
      </w:r>
      <w:r w:rsidRPr="008C76B1">
        <w:t>IEA</w:t>
      </w:r>
      <w:r w:rsidR="008E0F91">
        <w:t>)</w:t>
      </w:r>
      <w:r>
        <w:t xml:space="preserve"> na MH SR v časti Jadrová energia dňa 23. 10. 2023.</w:t>
      </w:r>
    </w:p>
    <w:p w14:paraId="7C423001" w14:textId="77777777" w:rsidR="00F13DD2" w:rsidRDefault="00F13DD2" w:rsidP="00D412A1">
      <w:pPr>
        <w:jc w:val="both"/>
        <w:rPr>
          <w:szCs w:val="24"/>
        </w:rPr>
      </w:pPr>
    </w:p>
    <w:p w14:paraId="13A1A47E" w14:textId="77777777" w:rsidR="00AD7EB0" w:rsidRPr="006F1170" w:rsidRDefault="00084E79" w:rsidP="00D412A1">
      <w:pPr>
        <w:pStyle w:val="Nadpis2"/>
        <w:tabs>
          <w:tab w:val="clear" w:pos="556"/>
          <w:tab w:val="num" w:pos="0"/>
          <w:tab w:val="num" w:pos="555"/>
        </w:tabs>
        <w:ind w:left="0" w:firstLine="0"/>
        <w:rPr>
          <w:bCs/>
        </w:rPr>
      </w:pPr>
      <w:bookmarkStart w:id="9" w:name="_Toc161214306"/>
      <w:bookmarkEnd w:id="7"/>
      <w:bookmarkEnd w:id="8"/>
      <w:r w:rsidRPr="006F1170">
        <w:rPr>
          <w:bCs/>
        </w:rPr>
        <w:t>Vydávanie povolení</w:t>
      </w:r>
      <w:bookmarkEnd w:id="9"/>
    </w:p>
    <w:p w14:paraId="4046DDF5" w14:textId="77777777" w:rsidR="00AD7EB0" w:rsidRPr="00F35D55" w:rsidRDefault="00AD7EB0" w:rsidP="00F16D0C">
      <w:pPr>
        <w:pStyle w:val="Nadpis2"/>
        <w:numPr>
          <w:ilvl w:val="0"/>
          <w:numId w:val="0"/>
        </w:numPr>
        <w:tabs>
          <w:tab w:val="num" w:pos="555"/>
        </w:tabs>
        <w:rPr>
          <w:b w:val="0"/>
          <w:bCs/>
          <w:highlight w:val="green"/>
        </w:rPr>
      </w:pPr>
    </w:p>
    <w:p w14:paraId="4E1DAF2A" w14:textId="77777777" w:rsidR="004E7B1B" w:rsidRPr="004E7B1B" w:rsidRDefault="004E7B1B" w:rsidP="008C76B1">
      <w:pPr>
        <w:jc w:val="both"/>
      </w:pPr>
      <w:r w:rsidRPr="004E7B1B">
        <w:t>Na získanie povolenia na činnosti v oblasti mierového využívania jadrovej energie, či ide o novú činnosť alebo o zmenu existujúcej, musí žiadateľ preukázať svoju schopnosť dodržiavať a plniť všetky požiadavky stanovené zákonmi a vyhláškami platnými v SR, najmä požiadavky atómového zákona a vykonávacích vyhlášok úradu k tomuto zákonu. Žiadateľ musí ďalej preukázať, že JZ bude, resp. je prevádzkované bezpečne.</w:t>
      </w:r>
    </w:p>
    <w:p w14:paraId="63D5CA3A" w14:textId="1F61669E" w:rsidR="004E7B1B" w:rsidRPr="008C76B1" w:rsidRDefault="004E7B1B" w:rsidP="008C76B1">
      <w:pPr>
        <w:jc w:val="both"/>
      </w:pPr>
      <w:r w:rsidRPr="004E7B1B">
        <w:t xml:space="preserve">Okrem držiteľov povolení, ktorými sú SE, a. s., a JAVYS, a. s., ÚJD SR vykonáva dozor a vydáva povolenia aj pre iné právnické osoby a organizácie, ktoré neprevádzkujú energetické JZ, ale vykonávajú ďalšie činnosti súvisiace s mierovým využívaním jadrovej energie v súlade s atómovým zákonom. Medzi predstaviteľov týchto držiteľov povolení patria spoločnosť VUJE, a. s., ktorá sa zaoberá odborným výcvikom personálu JZ a spoločnosť DMS, s. r. o., ktorá vykonáva činnosti spojené s prepravou </w:t>
      </w:r>
      <w:r w:rsidR="00F12910">
        <w:t>RAM.</w:t>
      </w:r>
    </w:p>
    <w:p w14:paraId="6D9F6EAC" w14:textId="77777777" w:rsidR="00002942" w:rsidRPr="00F44C51" w:rsidRDefault="00002942" w:rsidP="005B072A"/>
    <w:p w14:paraId="433681A1" w14:textId="2B194A65" w:rsidR="00B54092" w:rsidRPr="006F1170" w:rsidRDefault="00B54092" w:rsidP="005B072A">
      <w:pPr>
        <w:pStyle w:val="Nadpis2"/>
        <w:tabs>
          <w:tab w:val="clear" w:pos="556"/>
          <w:tab w:val="num" w:pos="0"/>
          <w:tab w:val="num" w:pos="555"/>
        </w:tabs>
        <w:ind w:left="0" w:firstLine="0"/>
        <w:rPr>
          <w:bCs/>
        </w:rPr>
      </w:pPr>
      <w:bookmarkStart w:id="10" w:name="_Toc161214307"/>
      <w:r w:rsidRPr="006F1170">
        <w:rPr>
          <w:bCs/>
        </w:rPr>
        <w:t>Posudzovacia a hodnotiaca činnosť</w:t>
      </w:r>
      <w:bookmarkEnd w:id="10"/>
    </w:p>
    <w:p w14:paraId="0447CE33" w14:textId="51BE3545" w:rsidR="00E46E5D" w:rsidRPr="00F44C51" w:rsidRDefault="00E46E5D" w:rsidP="005B072A"/>
    <w:p w14:paraId="7DD63832" w14:textId="64AD398B" w:rsidR="005F50C7" w:rsidRPr="008C76B1" w:rsidRDefault="005F50C7" w:rsidP="008C76B1">
      <w:pPr>
        <w:jc w:val="both"/>
      </w:pPr>
      <w:r w:rsidRPr="008C76B1">
        <w:t xml:space="preserve">Jadrová bezpečnosť </w:t>
      </w:r>
      <w:r w:rsidR="00123458" w:rsidRPr="008C76B1">
        <w:t>JZ</w:t>
      </w:r>
      <w:r w:rsidRPr="008C76B1">
        <w:t xml:space="preserve"> je preukazovaná dokumentáciou, ktorá dokazuje, že </w:t>
      </w:r>
      <w:r w:rsidRPr="00FB1B08">
        <w:t xml:space="preserve">systémy, komponenty a technologické zariadenia vrátane schopnosti ich obsluhy, sú spôsobilé pracovať bezpečne a spoľahlivo, a to počas normálnej, abnormálnej, ako aj mimoriadnej prevádzky, a že vplyv </w:t>
      </w:r>
      <w:r w:rsidR="00123458">
        <w:t>JZ</w:t>
      </w:r>
      <w:r w:rsidRPr="00FB1B08">
        <w:t xml:space="preserve"> na zamestnancov, obyvateľstvo, životné prostredie a na majetok je na akceptovateľnej úrovni v zmysle legislatívy SR a uznávaných</w:t>
      </w:r>
      <w:r w:rsidRPr="008C76B1">
        <w:t xml:space="preserve"> medzinárodných štandardov.</w:t>
      </w:r>
    </w:p>
    <w:p w14:paraId="1E36CB6E" w14:textId="77777777" w:rsidR="005F50C7" w:rsidRPr="008C76B1" w:rsidRDefault="005F50C7" w:rsidP="008C76B1">
      <w:pPr>
        <w:jc w:val="both"/>
      </w:pPr>
    </w:p>
    <w:p w14:paraId="5E45B212" w14:textId="77777777" w:rsidR="004C18D7" w:rsidRDefault="004C18D7" w:rsidP="008C76B1">
      <w:pPr>
        <w:jc w:val="both"/>
      </w:pPr>
    </w:p>
    <w:p w14:paraId="3726F8C7" w14:textId="1A2A27CD" w:rsidR="005F50C7" w:rsidRPr="008C76B1" w:rsidRDefault="005F50C7" w:rsidP="008C76B1">
      <w:pPr>
        <w:jc w:val="both"/>
      </w:pPr>
      <w:r w:rsidRPr="008C76B1">
        <w:lastRenderedPageBreak/>
        <w:t>ÚJD SR v roku 2023 posudzoval, hodnotil a schvaľoval dokumentáciu pre:</w:t>
      </w:r>
    </w:p>
    <w:p w14:paraId="6D22BE83"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 xml:space="preserve">projektové zmeny na vybraných zariadeniach </w:t>
      </w:r>
      <w:r w:rsidRPr="008C76B1">
        <w:rPr>
          <w:rFonts w:eastAsia="Calibri"/>
          <w:color w:val="000000"/>
          <w:szCs w:val="24"/>
          <w:lang w:eastAsia="en-US"/>
        </w:rPr>
        <w:t>(VZ)</w:t>
      </w:r>
      <w:r w:rsidRPr="005F50C7">
        <w:rPr>
          <w:rFonts w:eastAsia="Calibri"/>
          <w:color w:val="000000"/>
          <w:szCs w:val="24"/>
          <w:lang w:eastAsia="en-US"/>
        </w:rPr>
        <w:t xml:space="preserve"> prevádzkovaných JE,</w:t>
      </w:r>
    </w:p>
    <w:p w14:paraId="68F387B8"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realizáciu prác na dostavbe JE MO 34 vrátane zmien úvodného projektu,</w:t>
      </w:r>
    </w:p>
    <w:p w14:paraId="61AA9FD8"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predprevádzkové a prevádzkové kontroly VZ,</w:t>
      </w:r>
    </w:p>
    <w:p w14:paraId="69C300ED" w14:textId="72D970CC"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 xml:space="preserve">stavebné konania vzťahujúce sa k </w:t>
      </w:r>
      <w:r w:rsidR="00123458">
        <w:rPr>
          <w:rFonts w:eastAsia="Calibri"/>
          <w:color w:val="000000"/>
          <w:szCs w:val="24"/>
          <w:lang w:eastAsia="en-US"/>
        </w:rPr>
        <w:t>JZ</w:t>
      </w:r>
      <w:r w:rsidRPr="005F50C7">
        <w:rPr>
          <w:rFonts w:eastAsia="Calibri"/>
          <w:color w:val="000000"/>
          <w:szCs w:val="24"/>
          <w:lang w:eastAsia="en-US"/>
        </w:rPr>
        <w:t>,</w:t>
      </w:r>
    </w:p>
    <w:p w14:paraId="79076DAB"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zmeny dokumentácie posúdenej alebo schválenej ÚJD SR,</w:t>
      </w:r>
    </w:p>
    <w:p w14:paraId="2D0736B4"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zabezpečovanie kvality VZ a JZ,</w:t>
      </w:r>
    </w:p>
    <w:p w14:paraId="08CA5B5B"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systémy manažérstva kvality držiteľov povolení podľa atómového zákona a ich dodávateľov,</w:t>
      </w:r>
    </w:p>
    <w:p w14:paraId="561F5BDE" w14:textId="77777777" w:rsidR="005F50C7" w:rsidRPr="005F50C7" w:rsidRDefault="005F50C7" w:rsidP="005F50C7">
      <w:pPr>
        <w:numPr>
          <w:ilvl w:val="0"/>
          <w:numId w:val="9"/>
        </w:numPr>
        <w:tabs>
          <w:tab w:val="left" w:pos="360"/>
        </w:tabs>
        <w:autoSpaceDE w:val="0"/>
        <w:autoSpaceDN w:val="0"/>
        <w:adjustRightInd w:val="0"/>
        <w:ind w:left="714" w:hanging="357"/>
        <w:jc w:val="both"/>
        <w:rPr>
          <w:rFonts w:eastAsia="Calibri"/>
          <w:color w:val="000000"/>
          <w:szCs w:val="24"/>
          <w:lang w:eastAsia="en-US"/>
        </w:rPr>
      </w:pPr>
      <w:r w:rsidRPr="005F50C7">
        <w:rPr>
          <w:rFonts w:eastAsia="Calibri"/>
          <w:color w:val="000000"/>
          <w:szCs w:val="24"/>
          <w:lang w:eastAsia="en-US"/>
        </w:rPr>
        <w:t>organizačné zmeny držiteľov povolení.</w:t>
      </w:r>
    </w:p>
    <w:p w14:paraId="0C143B21" w14:textId="77777777" w:rsidR="005F50C7" w:rsidRPr="005F50C7" w:rsidRDefault="005F50C7" w:rsidP="005F50C7">
      <w:pPr>
        <w:autoSpaceDE w:val="0"/>
        <w:autoSpaceDN w:val="0"/>
        <w:adjustRightInd w:val="0"/>
        <w:ind w:firstLine="708"/>
        <w:jc w:val="both"/>
        <w:rPr>
          <w:color w:val="000000"/>
          <w:szCs w:val="24"/>
        </w:rPr>
      </w:pPr>
    </w:p>
    <w:p w14:paraId="7F2D0E8B" w14:textId="77777777" w:rsidR="005F50C7" w:rsidRPr="008C76B1" w:rsidRDefault="005F50C7" w:rsidP="008C76B1">
      <w:pPr>
        <w:jc w:val="both"/>
      </w:pPr>
      <w:r w:rsidRPr="008C76B1">
        <w:t xml:space="preserve">Úrad vykonal v súvislosti s dostavbou 3. a 4. bloku JE MO 34 množstvo </w:t>
      </w:r>
      <w:proofErr w:type="spellStart"/>
      <w:r w:rsidRPr="008C76B1">
        <w:t>pomontážnych</w:t>
      </w:r>
      <w:proofErr w:type="spellEnd"/>
      <w:r w:rsidRPr="008C76B1">
        <w:t xml:space="preserve"> kontrol zhody, ktorých cieľom bolo overiť súlad nainštalovaných technologických zariadení s projektom a schválenými požiadavkami na ich kvalitu. Taktiež úrad kontroloval priebeh vybraných testov a prác súvisiacich s uvádzaním 3. bloku do prevádzky. Pokračovalo posudzovanie dokumentácie systému manažérstva kvality a požiadaviek na kvalitu vybraných zariadení v zmysle príslušných vyhlášok ÚJD SR. Počet rozhodnutí ÚJD SR vydaných v roku 2023 je uvedený v Tab. 1.</w:t>
      </w:r>
    </w:p>
    <w:p w14:paraId="3933EB72" w14:textId="77777777" w:rsidR="008E41F3" w:rsidRPr="00150582" w:rsidRDefault="008E41F3" w:rsidP="007364EC">
      <w:pPr>
        <w:autoSpaceDE w:val="0"/>
        <w:autoSpaceDN w:val="0"/>
        <w:adjustRightInd w:val="0"/>
        <w:jc w:val="both"/>
        <w:rPr>
          <w:color w:val="000000"/>
          <w:szCs w:val="24"/>
        </w:rPr>
      </w:pPr>
    </w:p>
    <w:p w14:paraId="1B1ED1E0" w14:textId="2A690B86" w:rsidR="00150582" w:rsidRPr="0036514D" w:rsidRDefault="00150582" w:rsidP="00150582">
      <w:pPr>
        <w:autoSpaceDE w:val="0"/>
        <w:autoSpaceDN w:val="0"/>
        <w:adjustRightInd w:val="0"/>
        <w:rPr>
          <w:sz w:val="22"/>
          <w:szCs w:val="22"/>
        </w:rPr>
      </w:pPr>
      <w:r w:rsidRPr="0036514D">
        <w:rPr>
          <w:sz w:val="22"/>
          <w:szCs w:val="22"/>
        </w:rPr>
        <w:t>Tab. 1 Počet rozhodnutí ÚJD</w:t>
      </w:r>
      <w:r w:rsidR="003B702F" w:rsidRPr="0036514D">
        <w:rPr>
          <w:sz w:val="22"/>
          <w:szCs w:val="22"/>
        </w:rPr>
        <w:t> </w:t>
      </w:r>
      <w:r w:rsidRPr="0036514D">
        <w:rPr>
          <w:sz w:val="22"/>
          <w:szCs w:val="22"/>
        </w:rPr>
        <w:t>SR vydaných v roku 202</w:t>
      </w:r>
      <w:r w:rsidR="005F50C7" w:rsidRPr="0036514D">
        <w:rPr>
          <w:sz w:val="22"/>
          <w:szCs w:val="22"/>
        </w:rPr>
        <w:t>3</w:t>
      </w:r>
    </w:p>
    <w:tbl>
      <w:tblPr>
        <w:tblStyle w:val="Mriekatabuky2"/>
        <w:tblW w:w="9067" w:type="dxa"/>
        <w:tblLook w:val="04A0" w:firstRow="1" w:lastRow="0" w:firstColumn="1" w:lastColumn="0" w:noHBand="0" w:noVBand="1"/>
      </w:tblPr>
      <w:tblGrid>
        <w:gridCol w:w="4531"/>
        <w:gridCol w:w="4536"/>
      </w:tblGrid>
      <w:tr w:rsidR="006F6F8C" w:rsidRPr="006F6F8C" w14:paraId="2D1181E0" w14:textId="77777777" w:rsidTr="002A5325">
        <w:trPr>
          <w:trHeight w:val="388"/>
        </w:trPr>
        <w:tc>
          <w:tcPr>
            <w:tcW w:w="4531" w:type="dxa"/>
            <w:shd w:val="clear" w:color="auto" w:fill="D9D9D9" w:themeFill="background1" w:themeFillShade="D9"/>
            <w:hideMark/>
          </w:tcPr>
          <w:p w14:paraId="62AB8891" w14:textId="77777777" w:rsidR="006F6F8C" w:rsidRPr="00197F21" w:rsidRDefault="006F6F8C" w:rsidP="006F6F8C">
            <w:pPr>
              <w:autoSpaceDE w:val="0"/>
              <w:autoSpaceDN w:val="0"/>
              <w:adjustRightInd w:val="0"/>
              <w:jc w:val="center"/>
              <w:rPr>
                <w:b/>
                <w:bCs/>
                <w:color w:val="000000" w:themeColor="text1"/>
                <w:sz w:val="22"/>
                <w:szCs w:val="22"/>
              </w:rPr>
            </w:pPr>
            <w:r w:rsidRPr="00197F21">
              <w:rPr>
                <w:b/>
                <w:bCs/>
                <w:color w:val="000000" w:themeColor="text1"/>
                <w:sz w:val="22"/>
                <w:szCs w:val="22"/>
              </w:rPr>
              <w:t>Druh rozhodnutia</w:t>
            </w:r>
          </w:p>
        </w:tc>
        <w:tc>
          <w:tcPr>
            <w:tcW w:w="4536" w:type="dxa"/>
            <w:shd w:val="clear" w:color="auto" w:fill="D9D9D9" w:themeFill="background1" w:themeFillShade="D9"/>
            <w:hideMark/>
          </w:tcPr>
          <w:p w14:paraId="69A2FEAF" w14:textId="77777777" w:rsidR="006F6F8C" w:rsidRPr="00197F21" w:rsidRDefault="006F6F8C" w:rsidP="006F6F8C">
            <w:pPr>
              <w:autoSpaceDE w:val="0"/>
              <w:autoSpaceDN w:val="0"/>
              <w:adjustRightInd w:val="0"/>
              <w:jc w:val="center"/>
              <w:rPr>
                <w:b/>
                <w:bCs/>
                <w:color w:val="000000" w:themeColor="text1"/>
                <w:sz w:val="22"/>
                <w:szCs w:val="22"/>
              </w:rPr>
            </w:pPr>
            <w:r w:rsidRPr="00197F21">
              <w:rPr>
                <w:b/>
                <w:bCs/>
                <w:color w:val="000000" w:themeColor="text1"/>
                <w:sz w:val="22"/>
                <w:szCs w:val="22"/>
              </w:rPr>
              <w:t>Počet vydaných rozhodnutí</w:t>
            </w:r>
          </w:p>
        </w:tc>
      </w:tr>
      <w:tr w:rsidR="006F6F8C" w:rsidRPr="006F6F8C" w14:paraId="64B5F82A" w14:textId="77777777" w:rsidTr="002A5325">
        <w:trPr>
          <w:trHeight w:val="291"/>
        </w:trPr>
        <w:tc>
          <w:tcPr>
            <w:tcW w:w="4531" w:type="dxa"/>
            <w:hideMark/>
          </w:tcPr>
          <w:p w14:paraId="13B04359"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atómový zákon</w:t>
            </w:r>
          </w:p>
        </w:tc>
        <w:tc>
          <w:tcPr>
            <w:tcW w:w="4536" w:type="dxa"/>
            <w:hideMark/>
          </w:tcPr>
          <w:p w14:paraId="6C14600E" w14:textId="3416458B" w:rsidR="006F6F8C" w:rsidRPr="00197F21" w:rsidRDefault="005F50C7" w:rsidP="00883430">
            <w:pPr>
              <w:jc w:val="center"/>
              <w:rPr>
                <w:color w:val="000000" w:themeColor="text1"/>
                <w:sz w:val="22"/>
                <w:szCs w:val="22"/>
              </w:rPr>
            </w:pPr>
            <w:r>
              <w:rPr>
                <w:color w:val="000000" w:themeColor="text1"/>
                <w:sz w:val="22"/>
                <w:szCs w:val="22"/>
              </w:rPr>
              <w:t>356</w:t>
            </w:r>
          </w:p>
        </w:tc>
      </w:tr>
      <w:tr w:rsidR="006F6F8C" w:rsidRPr="006F6F8C" w14:paraId="37023701" w14:textId="77777777" w:rsidTr="002A5325">
        <w:trPr>
          <w:trHeight w:val="293"/>
        </w:trPr>
        <w:tc>
          <w:tcPr>
            <w:tcW w:w="4531" w:type="dxa"/>
            <w:hideMark/>
          </w:tcPr>
          <w:p w14:paraId="33FE3F7F"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stavebný úrad</w:t>
            </w:r>
          </w:p>
        </w:tc>
        <w:tc>
          <w:tcPr>
            <w:tcW w:w="4536" w:type="dxa"/>
            <w:hideMark/>
          </w:tcPr>
          <w:p w14:paraId="3BD6B59E" w14:textId="45A8AE28" w:rsidR="006F6F8C" w:rsidRPr="00197F21" w:rsidRDefault="006F6F8C" w:rsidP="00883430">
            <w:pPr>
              <w:ind w:right="-110"/>
              <w:jc w:val="center"/>
              <w:rPr>
                <w:color w:val="000000" w:themeColor="text1"/>
                <w:sz w:val="22"/>
                <w:szCs w:val="22"/>
              </w:rPr>
            </w:pPr>
            <w:r w:rsidRPr="00197F21">
              <w:rPr>
                <w:color w:val="000000" w:themeColor="text1"/>
                <w:sz w:val="22"/>
                <w:szCs w:val="22"/>
              </w:rPr>
              <w:t>1</w:t>
            </w:r>
            <w:r w:rsidR="005F50C7">
              <w:rPr>
                <w:color w:val="000000" w:themeColor="text1"/>
                <w:sz w:val="22"/>
                <w:szCs w:val="22"/>
              </w:rPr>
              <w:t>3</w:t>
            </w:r>
          </w:p>
        </w:tc>
      </w:tr>
      <w:tr w:rsidR="006F6F8C" w:rsidRPr="006F6F8C" w14:paraId="215F3E3B" w14:textId="77777777" w:rsidTr="002A5325">
        <w:trPr>
          <w:trHeight w:val="293"/>
        </w:trPr>
        <w:tc>
          <w:tcPr>
            <w:tcW w:w="4531" w:type="dxa"/>
            <w:hideMark/>
          </w:tcPr>
          <w:p w14:paraId="6B04FB93"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prerušenie správneho konania</w:t>
            </w:r>
          </w:p>
        </w:tc>
        <w:tc>
          <w:tcPr>
            <w:tcW w:w="4536" w:type="dxa"/>
            <w:hideMark/>
          </w:tcPr>
          <w:p w14:paraId="39342AEB" w14:textId="6E8D4BB6" w:rsidR="006F6F8C" w:rsidRPr="00197F21" w:rsidRDefault="00883430" w:rsidP="00883430">
            <w:pPr>
              <w:jc w:val="center"/>
              <w:rPr>
                <w:color w:val="000000" w:themeColor="text1"/>
                <w:sz w:val="22"/>
                <w:szCs w:val="22"/>
              </w:rPr>
            </w:pPr>
            <w:r w:rsidRPr="00197F21">
              <w:rPr>
                <w:color w:val="000000" w:themeColor="text1"/>
                <w:sz w:val="22"/>
                <w:szCs w:val="22"/>
              </w:rPr>
              <w:t xml:space="preserve">  </w:t>
            </w:r>
            <w:r w:rsidR="005F50C7">
              <w:rPr>
                <w:color w:val="000000" w:themeColor="text1"/>
                <w:sz w:val="22"/>
                <w:szCs w:val="22"/>
              </w:rPr>
              <w:t>71</w:t>
            </w:r>
          </w:p>
        </w:tc>
      </w:tr>
      <w:tr w:rsidR="006F6F8C" w:rsidRPr="006F6F8C" w14:paraId="781652E1" w14:textId="77777777" w:rsidTr="002A5325">
        <w:trPr>
          <w:trHeight w:val="293"/>
        </w:trPr>
        <w:tc>
          <w:tcPr>
            <w:tcW w:w="4531" w:type="dxa"/>
            <w:hideMark/>
          </w:tcPr>
          <w:p w14:paraId="5DE33480"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zastavenie správneho konania</w:t>
            </w:r>
          </w:p>
        </w:tc>
        <w:tc>
          <w:tcPr>
            <w:tcW w:w="4536" w:type="dxa"/>
            <w:hideMark/>
          </w:tcPr>
          <w:p w14:paraId="7061EEE2" w14:textId="712270FF" w:rsidR="006F6F8C" w:rsidRPr="00197F21" w:rsidRDefault="005F50C7" w:rsidP="00883430">
            <w:pPr>
              <w:ind w:right="-110"/>
              <w:jc w:val="center"/>
              <w:rPr>
                <w:color w:val="000000" w:themeColor="text1"/>
                <w:sz w:val="22"/>
                <w:szCs w:val="22"/>
              </w:rPr>
            </w:pPr>
            <w:r>
              <w:rPr>
                <w:color w:val="000000" w:themeColor="text1"/>
                <w:sz w:val="22"/>
                <w:szCs w:val="22"/>
              </w:rPr>
              <w:t xml:space="preserve">  8</w:t>
            </w:r>
            <w:r w:rsidR="00883430" w:rsidRPr="00197F21">
              <w:rPr>
                <w:color w:val="000000" w:themeColor="text1"/>
                <w:sz w:val="22"/>
                <w:szCs w:val="22"/>
              </w:rPr>
              <w:t xml:space="preserve">  </w:t>
            </w:r>
          </w:p>
        </w:tc>
      </w:tr>
      <w:tr w:rsidR="006F6F8C" w:rsidRPr="006F6F8C" w14:paraId="365E83D9" w14:textId="77777777" w:rsidTr="002A5325">
        <w:trPr>
          <w:trHeight w:val="293"/>
        </w:trPr>
        <w:tc>
          <w:tcPr>
            <w:tcW w:w="4531" w:type="dxa"/>
          </w:tcPr>
          <w:p w14:paraId="1EBBEB08" w14:textId="252C0F2C"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uloženie pokuty</w:t>
            </w:r>
          </w:p>
        </w:tc>
        <w:tc>
          <w:tcPr>
            <w:tcW w:w="4536" w:type="dxa"/>
          </w:tcPr>
          <w:p w14:paraId="2A346048" w14:textId="742BB7E8" w:rsidR="006F6F8C" w:rsidRPr="00197F21" w:rsidRDefault="00883430" w:rsidP="00883430">
            <w:pPr>
              <w:ind w:right="-110"/>
              <w:jc w:val="center"/>
              <w:rPr>
                <w:color w:val="000000" w:themeColor="text1"/>
                <w:sz w:val="22"/>
                <w:szCs w:val="22"/>
              </w:rPr>
            </w:pPr>
            <w:r w:rsidRPr="00197F21">
              <w:rPr>
                <w:color w:val="000000" w:themeColor="text1"/>
                <w:sz w:val="22"/>
                <w:szCs w:val="22"/>
              </w:rPr>
              <w:t xml:space="preserve">  </w:t>
            </w:r>
            <w:r w:rsidR="006F6F8C" w:rsidRPr="00197F21">
              <w:rPr>
                <w:color w:val="000000" w:themeColor="text1"/>
                <w:sz w:val="22"/>
                <w:szCs w:val="22"/>
              </w:rPr>
              <w:t>1</w:t>
            </w:r>
          </w:p>
        </w:tc>
      </w:tr>
      <w:tr w:rsidR="006F6F8C" w:rsidRPr="006F6F8C" w14:paraId="061CBD25" w14:textId="77777777" w:rsidTr="002A5325">
        <w:trPr>
          <w:trHeight w:val="293"/>
        </w:trPr>
        <w:tc>
          <w:tcPr>
            <w:tcW w:w="4531" w:type="dxa"/>
            <w:hideMark/>
          </w:tcPr>
          <w:p w14:paraId="0B766878" w14:textId="77777777" w:rsidR="006F6F8C" w:rsidRPr="00197F21" w:rsidRDefault="006F6F8C" w:rsidP="006F6F8C">
            <w:pPr>
              <w:autoSpaceDE w:val="0"/>
              <w:autoSpaceDN w:val="0"/>
              <w:adjustRightInd w:val="0"/>
              <w:rPr>
                <w:bCs/>
                <w:color w:val="000000" w:themeColor="text1"/>
                <w:sz w:val="22"/>
                <w:szCs w:val="22"/>
              </w:rPr>
            </w:pPr>
            <w:r w:rsidRPr="00197F21">
              <w:rPr>
                <w:bCs/>
                <w:color w:val="000000" w:themeColor="text1"/>
                <w:sz w:val="22"/>
                <w:szCs w:val="22"/>
              </w:rPr>
              <w:t>rozkladové konanie</w:t>
            </w:r>
          </w:p>
        </w:tc>
        <w:tc>
          <w:tcPr>
            <w:tcW w:w="4536" w:type="dxa"/>
            <w:hideMark/>
          </w:tcPr>
          <w:p w14:paraId="58927844" w14:textId="66B980F5" w:rsidR="006F6F8C" w:rsidRPr="00197F21" w:rsidRDefault="005F50C7" w:rsidP="00883430">
            <w:pPr>
              <w:ind w:right="-252"/>
              <w:jc w:val="center"/>
              <w:rPr>
                <w:color w:val="000000" w:themeColor="text1"/>
                <w:sz w:val="22"/>
                <w:szCs w:val="22"/>
              </w:rPr>
            </w:pPr>
            <w:r>
              <w:rPr>
                <w:color w:val="000000" w:themeColor="text1"/>
                <w:sz w:val="22"/>
                <w:szCs w:val="22"/>
              </w:rPr>
              <w:t>0</w:t>
            </w:r>
          </w:p>
        </w:tc>
      </w:tr>
      <w:tr w:rsidR="006F6F8C" w:rsidRPr="006F6F8C" w14:paraId="631D384C" w14:textId="77777777" w:rsidTr="00F81E64">
        <w:trPr>
          <w:trHeight w:val="293"/>
        </w:trPr>
        <w:tc>
          <w:tcPr>
            <w:tcW w:w="4531" w:type="dxa"/>
            <w:shd w:val="clear" w:color="auto" w:fill="auto"/>
            <w:hideMark/>
          </w:tcPr>
          <w:p w14:paraId="1790F243" w14:textId="77777777" w:rsidR="006F6F8C" w:rsidRPr="00197F21" w:rsidRDefault="006F6F8C" w:rsidP="00F81E64">
            <w:pPr>
              <w:autoSpaceDE w:val="0"/>
              <w:autoSpaceDN w:val="0"/>
              <w:adjustRightInd w:val="0"/>
              <w:rPr>
                <w:b/>
                <w:bCs/>
                <w:color w:val="000000" w:themeColor="text1"/>
                <w:sz w:val="22"/>
                <w:szCs w:val="22"/>
              </w:rPr>
            </w:pPr>
            <w:r w:rsidRPr="00197F21">
              <w:rPr>
                <w:b/>
                <w:bCs/>
                <w:color w:val="000000" w:themeColor="text1"/>
                <w:sz w:val="22"/>
                <w:szCs w:val="22"/>
              </w:rPr>
              <w:t>Spolu</w:t>
            </w:r>
          </w:p>
        </w:tc>
        <w:tc>
          <w:tcPr>
            <w:tcW w:w="4536" w:type="dxa"/>
            <w:shd w:val="clear" w:color="auto" w:fill="auto"/>
            <w:hideMark/>
          </w:tcPr>
          <w:p w14:paraId="2EAAA233" w14:textId="2830DFA3" w:rsidR="006F6F8C" w:rsidRPr="00197F21" w:rsidRDefault="005F50C7" w:rsidP="006F6F8C">
            <w:pPr>
              <w:autoSpaceDE w:val="0"/>
              <w:autoSpaceDN w:val="0"/>
              <w:adjustRightInd w:val="0"/>
              <w:jc w:val="center"/>
              <w:rPr>
                <w:b/>
                <w:bCs/>
                <w:color w:val="000000" w:themeColor="text1"/>
                <w:sz w:val="22"/>
                <w:szCs w:val="22"/>
              </w:rPr>
            </w:pPr>
            <w:r>
              <w:rPr>
                <w:b/>
                <w:bCs/>
                <w:color w:val="000000" w:themeColor="text1"/>
                <w:sz w:val="22"/>
                <w:szCs w:val="22"/>
              </w:rPr>
              <w:t>44</w:t>
            </w:r>
            <w:r w:rsidR="006F6F8C" w:rsidRPr="00197F21">
              <w:rPr>
                <w:b/>
                <w:bCs/>
                <w:color w:val="000000" w:themeColor="text1"/>
                <w:sz w:val="22"/>
                <w:szCs w:val="22"/>
              </w:rPr>
              <w:t>9</w:t>
            </w:r>
          </w:p>
        </w:tc>
      </w:tr>
    </w:tbl>
    <w:p w14:paraId="7305972B" w14:textId="77777777" w:rsidR="006F6F8C" w:rsidRPr="006F6F8C" w:rsidRDefault="006F6F8C" w:rsidP="006F6F8C">
      <w:pPr>
        <w:rPr>
          <w:szCs w:val="24"/>
        </w:rPr>
      </w:pPr>
    </w:p>
    <w:p w14:paraId="332FC549" w14:textId="61885CB1" w:rsidR="004C2F1C" w:rsidRPr="00160687" w:rsidRDefault="004C2F1C" w:rsidP="005B072A">
      <w:pPr>
        <w:pStyle w:val="Nadpis2"/>
        <w:ind w:left="0" w:firstLine="0"/>
        <w:rPr>
          <w:bCs/>
        </w:rPr>
      </w:pPr>
      <w:bookmarkStart w:id="11" w:name="_Toc161214308"/>
      <w:r w:rsidRPr="00160687">
        <w:rPr>
          <w:bCs/>
        </w:rPr>
        <w:t>Inšpekčná činnosť a vynucovanie práva</w:t>
      </w:r>
      <w:bookmarkEnd w:id="11"/>
    </w:p>
    <w:p w14:paraId="05A1DFEA" w14:textId="369113A9" w:rsidR="00776652" w:rsidRPr="008C5368" w:rsidRDefault="00776652" w:rsidP="005B072A"/>
    <w:p w14:paraId="5A9A2CC1" w14:textId="239C88F8" w:rsidR="00ED4D0E" w:rsidRPr="006D7BB1" w:rsidRDefault="00ED4D0E" w:rsidP="006D7BB1">
      <w:pPr>
        <w:pStyle w:val="Nadpis3"/>
        <w:tabs>
          <w:tab w:val="clear" w:pos="1440"/>
          <w:tab w:val="num" w:pos="709"/>
        </w:tabs>
        <w:ind w:left="357" w:hanging="357"/>
        <w:rPr>
          <w:color w:val="000000" w:themeColor="text1"/>
        </w:rPr>
      </w:pPr>
      <w:bookmarkStart w:id="12" w:name="_Toc289762594"/>
      <w:bookmarkStart w:id="13" w:name="_Toc161214309"/>
      <w:r w:rsidRPr="006D7BB1">
        <w:rPr>
          <w:color w:val="000000" w:themeColor="text1"/>
        </w:rPr>
        <w:t>Inšpekčná činnosť</w:t>
      </w:r>
      <w:bookmarkEnd w:id="12"/>
      <w:bookmarkEnd w:id="13"/>
    </w:p>
    <w:p w14:paraId="34FE14D1" w14:textId="77777777" w:rsidR="00ED4D0E" w:rsidRPr="00903612" w:rsidRDefault="00ED4D0E" w:rsidP="005B072A">
      <w:pPr>
        <w:rPr>
          <w:highlight w:val="yellow"/>
        </w:rPr>
      </w:pPr>
    </w:p>
    <w:p w14:paraId="4AA993E7" w14:textId="1B484571" w:rsidR="00160687" w:rsidRPr="008C76B1" w:rsidRDefault="00160687" w:rsidP="008C76B1">
      <w:pPr>
        <w:jc w:val="both"/>
      </w:pPr>
      <w:r w:rsidRPr="008C76B1">
        <w:t>Inšpekčnou činnosťou sa rozumie proces, ktorým sa kontroluje dodržiavanie požiadaviek a</w:t>
      </w:r>
      <w:r w:rsidRPr="00160687">
        <w:t> </w:t>
      </w:r>
      <w:r w:rsidRPr="008C76B1">
        <w:t>plnenie povinností ustanovených v atómovom zákone a jeho vykonávacích právnych predpisoch, v stavebnom zákone a jeho vykonávacích právnych predpisoch, plnenie povinností vyplývajúcich z rozhodnutí ÚJD</w:t>
      </w:r>
      <w:r w:rsidR="00644232" w:rsidRPr="008C76B1">
        <w:t> </w:t>
      </w:r>
      <w:r w:rsidRPr="008C76B1">
        <w:t>SR, ako aj plnenie opatrení na odstránenie nedostatkov z protokolov. Inšpekčnú činnosť vykonávajú inšpektori jadrovej bezpečnosti ÚJD</w:t>
      </w:r>
      <w:r w:rsidR="00644232" w:rsidRPr="008C76B1">
        <w:t> </w:t>
      </w:r>
      <w:r w:rsidRPr="008C76B1">
        <w:t>SR. Harmonogram plánovaných kontrol stanovuje Inšpekčný plán, ktorý je zostavený tak, aby bolo možné vykonávať priebežné a systematické hodnotenie dodržiavania legislatívnych požiadaviek. Úrad spracováva Predbežný inšpekčný plán na tri roky a Inšpekčný plán na príslušný rok. Okrem plánovaných kontrol vykonávajú inšpektori tiež neplánované kontroly, ktoré sú vyvolané stavom v JZ (napr. výstavba a montáž, etapy spúšťania) alebo prevádzkovými udalosťami</w:t>
      </w:r>
      <w:r w:rsidR="001A2168">
        <w:t xml:space="preserve"> (PU)</w:t>
      </w:r>
      <w:r w:rsidRPr="008C76B1">
        <w:t>. Medzi neplánované kontroly sa radia aj</w:t>
      </w:r>
      <w:r w:rsidRPr="00160687">
        <w:t> </w:t>
      </w:r>
      <w:r w:rsidRPr="008C76B1">
        <w:t>inšpekcie</w:t>
      </w:r>
      <w:r w:rsidR="00E929E9">
        <w:t xml:space="preserve"> Medzinárodnej agentúry pre atómovú energiu (</w:t>
      </w:r>
      <w:r w:rsidRPr="008C76B1">
        <w:t>MAAE</w:t>
      </w:r>
      <w:r w:rsidR="00E929E9">
        <w:t>)</w:t>
      </w:r>
      <w:r w:rsidRPr="008C76B1">
        <w:t xml:space="preserve"> v oblasti evidencie a kontroly JM, ktorých termín je ÚJD</w:t>
      </w:r>
      <w:r w:rsidR="00644232" w:rsidRPr="008C76B1">
        <w:t> </w:t>
      </w:r>
      <w:r w:rsidRPr="008C76B1">
        <w:t>SR a príslušnému držiteľovi povolenia ohlásený až bezprostredne pred vykonaním samotnej kontroly.</w:t>
      </w:r>
    </w:p>
    <w:p w14:paraId="7412472F" w14:textId="3466FF9F" w:rsidR="00D970A8" w:rsidRPr="008C76B1" w:rsidRDefault="00D970A8" w:rsidP="00D970A8">
      <w:pPr>
        <w:jc w:val="both"/>
      </w:pPr>
      <w:r w:rsidRPr="008C76B1">
        <w:t>Na rok 2023 bolo naplánovaných 165 inšpekcií, z toho bolo z objektívnych príčin 1</w:t>
      </w:r>
      <w:r w:rsidR="00963BEC">
        <w:t>4</w:t>
      </w:r>
      <w:r w:rsidRPr="008C76B1">
        <w:t xml:space="preserve"> zrušených. Neplánovaných inšpekcií sa v roku 2023 vykonalo 34. Spolu bolo vykonaných 18</w:t>
      </w:r>
      <w:r w:rsidR="00963BEC">
        <w:t>5</w:t>
      </w:r>
      <w:r w:rsidRPr="008C76B1">
        <w:t xml:space="preserve"> inšpekcií, </w:t>
      </w:r>
      <w:r w:rsidRPr="00D17E15">
        <w:lastRenderedPageBreak/>
        <w:t>pričom 5</w:t>
      </w:r>
      <w:r w:rsidR="00963BEC">
        <w:t>7</w:t>
      </w:r>
      <w:r w:rsidRPr="00D17E15">
        <w:t xml:space="preserve"> inšpekcií bolo k 25.</w:t>
      </w:r>
      <w:r w:rsidR="00354D12" w:rsidRPr="00D17E15">
        <w:t> </w:t>
      </w:r>
      <w:r w:rsidRPr="00D17E15">
        <w:t>1.</w:t>
      </w:r>
      <w:r w:rsidR="00354D12" w:rsidRPr="00D17E15">
        <w:t> </w:t>
      </w:r>
      <w:r w:rsidRPr="00D17E15">
        <w:t>2024 ešte rozpracovaných a ukončených bolo 128 inšpekcií.</w:t>
      </w:r>
      <w:r w:rsidRPr="008C76B1">
        <w:t xml:space="preserve"> Z ukončených inšpekcií skončilo 5 formou protokolu a ostatné sú ukončené záznamom.</w:t>
      </w:r>
    </w:p>
    <w:p w14:paraId="0E47A4EA" w14:textId="0F950262" w:rsidR="00AD33A2" w:rsidRDefault="00AD33A2" w:rsidP="00160687">
      <w:pPr>
        <w:jc w:val="both"/>
        <w:rPr>
          <w:color w:val="000000" w:themeColor="text1"/>
        </w:rPr>
      </w:pPr>
      <w:r>
        <w:rPr>
          <w:color w:val="000000" w:themeColor="text1"/>
        </w:rPr>
        <w:t>Prehľad vykonaných inšpekcií v roku 202</w:t>
      </w:r>
      <w:r w:rsidR="00D970A8">
        <w:rPr>
          <w:color w:val="000000" w:themeColor="text1"/>
        </w:rPr>
        <w:t>3</w:t>
      </w:r>
      <w:r>
        <w:rPr>
          <w:color w:val="000000" w:themeColor="text1"/>
        </w:rPr>
        <w:t xml:space="preserve"> je</w:t>
      </w:r>
      <w:r w:rsidR="00333E8B">
        <w:rPr>
          <w:color w:val="000000" w:themeColor="text1"/>
        </w:rPr>
        <w:t xml:space="preserve"> uvedený v Tab. 2.</w:t>
      </w:r>
    </w:p>
    <w:p w14:paraId="55BEC5CB" w14:textId="77777777" w:rsidR="00160687" w:rsidRPr="00160687" w:rsidRDefault="00160687" w:rsidP="00160687">
      <w:pPr>
        <w:autoSpaceDE w:val="0"/>
        <w:autoSpaceDN w:val="0"/>
        <w:adjustRightInd w:val="0"/>
        <w:jc w:val="both"/>
        <w:rPr>
          <w:color w:val="000000" w:themeColor="text1"/>
          <w:szCs w:val="24"/>
        </w:rPr>
      </w:pPr>
    </w:p>
    <w:p w14:paraId="12B6E7D2" w14:textId="19C21BE2" w:rsidR="00160687" w:rsidRPr="0036514D" w:rsidRDefault="00160687" w:rsidP="00160687">
      <w:pPr>
        <w:autoSpaceDE w:val="0"/>
        <w:autoSpaceDN w:val="0"/>
        <w:adjustRightInd w:val="0"/>
        <w:jc w:val="both"/>
        <w:rPr>
          <w:color w:val="000000" w:themeColor="text1"/>
          <w:sz w:val="22"/>
          <w:szCs w:val="22"/>
        </w:rPr>
      </w:pPr>
      <w:r w:rsidRPr="0036514D">
        <w:rPr>
          <w:color w:val="000000" w:themeColor="text1"/>
          <w:sz w:val="22"/>
          <w:szCs w:val="22"/>
        </w:rPr>
        <w:t>Tab. 2 Prehľad vykonaných inšpekcií v roku 202</w:t>
      </w:r>
      <w:r w:rsidR="008B1DF3" w:rsidRPr="0036514D">
        <w:rPr>
          <w:color w:val="000000" w:themeColor="text1"/>
          <w:sz w:val="22"/>
          <w:szCs w:val="22"/>
        </w:rPr>
        <w:t>3</w:t>
      </w:r>
    </w:p>
    <w:tbl>
      <w:tblPr>
        <w:tblW w:w="9066" w:type="dxa"/>
        <w:tblLayout w:type="fixed"/>
        <w:tblCellMar>
          <w:right w:w="0" w:type="dxa"/>
        </w:tblCellMar>
        <w:tblLook w:val="00A0" w:firstRow="1" w:lastRow="0" w:firstColumn="1" w:lastColumn="0" w:noHBand="0" w:noVBand="0"/>
      </w:tblPr>
      <w:tblGrid>
        <w:gridCol w:w="2814"/>
        <w:gridCol w:w="1131"/>
        <w:gridCol w:w="1273"/>
        <w:gridCol w:w="1131"/>
        <w:gridCol w:w="1435"/>
        <w:gridCol w:w="1282"/>
      </w:tblGrid>
      <w:tr w:rsidR="00160687" w:rsidRPr="00197F21" w14:paraId="103D6E1A"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82C6C" w14:textId="77777777" w:rsidR="00160687" w:rsidRPr="00197F21" w:rsidRDefault="00160687" w:rsidP="00160687">
            <w:pPr>
              <w:autoSpaceDE w:val="0"/>
              <w:autoSpaceDN w:val="0"/>
              <w:adjustRightInd w:val="0"/>
              <w:jc w:val="center"/>
              <w:rPr>
                <w:b/>
                <w:bCs/>
                <w:color w:val="000000" w:themeColor="text1"/>
                <w:sz w:val="22"/>
                <w:szCs w:val="22"/>
              </w:rPr>
            </w:pPr>
            <w:r w:rsidRPr="00197F21">
              <w:rPr>
                <w:b/>
                <w:bCs/>
                <w:color w:val="000000" w:themeColor="text1"/>
                <w:sz w:val="22"/>
                <w:szCs w:val="22"/>
              </w:rPr>
              <w:t>JZ/iné</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CE981"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Tímové</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96AB2A"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Špeciálne</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15808"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Rutinné</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AE25A"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Neplánované</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A806C" w14:textId="77777777" w:rsidR="00160687" w:rsidRPr="00197F21" w:rsidRDefault="00160687" w:rsidP="00160687">
            <w:pPr>
              <w:autoSpaceDE w:val="0"/>
              <w:autoSpaceDN w:val="0"/>
              <w:adjustRightInd w:val="0"/>
              <w:ind w:left="15"/>
              <w:jc w:val="center"/>
              <w:rPr>
                <w:b/>
                <w:bCs/>
                <w:color w:val="000000" w:themeColor="text1"/>
                <w:sz w:val="22"/>
                <w:szCs w:val="22"/>
              </w:rPr>
            </w:pPr>
            <w:r w:rsidRPr="00197F21">
              <w:rPr>
                <w:b/>
                <w:bCs/>
                <w:color w:val="000000" w:themeColor="text1"/>
                <w:sz w:val="22"/>
                <w:szCs w:val="22"/>
              </w:rPr>
              <w:t>Spolu</w:t>
            </w:r>
          </w:p>
        </w:tc>
      </w:tr>
      <w:tr w:rsidR="00160687" w:rsidRPr="00197F21" w14:paraId="2104868A"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1FB59E22"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Bohunice V-2</w:t>
            </w:r>
          </w:p>
        </w:tc>
        <w:tc>
          <w:tcPr>
            <w:tcW w:w="1131" w:type="dxa"/>
            <w:tcBorders>
              <w:top w:val="single" w:sz="4" w:space="0" w:color="auto"/>
              <w:left w:val="single" w:sz="4" w:space="0" w:color="auto"/>
              <w:bottom w:val="single" w:sz="4" w:space="0" w:color="auto"/>
              <w:right w:val="single" w:sz="4" w:space="0" w:color="auto"/>
            </w:tcBorders>
            <w:vAlign w:val="center"/>
          </w:tcPr>
          <w:p w14:paraId="15804B28" w14:textId="3FBE8920" w:rsidR="00160687" w:rsidRPr="00197F21" w:rsidRDefault="00644232" w:rsidP="00644232">
            <w:pPr>
              <w:jc w:val="center"/>
              <w:rPr>
                <w:color w:val="000000" w:themeColor="text1"/>
                <w:sz w:val="22"/>
                <w:szCs w:val="22"/>
              </w:rPr>
            </w:pPr>
            <w:r w:rsidRPr="00197F21">
              <w:rPr>
                <w:color w:val="000000" w:themeColor="text1"/>
                <w:sz w:val="22"/>
                <w:szCs w:val="22"/>
              </w:rPr>
              <w:t xml:space="preserve"> </w:t>
            </w:r>
            <w:r w:rsidR="00A74E01">
              <w:rPr>
                <w:color w:val="000000" w:themeColor="text1"/>
                <w:sz w:val="22"/>
                <w:szCs w:val="22"/>
              </w:rPr>
              <w:t>9</w:t>
            </w:r>
          </w:p>
        </w:tc>
        <w:tc>
          <w:tcPr>
            <w:tcW w:w="1273" w:type="dxa"/>
            <w:tcBorders>
              <w:top w:val="single" w:sz="4" w:space="0" w:color="auto"/>
              <w:left w:val="single" w:sz="4" w:space="0" w:color="auto"/>
              <w:bottom w:val="single" w:sz="4" w:space="0" w:color="auto"/>
              <w:right w:val="single" w:sz="4" w:space="0" w:color="auto"/>
            </w:tcBorders>
            <w:vAlign w:val="center"/>
          </w:tcPr>
          <w:p w14:paraId="75CFF7F9" w14:textId="143B82E3" w:rsidR="00160687" w:rsidRPr="00197F21" w:rsidRDefault="00644232" w:rsidP="00160687">
            <w:pPr>
              <w:jc w:val="center"/>
              <w:rPr>
                <w:color w:val="000000" w:themeColor="text1"/>
                <w:sz w:val="22"/>
                <w:szCs w:val="22"/>
              </w:rPr>
            </w:pPr>
            <w:r w:rsidRPr="00197F21">
              <w:rPr>
                <w:color w:val="000000" w:themeColor="text1"/>
                <w:sz w:val="22"/>
                <w:szCs w:val="22"/>
              </w:rPr>
              <w:t xml:space="preserve">   </w:t>
            </w:r>
            <w:r w:rsidR="00160687" w:rsidRPr="00197F21">
              <w:rPr>
                <w:color w:val="000000" w:themeColor="text1"/>
                <w:sz w:val="22"/>
                <w:szCs w:val="22"/>
              </w:rPr>
              <w:t>1</w:t>
            </w:r>
            <w:r w:rsidR="006278ED">
              <w:rPr>
                <w:color w:val="000000" w:themeColor="text1"/>
                <w:sz w:val="22"/>
                <w:szCs w:val="22"/>
              </w:rPr>
              <w:t>6</w:t>
            </w:r>
          </w:p>
        </w:tc>
        <w:tc>
          <w:tcPr>
            <w:tcW w:w="1131" w:type="dxa"/>
            <w:tcBorders>
              <w:top w:val="single" w:sz="4" w:space="0" w:color="auto"/>
              <w:left w:val="single" w:sz="4" w:space="0" w:color="auto"/>
              <w:bottom w:val="single" w:sz="4" w:space="0" w:color="auto"/>
              <w:right w:val="single" w:sz="4" w:space="0" w:color="auto"/>
            </w:tcBorders>
            <w:vAlign w:val="center"/>
          </w:tcPr>
          <w:p w14:paraId="4668FF5F" w14:textId="330A7C34" w:rsidR="00160687" w:rsidRPr="00197F21" w:rsidRDefault="006278ED" w:rsidP="00160687">
            <w:pPr>
              <w:jc w:val="center"/>
              <w:rPr>
                <w:color w:val="000000" w:themeColor="text1"/>
                <w:sz w:val="22"/>
                <w:szCs w:val="22"/>
              </w:rPr>
            </w:pPr>
            <w:r>
              <w:rPr>
                <w:color w:val="000000" w:themeColor="text1"/>
                <w:sz w:val="22"/>
                <w:szCs w:val="22"/>
              </w:rPr>
              <w:t>4</w:t>
            </w:r>
          </w:p>
        </w:tc>
        <w:tc>
          <w:tcPr>
            <w:tcW w:w="1435" w:type="dxa"/>
            <w:tcBorders>
              <w:top w:val="single" w:sz="4" w:space="0" w:color="auto"/>
              <w:left w:val="single" w:sz="4" w:space="0" w:color="auto"/>
              <w:bottom w:val="single" w:sz="4" w:space="0" w:color="auto"/>
              <w:right w:val="single" w:sz="4" w:space="0" w:color="auto"/>
            </w:tcBorders>
            <w:vAlign w:val="center"/>
          </w:tcPr>
          <w:p w14:paraId="4519B95A" w14:textId="1392F2B5" w:rsidR="00160687" w:rsidRPr="00197F21" w:rsidRDefault="006278ED" w:rsidP="00160687">
            <w:pPr>
              <w:ind w:right="-138"/>
              <w:jc w:val="center"/>
              <w:rPr>
                <w:color w:val="000000" w:themeColor="text1"/>
                <w:sz w:val="22"/>
                <w:szCs w:val="22"/>
              </w:rPr>
            </w:pPr>
            <w:r>
              <w:rPr>
                <w:color w:val="000000" w:themeColor="text1"/>
                <w:sz w:val="22"/>
                <w:szCs w:val="22"/>
              </w:rPr>
              <w:t>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06E8835F" w14:textId="62AD9B90" w:rsidR="00160687" w:rsidRPr="00197F21" w:rsidRDefault="00644232" w:rsidP="00644232">
            <w:pPr>
              <w:ind w:right="-128"/>
              <w:jc w:val="center"/>
              <w:rPr>
                <w:b/>
                <w:bCs/>
                <w:color w:val="000000" w:themeColor="text1"/>
                <w:sz w:val="22"/>
                <w:szCs w:val="22"/>
              </w:rPr>
            </w:pPr>
            <w:r w:rsidRPr="00197F21">
              <w:rPr>
                <w:b/>
                <w:bCs/>
                <w:color w:val="000000" w:themeColor="text1"/>
                <w:sz w:val="22"/>
                <w:szCs w:val="22"/>
              </w:rPr>
              <w:t xml:space="preserve">  </w:t>
            </w:r>
            <w:r w:rsidR="00160687" w:rsidRPr="00197F21">
              <w:rPr>
                <w:b/>
                <w:bCs/>
                <w:color w:val="000000" w:themeColor="text1"/>
                <w:sz w:val="22"/>
                <w:szCs w:val="22"/>
              </w:rPr>
              <w:t>3</w:t>
            </w:r>
            <w:r w:rsidR="00A74E01">
              <w:rPr>
                <w:b/>
                <w:bCs/>
                <w:color w:val="000000" w:themeColor="text1"/>
                <w:sz w:val="22"/>
                <w:szCs w:val="22"/>
              </w:rPr>
              <w:t>0</w:t>
            </w:r>
          </w:p>
        </w:tc>
      </w:tr>
      <w:tr w:rsidR="00160687" w:rsidRPr="00197F21" w14:paraId="3619459F"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45AA2A5C"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Mochovce 1, 2</w:t>
            </w:r>
          </w:p>
        </w:tc>
        <w:tc>
          <w:tcPr>
            <w:tcW w:w="1131" w:type="dxa"/>
            <w:tcBorders>
              <w:top w:val="single" w:sz="4" w:space="0" w:color="auto"/>
              <w:left w:val="single" w:sz="4" w:space="0" w:color="auto"/>
              <w:bottom w:val="single" w:sz="4" w:space="0" w:color="auto"/>
              <w:right w:val="single" w:sz="4" w:space="0" w:color="auto"/>
            </w:tcBorders>
            <w:vAlign w:val="center"/>
          </w:tcPr>
          <w:p w14:paraId="2C27D72D" w14:textId="11291121" w:rsidR="00160687" w:rsidRPr="00197F21" w:rsidRDefault="00644232" w:rsidP="00644232">
            <w:pPr>
              <w:jc w:val="center"/>
              <w:rPr>
                <w:color w:val="000000" w:themeColor="text1"/>
                <w:sz w:val="22"/>
                <w:szCs w:val="22"/>
              </w:rPr>
            </w:pPr>
            <w:r w:rsidRPr="00197F21">
              <w:rPr>
                <w:color w:val="000000" w:themeColor="text1"/>
                <w:sz w:val="22"/>
                <w:szCs w:val="22"/>
              </w:rPr>
              <w:t xml:space="preserve"> </w:t>
            </w:r>
            <w:r w:rsidR="00160687" w:rsidRPr="00197F21">
              <w:rPr>
                <w:color w:val="000000" w:themeColor="text1"/>
                <w:sz w:val="22"/>
                <w:szCs w:val="22"/>
              </w:rPr>
              <w:t>1</w:t>
            </w:r>
            <w:r w:rsidR="006278ED">
              <w:rPr>
                <w:color w:val="000000" w:themeColor="text1"/>
                <w:sz w:val="22"/>
                <w:szCs w:val="22"/>
              </w:rPr>
              <w:t>1</w:t>
            </w:r>
          </w:p>
        </w:tc>
        <w:tc>
          <w:tcPr>
            <w:tcW w:w="1273" w:type="dxa"/>
            <w:tcBorders>
              <w:top w:val="single" w:sz="4" w:space="0" w:color="auto"/>
              <w:left w:val="single" w:sz="4" w:space="0" w:color="auto"/>
              <w:bottom w:val="single" w:sz="4" w:space="0" w:color="auto"/>
              <w:right w:val="single" w:sz="4" w:space="0" w:color="auto"/>
            </w:tcBorders>
            <w:vAlign w:val="center"/>
          </w:tcPr>
          <w:p w14:paraId="0F76A554" w14:textId="3CF79A57" w:rsidR="00160687" w:rsidRPr="00197F21" w:rsidRDefault="00644232" w:rsidP="00160687">
            <w:pPr>
              <w:jc w:val="center"/>
              <w:rPr>
                <w:color w:val="000000" w:themeColor="text1"/>
                <w:sz w:val="22"/>
                <w:szCs w:val="22"/>
              </w:rPr>
            </w:pPr>
            <w:r w:rsidRPr="00197F21">
              <w:rPr>
                <w:color w:val="000000" w:themeColor="text1"/>
                <w:sz w:val="22"/>
                <w:szCs w:val="22"/>
              </w:rPr>
              <w:t xml:space="preserve">   </w:t>
            </w:r>
            <w:r w:rsidR="00160687" w:rsidRPr="00197F21">
              <w:rPr>
                <w:color w:val="000000" w:themeColor="text1"/>
                <w:sz w:val="22"/>
                <w:szCs w:val="22"/>
              </w:rPr>
              <w:t>2</w:t>
            </w:r>
            <w:r w:rsidR="006278ED">
              <w:rPr>
                <w:color w:val="000000" w:themeColor="text1"/>
                <w:sz w:val="22"/>
                <w:szCs w:val="22"/>
              </w:rPr>
              <w:t>0</w:t>
            </w:r>
          </w:p>
        </w:tc>
        <w:tc>
          <w:tcPr>
            <w:tcW w:w="1131" w:type="dxa"/>
            <w:tcBorders>
              <w:top w:val="single" w:sz="4" w:space="0" w:color="auto"/>
              <w:left w:val="single" w:sz="4" w:space="0" w:color="auto"/>
              <w:bottom w:val="single" w:sz="4" w:space="0" w:color="auto"/>
              <w:right w:val="single" w:sz="4" w:space="0" w:color="auto"/>
            </w:tcBorders>
            <w:vAlign w:val="center"/>
          </w:tcPr>
          <w:p w14:paraId="55B14209" w14:textId="558E75B3" w:rsidR="00160687" w:rsidRPr="00197F21" w:rsidRDefault="006278ED" w:rsidP="00160687">
            <w:pPr>
              <w:jc w:val="center"/>
              <w:rPr>
                <w:color w:val="000000" w:themeColor="text1"/>
                <w:sz w:val="22"/>
                <w:szCs w:val="22"/>
              </w:rPr>
            </w:pPr>
            <w:r>
              <w:rPr>
                <w:color w:val="000000" w:themeColor="text1"/>
                <w:sz w:val="22"/>
                <w:szCs w:val="22"/>
              </w:rPr>
              <w:t>4</w:t>
            </w:r>
          </w:p>
        </w:tc>
        <w:tc>
          <w:tcPr>
            <w:tcW w:w="1435" w:type="dxa"/>
            <w:tcBorders>
              <w:top w:val="single" w:sz="4" w:space="0" w:color="auto"/>
              <w:left w:val="single" w:sz="4" w:space="0" w:color="auto"/>
              <w:bottom w:val="single" w:sz="4" w:space="0" w:color="auto"/>
              <w:right w:val="single" w:sz="4" w:space="0" w:color="auto"/>
            </w:tcBorders>
            <w:vAlign w:val="center"/>
          </w:tcPr>
          <w:p w14:paraId="0C3F27CB" w14:textId="499061A0" w:rsidR="00160687" w:rsidRPr="00197F21" w:rsidRDefault="006278ED" w:rsidP="00160687">
            <w:pPr>
              <w:ind w:right="-138"/>
              <w:jc w:val="center"/>
              <w:rPr>
                <w:color w:val="000000" w:themeColor="text1"/>
                <w:sz w:val="22"/>
                <w:szCs w:val="22"/>
              </w:rPr>
            </w:pPr>
            <w:r>
              <w:rPr>
                <w:color w:val="000000" w:themeColor="text1"/>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DE64606" w14:textId="0110BD6C" w:rsidR="00160687" w:rsidRPr="00197F21" w:rsidRDefault="00644232" w:rsidP="00644232">
            <w:pPr>
              <w:ind w:right="-128"/>
              <w:jc w:val="center"/>
              <w:rPr>
                <w:b/>
                <w:bCs/>
                <w:color w:val="000000" w:themeColor="text1"/>
                <w:sz w:val="22"/>
                <w:szCs w:val="22"/>
              </w:rPr>
            </w:pPr>
            <w:r w:rsidRPr="00197F21">
              <w:rPr>
                <w:b/>
                <w:bCs/>
                <w:color w:val="000000" w:themeColor="text1"/>
                <w:sz w:val="22"/>
                <w:szCs w:val="22"/>
              </w:rPr>
              <w:t xml:space="preserve">  </w:t>
            </w:r>
            <w:r w:rsidR="00160687" w:rsidRPr="00197F21">
              <w:rPr>
                <w:b/>
                <w:bCs/>
                <w:color w:val="000000" w:themeColor="text1"/>
                <w:sz w:val="22"/>
                <w:szCs w:val="22"/>
              </w:rPr>
              <w:t>3</w:t>
            </w:r>
            <w:r w:rsidR="006278ED">
              <w:rPr>
                <w:b/>
                <w:bCs/>
                <w:color w:val="000000" w:themeColor="text1"/>
                <w:sz w:val="22"/>
                <w:szCs w:val="22"/>
              </w:rPr>
              <w:t>5</w:t>
            </w:r>
          </w:p>
        </w:tc>
      </w:tr>
      <w:tr w:rsidR="00160687" w:rsidRPr="00197F21" w14:paraId="630CA74C"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0290BEE8"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JE Mochovce 3, 4</w:t>
            </w:r>
          </w:p>
        </w:tc>
        <w:tc>
          <w:tcPr>
            <w:tcW w:w="1131" w:type="dxa"/>
            <w:tcBorders>
              <w:top w:val="single" w:sz="4" w:space="0" w:color="auto"/>
              <w:left w:val="single" w:sz="4" w:space="0" w:color="auto"/>
              <w:bottom w:val="single" w:sz="4" w:space="0" w:color="auto"/>
              <w:right w:val="single" w:sz="4" w:space="0" w:color="auto"/>
            </w:tcBorders>
            <w:vAlign w:val="center"/>
          </w:tcPr>
          <w:p w14:paraId="05F86B1B" w14:textId="07BFDD31" w:rsidR="00160687" w:rsidRPr="00197F21" w:rsidRDefault="006278ED" w:rsidP="00644232">
            <w:pPr>
              <w:ind w:right="-158"/>
              <w:jc w:val="center"/>
              <w:rPr>
                <w:color w:val="000000" w:themeColor="text1"/>
                <w:sz w:val="22"/>
                <w:szCs w:val="22"/>
              </w:rPr>
            </w:pPr>
            <w:r>
              <w:rPr>
                <w:color w:val="000000" w:themeColor="text1"/>
                <w:sz w:val="22"/>
                <w:szCs w:val="22"/>
              </w:rPr>
              <w:t>1</w:t>
            </w:r>
          </w:p>
        </w:tc>
        <w:tc>
          <w:tcPr>
            <w:tcW w:w="1273" w:type="dxa"/>
            <w:tcBorders>
              <w:top w:val="single" w:sz="4" w:space="0" w:color="auto"/>
              <w:left w:val="single" w:sz="4" w:space="0" w:color="auto"/>
              <w:bottom w:val="single" w:sz="4" w:space="0" w:color="auto"/>
              <w:right w:val="single" w:sz="4" w:space="0" w:color="auto"/>
            </w:tcBorders>
            <w:vAlign w:val="center"/>
          </w:tcPr>
          <w:p w14:paraId="26318D5B" w14:textId="558C26FF" w:rsidR="00160687" w:rsidRPr="00197F21" w:rsidRDefault="006278ED" w:rsidP="00160687">
            <w:pPr>
              <w:ind w:right="-155"/>
              <w:jc w:val="center"/>
              <w:rPr>
                <w:color w:val="000000" w:themeColor="text1"/>
                <w:sz w:val="22"/>
                <w:szCs w:val="22"/>
              </w:rPr>
            </w:pPr>
            <w:r>
              <w:rPr>
                <w:color w:val="000000" w:themeColor="text1"/>
                <w:sz w:val="22"/>
                <w:szCs w:val="22"/>
              </w:rPr>
              <w:t>10</w:t>
            </w:r>
          </w:p>
        </w:tc>
        <w:tc>
          <w:tcPr>
            <w:tcW w:w="1131" w:type="dxa"/>
            <w:tcBorders>
              <w:top w:val="single" w:sz="4" w:space="0" w:color="auto"/>
              <w:left w:val="single" w:sz="4" w:space="0" w:color="auto"/>
              <w:bottom w:val="single" w:sz="4" w:space="0" w:color="auto"/>
              <w:right w:val="single" w:sz="4" w:space="0" w:color="auto"/>
            </w:tcBorders>
            <w:vAlign w:val="center"/>
          </w:tcPr>
          <w:p w14:paraId="56089C69" w14:textId="045CA128" w:rsidR="00160687" w:rsidRPr="00197F21" w:rsidRDefault="006278ED" w:rsidP="00160687">
            <w:pPr>
              <w:jc w:val="center"/>
              <w:rPr>
                <w:color w:val="000000" w:themeColor="text1"/>
                <w:sz w:val="22"/>
                <w:szCs w:val="22"/>
              </w:rPr>
            </w:pPr>
            <w:r>
              <w:rPr>
                <w:color w:val="000000" w:themeColor="text1"/>
                <w:sz w:val="22"/>
                <w:szCs w:val="22"/>
              </w:rPr>
              <w:t>1</w:t>
            </w:r>
          </w:p>
        </w:tc>
        <w:tc>
          <w:tcPr>
            <w:tcW w:w="1435" w:type="dxa"/>
            <w:tcBorders>
              <w:top w:val="single" w:sz="4" w:space="0" w:color="auto"/>
              <w:left w:val="single" w:sz="4" w:space="0" w:color="auto"/>
              <w:bottom w:val="single" w:sz="4" w:space="0" w:color="auto"/>
              <w:right w:val="single" w:sz="4" w:space="0" w:color="auto"/>
            </w:tcBorders>
            <w:vAlign w:val="center"/>
          </w:tcPr>
          <w:p w14:paraId="23655A3A" w14:textId="272B6D6C" w:rsidR="00160687" w:rsidRPr="00197F21" w:rsidRDefault="006278ED" w:rsidP="00160687">
            <w:pPr>
              <w:ind w:right="-138"/>
              <w:jc w:val="center"/>
              <w:rPr>
                <w:color w:val="000000" w:themeColor="text1"/>
                <w:sz w:val="22"/>
                <w:szCs w:val="22"/>
              </w:rPr>
            </w:pPr>
            <w:r>
              <w:rPr>
                <w:color w:val="000000" w:themeColor="text1"/>
                <w:sz w:val="22"/>
                <w:szCs w:val="22"/>
              </w:rPr>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0243186C" w14:textId="71756715" w:rsidR="00160687" w:rsidRPr="00197F21" w:rsidRDefault="00644232" w:rsidP="00644232">
            <w:pPr>
              <w:ind w:right="-128"/>
              <w:jc w:val="center"/>
              <w:rPr>
                <w:b/>
                <w:bCs/>
                <w:color w:val="000000" w:themeColor="text1"/>
                <w:sz w:val="22"/>
                <w:szCs w:val="22"/>
              </w:rPr>
            </w:pPr>
            <w:r w:rsidRPr="00197F21">
              <w:rPr>
                <w:b/>
                <w:bCs/>
                <w:color w:val="000000" w:themeColor="text1"/>
                <w:sz w:val="22"/>
                <w:szCs w:val="22"/>
              </w:rPr>
              <w:t xml:space="preserve">  </w:t>
            </w:r>
            <w:r w:rsidR="00160687" w:rsidRPr="00197F21">
              <w:rPr>
                <w:b/>
                <w:bCs/>
                <w:color w:val="000000" w:themeColor="text1"/>
                <w:sz w:val="22"/>
                <w:szCs w:val="22"/>
              </w:rPr>
              <w:t>1</w:t>
            </w:r>
            <w:r w:rsidR="006278ED">
              <w:rPr>
                <w:b/>
                <w:bCs/>
                <w:color w:val="000000" w:themeColor="text1"/>
                <w:sz w:val="22"/>
                <w:szCs w:val="22"/>
              </w:rPr>
              <w:t>5</w:t>
            </w:r>
          </w:p>
        </w:tc>
      </w:tr>
      <w:tr w:rsidR="00160687" w:rsidRPr="00197F21" w14:paraId="73A2BFB1"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777AF410"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JAVYS, a. s.</w:t>
            </w:r>
          </w:p>
        </w:tc>
        <w:tc>
          <w:tcPr>
            <w:tcW w:w="1131" w:type="dxa"/>
            <w:tcBorders>
              <w:top w:val="single" w:sz="4" w:space="0" w:color="auto"/>
              <w:left w:val="single" w:sz="4" w:space="0" w:color="auto"/>
              <w:bottom w:val="single" w:sz="4" w:space="0" w:color="auto"/>
              <w:right w:val="single" w:sz="4" w:space="0" w:color="auto"/>
            </w:tcBorders>
            <w:vAlign w:val="center"/>
          </w:tcPr>
          <w:p w14:paraId="42F1F868" w14:textId="0AEE6C89" w:rsidR="00160687" w:rsidRPr="00197F21" w:rsidRDefault="006278ED" w:rsidP="00644232">
            <w:pPr>
              <w:ind w:right="-158"/>
              <w:jc w:val="center"/>
              <w:rPr>
                <w:color w:val="000000" w:themeColor="text1"/>
                <w:sz w:val="22"/>
                <w:szCs w:val="22"/>
              </w:rPr>
            </w:pPr>
            <w:r>
              <w:rPr>
                <w:color w:val="000000" w:themeColor="text1"/>
                <w:sz w:val="22"/>
                <w:szCs w:val="22"/>
              </w:rPr>
              <w:t>3</w:t>
            </w:r>
          </w:p>
        </w:tc>
        <w:tc>
          <w:tcPr>
            <w:tcW w:w="1273" w:type="dxa"/>
            <w:tcBorders>
              <w:top w:val="single" w:sz="4" w:space="0" w:color="auto"/>
              <w:left w:val="single" w:sz="4" w:space="0" w:color="auto"/>
              <w:bottom w:val="single" w:sz="4" w:space="0" w:color="auto"/>
              <w:right w:val="single" w:sz="4" w:space="0" w:color="auto"/>
            </w:tcBorders>
            <w:vAlign w:val="center"/>
          </w:tcPr>
          <w:p w14:paraId="57D38B84" w14:textId="54E41A31" w:rsidR="00160687" w:rsidRPr="00197F21" w:rsidRDefault="00644232" w:rsidP="00160687">
            <w:pPr>
              <w:jc w:val="center"/>
              <w:rPr>
                <w:color w:val="000000" w:themeColor="text1"/>
                <w:sz w:val="22"/>
                <w:szCs w:val="22"/>
              </w:rPr>
            </w:pPr>
            <w:r w:rsidRPr="00197F21">
              <w:rPr>
                <w:color w:val="000000" w:themeColor="text1"/>
                <w:sz w:val="22"/>
                <w:szCs w:val="22"/>
              </w:rPr>
              <w:t xml:space="preserve">   </w:t>
            </w:r>
            <w:r w:rsidR="00160687" w:rsidRPr="00197F21">
              <w:rPr>
                <w:color w:val="000000" w:themeColor="text1"/>
                <w:sz w:val="22"/>
                <w:szCs w:val="22"/>
              </w:rPr>
              <w:t>2</w:t>
            </w:r>
            <w:r w:rsidR="006278ED">
              <w:rPr>
                <w:color w:val="000000" w:themeColor="text1"/>
                <w:sz w:val="22"/>
                <w:szCs w:val="22"/>
              </w:rPr>
              <w:t>0</w:t>
            </w:r>
          </w:p>
        </w:tc>
        <w:tc>
          <w:tcPr>
            <w:tcW w:w="1131" w:type="dxa"/>
            <w:tcBorders>
              <w:top w:val="single" w:sz="4" w:space="0" w:color="auto"/>
              <w:left w:val="single" w:sz="4" w:space="0" w:color="auto"/>
              <w:bottom w:val="single" w:sz="4" w:space="0" w:color="auto"/>
              <w:right w:val="single" w:sz="4" w:space="0" w:color="auto"/>
            </w:tcBorders>
            <w:vAlign w:val="center"/>
          </w:tcPr>
          <w:p w14:paraId="699C29B5" w14:textId="23C76953" w:rsidR="00160687" w:rsidRPr="00197F21" w:rsidRDefault="006278ED" w:rsidP="00160687">
            <w:pPr>
              <w:jc w:val="center"/>
              <w:rPr>
                <w:color w:val="000000" w:themeColor="text1"/>
                <w:sz w:val="22"/>
                <w:szCs w:val="22"/>
              </w:rPr>
            </w:pPr>
            <w:r>
              <w:rPr>
                <w:color w:val="000000" w:themeColor="text1"/>
                <w:sz w:val="22"/>
                <w:szCs w:val="22"/>
              </w:rPr>
              <w:t>8</w:t>
            </w:r>
          </w:p>
        </w:tc>
        <w:tc>
          <w:tcPr>
            <w:tcW w:w="1435" w:type="dxa"/>
            <w:tcBorders>
              <w:top w:val="single" w:sz="4" w:space="0" w:color="auto"/>
              <w:left w:val="single" w:sz="4" w:space="0" w:color="auto"/>
              <w:bottom w:val="single" w:sz="4" w:space="0" w:color="auto"/>
              <w:right w:val="single" w:sz="4" w:space="0" w:color="auto"/>
            </w:tcBorders>
            <w:vAlign w:val="center"/>
          </w:tcPr>
          <w:p w14:paraId="26F8EE08" w14:textId="657E1BDA" w:rsidR="00160687" w:rsidRPr="00197F21" w:rsidRDefault="006278ED" w:rsidP="00160687">
            <w:pPr>
              <w:ind w:right="-138"/>
              <w:jc w:val="center"/>
              <w:rPr>
                <w:color w:val="000000" w:themeColor="text1"/>
                <w:sz w:val="22"/>
                <w:szCs w:val="22"/>
              </w:rPr>
            </w:pPr>
            <w:r>
              <w:rPr>
                <w:color w:val="000000" w:themeColor="text1"/>
                <w:sz w:val="22"/>
                <w:szCs w:val="22"/>
              </w:rPr>
              <w:t>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36D06440" w14:textId="6FBE58C3" w:rsidR="00160687" w:rsidRPr="00197F21" w:rsidRDefault="00644232" w:rsidP="00644232">
            <w:pPr>
              <w:ind w:right="-128"/>
              <w:jc w:val="center"/>
              <w:rPr>
                <w:b/>
                <w:bCs/>
                <w:color w:val="000000" w:themeColor="text1"/>
                <w:sz w:val="22"/>
                <w:szCs w:val="22"/>
              </w:rPr>
            </w:pPr>
            <w:r w:rsidRPr="00197F21">
              <w:rPr>
                <w:b/>
                <w:bCs/>
                <w:color w:val="000000" w:themeColor="text1"/>
                <w:sz w:val="22"/>
                <w:szCs w:val="22"/>
              </w:rPr>
              <w:t xml:space="preserve">  </w:t>
            </w:r>
            <w:r w:rsidR="00160687" w:rsidRPr="00197F21">
              <w:rPr>
                <w:b/>
                <w:bCs/>
                <w:color w:val="000000" w:themeColor="text1"/>
                <w:sz w:val="22"/>
                <w:szCs w:val="22"/>
              </w:rPr>
              <w:t>3</w:t>
            </w:r>
            <w:r w:rsidR="006278ED">
              <w:rPr>
                <w:b/>
                <w:bCs/>
                <w:color w:val="000000" w:themeColor="text1"/>
                <w:sz w:val="22"/>
                <w:szCs w:val="22"/>
              </w:rPr>
              <w:t>3</w:t>
            </w:r>
          </w:p>
        </w:tc>
      </w:tr>
      <w:tr w:rsidR="00160687" w:rsidRPr="00197F21" w14:paraId="400054A4"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45A0DE57"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VUJE, a. s.</w:t>
            </w:r>
          </w:p>
        </w:tc>
        <w:tc>
          <w:tcPr>
            <w:tcW w:w="1131" w:type="dxa"/>
            <w:tcBorders>
              <w:top w:val="single" w:sz="4" w:space="0" w:color="auto"/>
              <w:left w:val="single" w:sz="4" w:space="0" w:color="auto"/>
              <w:bottom w:val="single" w:sz="4" w:space="0" w:color="auto"/>
              <w:right w:val="single" w:sz="4" w:space="0" w:color="auto"/>
            </w:tcBorders>
            <w:vAlign w:val="center"/>
          </w:tcPr>
          <w:p w14:paraId="477E7EF4" w14:textId="77777777" w:rsidR="00160687" w:rsidRPr="00197F21" w:rsidRDefault="00160687" w:rsidP="00644232">
            <w:pPr>
              <w:ind w:right="-158"/>
              <w:jc w:val="center"/>
              <w:rPr>
                <w:color w:val="000000" w:themeColor="text1"/>
                <w:sz w:val="22"/>
                <w:szCs w:val="22"/>
              </w:rPr>
            </w:pPr>
            <w:r w:rsidRPr="00197F21">
              <w:rPr>
                <w:color w:val="000000" w:themeColor="text1"/>
                <w:sz w:val="22"/>
                <w:szCs w:val="22"/>
              </w:rPr>
              <w:t>0</w:t>
            </w:r>
          </w:p>
        </w:tc>
        <w:tc>
          <w:tcPr>
            <w:tcW w:w="1273" w:type="dxa"/>
            <w:tcBorders>
              <w:top w:val="single" w:sz="4" w:space="0" w:color="auto"/>
              <w:left w:val="single" w:sz="4" w:space="0" w:color="auto"/>
              <w:bottom w:val="single" w:sz="4" w:space="0" w:color="auto"/>
              <w:right w:val="single" w:sz="4" w:space="0" w:color="auto"/>
            </w:tcBorders>
            <w:vAlign w:val="center"/>
          </w:tcPr>
          <w:p w14:paraId="5AD93E31" w14:textId="6422C6B9" w:rsidR="00160687" w:rsidRPr="00197F21" w:rsidRDefault="00644232" w:rsidP="00160687">
            <w:pPr>
              <w:ind w:right="-155"/>
              <w:jc w:val="center"/>
              <w:rPr>
                <w:color w:val="000000" w:themeColor="text1"/>
                <w:sz w:val="22"/>
                <w:szCs w:val="22"/>
              </w:rPr>
            </w:pPr>
            <w:r w:rsidRPr="00197F21">
              <w:rPr>
                <w:color w:val="000000" w:themeColor="text1"/>
                <w:sz w:val="22"/>
                <w:szCs w:val="22"/>
              </w:rPr>
              <w:t xml:space="preserve">  </w:t>
            </w:r>
            <w:r w:rsidR="006278ED">
              <w:rPr>
                <w:color w:val="000000" w:themeColor="text1"/>
                <w:sz w:val="22"/>
                <w:szCs w:val="22"/>
              </w:rPr>
              <w:t>3</w:t>
            </w:r>
          </w:p>
        </w:tc>
        <w:tc>
          <w:tcPr>
            <w:tcW w:w="1131" w:type="dxa"/>
            <w:tcBorders>
              <w:top w:val="single" w:sz="4" w:space="0" w:color="auto"/>
              <w:left w:val="single" w:sz="4" w:space="0" w:color="auto"/>
              <w:bottom w:val="single" w:sz="4" w:space="0" w:color="auto"/>
              <w:right w:val="single" w:sz="4" w:space="0" w:color="auto"/>
            </w:tcBorders>
            <w:vAlign w:val="center"/>
          </w:tcPr>
          <w:p w14:paraId="5B33B8B0" w14:textId="77777777" w:rsidR="00160687" w:rsidRPr="00197F21" w:rsidRDefault="00160687" w:rsidP="00160687">
            <w:pPr>
              <w:jc w:val="center"/>
              <w:rPr>
                <w:color w:val="000000" w:themeColor="text1"/>
                <w:sz w:val="22"/>
                <w:szCs w:val="22"/>
              </w:rPr>
            </w:pPr>
            <w:r w:rsidRPr="00197F21">
              <w:rPr>
                <w:color w:val="000000" w:themeColor="text1"/>
                <w:sz w:val="22"/>
                <w:szCs w:val="22"/>
              </w:rPr>
              <w:t>0</w:t>
            </w:r>
          </w:p>
        </w:tc>
        <w:tc>
          <w:tcPr>
            <w:tcW w:w="1435" w:type="dxa"/>
            <w:tcBorders>
              <w:top w:val="single" w:sz="4" w:space="0" w:color="auto"/>
              <w:left w:val="single" w:sz="4" w:space="0" w:color="auto"/>
              <w:bottom w:val="single" w:sz="4" w:space="0" w:color="auto"/>
              <w:right w:val="single" w:sz="4" w:space="0" w:color="auto"/>
            </w:tcBorders>
            <w:vAlign w:val="center"/>
          </w:tcPr>
          <w:p w14:paraId="6A411E70" w14:textId="77777777" w:rsidR="00160687" w:rsidRPr="00197F21" w:rsidRDefault="00160687" w:rsidP="00160687">
            <w:pPr>
              <w:ind w:right="-138"/>
              <w:jc w:val="center"/>
              <w:rPr>
                <w:color w:val="000000" w:themeColor="text1"/>
                <w:sz w:val="22"/>
                <w:szCs w:val="22"/>
              </w:rPr>
            </w:pPr>
            <w:r w:rsidRPr="00197F21">
              <w:rPr>
                <w:color w:val="000000" w:themeColor="text1"/>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5F399B1B" w14:textId="2857AF67" w:rsidR="00160687" w:rsidRPr="00197F21" w:rsidRDefault="00644232" w:rsidP="00644232">
            <w:pPr>
              <w:ind w:right="-270"/>
              <w:jc w:val="center"/>
              <w:rPr>
                <w:b/>
                <w:bCs/>
                <w:color w:val="000000" w:themeColor="text1"/>
                <w:sz w:val="22"/>
                <w:szCs w:val="22"/>
              </w:rPr>
            </w:pPr>
            <w:r w:rsidRPr="00197F21">
              <w:rPr>
                <w:b/>
                <w:bCs/>
                <w:color w:val="000000" w:themeColor="text1"/>
                <w:sz w:val="22"/>
                <w:szCs w:val="22"/>
              </w:rPr>
              <w:t xml:space="preserve">  </w:t>
            </w:r>
            <w:r w:rsidR="006278ED">
              <w:rPr>
                <w:b/>
                <w:bCs/>
                <w:color w:val="000000" w:themeColor="text1"/>
                <w:sz w:val="22"/>
                <w:szCs w:val="22"/>
              </w:rPr>
              <w:t>3</w:t>
            </w:r>
          </w:p>
        </w:tc>
      </w:tr>
      <w:tr w:rsidR="00160687" w:rsidRPr="00197F21" w14:paraId="22E8DAEB"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67BBFEC1" w14:textId="2B45DA40" w:rsidR="00160687" w:rsidRPr="00E826C3" w:rsidRDefault="00160687" w:rsidP="00722CD6">
            <w:pPr>
              <w:tabs>
                <w:tab w:val="left" w:pos="-720"/>
                <w:tab w:val="left" w:pos="435"/>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preprava JM a</w:t>
            </w:r>
            <w:r w:rsidR="00824221" w:rsidRPr="00E826C3">
              <w:rPr>
                <w:bCs/>
                <w:color w:val="000000" w:themeColor="text1"/>
                <w:sz w:val="22"/>
                <w:szCs w:val="22"/>
              </w:rPr>
              <w:t> </w:t>
            </w:r>
            <w:r w:rsidRPr="00E826C3">
              <w:rPr>
                <w:bCs/>
                <w:color w:val="000000" w:themeColor="text1"/>
                <w:sz w:val="22"/>
                <w:szCs w:val="22"/>
              </w:rPr>
              <w:t>RAO</w:t>
            </w:r>
          </w:p>
        </w:tc>
        <w:tc>
          <w:tcPr>
            <w:tcW w:w="1131" w:type="dxa"/>
            <w:tcBorders>
              <w:top w:val="single" w:sz="4" w:space="0" w:color="auto"/>
              <w:left w:val="single" w:sz="4" w:space="0" w:color="auto"/>
              <w:bottom w:val="single" w:sz="4" w:space="0" w:color="auto"/>
              <w:right w:val="single" w:sz="4" w:space="0" w:color="auto"/>
            </w:tcBorders>
            <w:vAlign w:val="center"/>
          </w:tcPr>
          <w:p w14:paraId="32291086" w14:textId="77777777" w:rsidR="00160687" w:rsidRPr="00197F21" w:rsidRDefault="00160687" w:rsidP="00644232">
            <w:pPr>
              <w:ind w:right="-158"/>
              <w:jc w:val="center"/>
              <w:rPr>
                <w:color w:val="000000" w:themeColor="text1"/>
                <w:sz w:val="22"/>
                <w:szCs w:val="22"/>
              </w:rPr>
            </w:pPr>
            <w:r w:rsidRPr="00197F21">
              <w:rPr>
                <w:color w:val="000000" w:themeColor="text1"/>
                <w:sz w:val="22"/>
                <w:szCs w:val="22"/>
              </w:rPr>
              <w:t>0</w:t>
            </w:r>
          </w:p>
        </w:tc>
        <w:tc>
          <w:tcPr>
            <w:tcW w:w="1273" w:type="dxa"/>
            <w:tcBorders>
              <w:top w:val="single" w:sz="4" w:space="0" w:color="auto"/>
              <w:left w:val="single" w:sz="4" w:space="0" w:color="auto"/>
              <w:bottom w:val="single" w:sz="4" w:space="0" w:color="auto"/>
              <w:right w:val="single" w:sz="4" w:space="0" w:color="auto"/>
            </w:tcBorders>
            <w:vAlign w:val="center"/>
          </w:tcPr>
          <w:p w14:paraId="6C6BB96C" w14:textId="1B382FBD" w:rsidR="00160687" w:rsidRPr="00197F21" w:rsidRDefault="00E3759F" w:rsidP="00160687">
            <w:pPr>
              <w:ind w:right="-155"/>
              <w:jc w:val="center"/>
              <w:rPr>
                <w:color w:val="000000" w:themeColor="text1"/>
                <w:sz w:val="22"/>
                <w:szCs w:val="22"/>
              </w:rPr>
            </w:pPr>
            <w:r>
              <w:rPr>
                <w:color w:val="000000" w:themeColor="text1"/>
                <w:sz w:val="22"/>
                <w:szCs w:val="22"/>
              </w:rPr>
              <w:t xml:space="preserve">  </w:t>
            </w:r>
            <w:r w:rsidR="006278ED">
              <w:rPr>
                <w:color w:val="000000" w:themeColor="text1"/>
                <w:sz w:val="22"/>
                <w:szCs w:val="22"/>
              </w:rPr>
              <w:t>9</w:t>
            </w:r>
          </w:p>
        </w:tc>
        <w:tc>
          <w:tcPr>
            <w:tcW w:w="1131" w:type="dxa"/>
            <w:tcBorders>
              <w:top w:val="single" w:sz="4" w:space="0" w:color="auto"/>
              <w:left w:val="single" w:sz="4" w:space="0" w:color="auto"/>
              <w:bottom w:val="single" w:sz="4" w:space="0" w:color="auto"/>
              <w:right w:val="single" w:sz="4" w:space="0" w:color="auto"/>
            </w:tcBorders>
            <w:vAlign w:val="center"/>
          </w:tcPr>
          <w:p w14:paraId="7BB54EC7" w14:textId="77777777" w:rsidR="00160687" w:rsidRPr="00197F21" w:rsidRDefault="00160687" w:rsidP="00160687">
            <w:pPr>
              <w:jc w:val="center"/>
              <w:rPr>
                <w:color w:val="000000" w:themeColor="text1"/>
                <w:sz w:val="22"/>
                <w:szCs w:val="22"/>
              </w:rPr>
            </w:pPr>
            <w:r w:rsidRPr="00197F21">
              <w:rPr>
                <w:color w:val="000000" w:themeColor="text1"/>
                <w:sz w:val="22"/>
                <w:szCs w:val="22"/>
              </w:rPr>
              <w:t>0</w:t>
            </w:r>
          </w:p>
        </w:tc>
        <w:tc>
          <w:tcPr>
            <w:tcW w:w="1435" w:type="dxa"/>
            <w:tcBorders>
              <w:top w:val="single" w:sz="4" w:space="0" w:color="auto"/>
              <w:left w:val="single" w:sz="4" w:space="0" w:color="auto"/>
              <w:bottom w:val="single" w:sz="4" w:space="0" w:color="auto"/>
              <w:right w:val="single" w:sz="4" w:space="0" w:color="auto"/>
            </w:tcBorders>
            <w:vAlign w:val="center"/>
          </w:tcPr>
          <w:p w14:paraId="759C33E2" w14:textId="2D24D97A" w:rsidR="00160687" w:rsidRPr="00197F21" w:rsidRDefault="006278ED" w:rsidP="00160687">
            <w:pPr>
              <w:ind w:right="-138"/>
              <w:jc w:val="center"/>
              <w:rPr>
                <w:color w:val="000000" w:themeColor="text1"/>
                <w:sz w:val="22"/>
                <w:szCs w:val="22"/>
              </w:rPr>
            </w:pPr>
            <w:r>
              <w:rPr>
                <w:color w:val="000000" w:themeColor="text1"/>
                <w:sz w:val="22"/>
                <w:szCs w:val="22"/>
              </w:rPr>
              <w:t>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047F4E3B" w14:textId="20B4A7DC" w:rsidR="00160687" w:rsidRPr="00197F21" w:rsidRDefault="00160687" w:rsidP="00644232">
            <w:pPr>
              <w:ind w:right="-270"/>
              <w:jc w:val="center"/>
              <w:rPr>
                <w:b/>
                <w:bCs/>
                <w:color w:val="000000" w:themeColor="text1"/>
                <w:sz w:val="22"/>
                <w:szCs w:val="22"/>
              </w:rPr>
            </w:pPr>
            <w:r w:rsidRPr="00197F21">
              <w:rPr>
                <w:b/>
                <w:bCs/>
                <w:color w:val="000000" w:themeColor="text1"/>
                <w:sz w:val="22"/>
                <w:szCs w:val="22"/>
              </w:rPr>
              <w:t>1</w:t>
            </w:r>
            <w:r w:rsidR="006278ED">
              <w:rPr>
                <w:b/>
                <w:bCs/>
                <w:color w:val="000000" w:themeColor="text1"/>
                <w:sz w:val="22"/>
                <w:szCs w:val="22"/>
              </w:rPr>
              <w:t>8</w:t>
            </w:r>
          </w:p>
        </w:tc>
      </w:tr>
      <w:tr w:rsidR="00160687" w:rsidRPr="00197F21" w14:paraId="650C7DAB"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5A2326A9"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kontrola a evidencia JM</w:t>
            </w:r>
          </w:p>
        </w:tc>
        <w:tc>
          <w:tcPr>
            <w:tcW w:w="1131" w:type="dxa"/>
            <w:tcBorders>
              <w:top w:val="single" w:sz="4" w:space="0" w:color="auto"/>
              <w:left w:val="single" w:sz="4" w:space="0" w:color="auto"/>
              <w:bottom w:val="single" w:sz="4" w:space="0" w:color="auto"/>
              <w:right w:val="single" w:sz="4" w:space="0" w:color="auto"/>
            </w:tcBorders>
            <w:vAlign w:val="center"/>
          </w:tcPr>
          <w:p w14:paraId="118F1191" w14:textId="77777777" w:rsidR="00160687" w:rsidRPr="00197F21" w:rsidRDefault="00160687" w:rsidP="00644232">
            <w:pPr>
              <w:ind w:right="-158"/>
              <w:jc w:val="center"/>
              <w:rPr>
                <w:color w:val="000000" w:themeColor="text1"/>
                <w:sz w:val="22"/>
                <w:szCs w:val="22"/>
              </w:rPr>
            </w:pPr>
            <w:r w:rsidRPr="00197F21">
              <w:rPr>
                <w:color w:val="000000" w:themeColor="text1"/>
                <w:sz w:val="22"/>
                <w:szCs w:val="22"/>
              </w:rPr>
              <w:t>0</w:t>
            </w:r>
          </w:p>
        </w:tc>
        <w:tc>
          <w:tcPr>
            <w:tcW w:w="1273" w:type="dxa"/>
            <w:tcBorders>
              <w:top w:val="single" w:sz="4" w:space="0" w:color="auto"/>
              <w:left w:val="single" w:sz="4" w:space="0" w:color="auto"/>
              <w:bottom w:val="single" w:sz="4" w:space="0" w:color="auto"/>
              <w:right w:val="single" w:sz="4" w:space="0" w:color="auto"/>
            </w:tcBorders>
            <w:vAlign w:val="center"/>
          </w:tcPr>
          <w:p w14:paraId="38A197EE" w14:textId="1C8076D4" w:rsidR="00160687" w:rsidRPr="00197F21" w:rsidRDefault="00160687" w:rsidP="00160687">
            <w:pPr>
              <w:jc w:val="center"/>
              <w:rPr>
                <w:color w:val="000000" w:themeColor="text1"/>
                <w:sz w:val="22"/>
                <w:szCs w:val="22"/>
              </w:rPr>
            </w:pPr>
            <w:r w:rsidRPr="00197F21">
              <w:rPr>
                <w:color w:val="000000" w:themeColor="text1"/>
                <w:sz w:val="22"/>
                <w:szCs w:val="22"/>
              </w:rPr>
              <w:t xml:space="preserve">   2</w:t>
            </w:r>
            <w:r w:rsidR="006278ED">
              <w:rPr>
                <w:color w:val="000000" w:themeColor="text1"/>
                <w:sz w:val="22"/>
                <w:szCs w:val="22"/>
              </w:rPr>
              <w:t>9</w:t>
            </w:r>
          </w:p>
        </w:tc>
        <w:tc>
          <w:tcPr>
            <w:tcW w:w="1131" w:type="dxa"/>
            <w:tcBorders>
              <w:top w:val="single" w:sz="4" w:space="0" w:color="auto"/>
              <w:left w:val="single" w:sz="4" w:space="0" w:color="auto"/>
              <w:bottom w:val="single" w:sz="4" w:space="0" w:color="auto"/>
              <w:right w:val="single" w:sz="4" w:space="0" w:color="auto"/>
            </w:tcBorders>
            <w:vAlign w:val="center"/>
          </w:tcPr>
          <w:p w14:paraId="2A4E5E67" w14:textId="77777777" w:rsidR="00160687" w:rsidRPr="00197F21" w:rsidRDefault="00160687" w:rsidP="00160687">
            <w:pPr>
              <w:jc w:val="center"/>
              <w:rPr>
                <w:color w:val="000000" w:themeColor="text1"/>
                <w:sz w:val="22"/>
                <w:szCs w:val="22"/>
              </w:rPr>
            </w:pPr>
            <w:r w:rsidRPr="00197F21">
              <w:rPr>
                <w:color w:val="000000" w:themeColor="text1"/>
                <w:sz w:val="22"/>
                <w:szCs w:val="22"/>
              </w:rPr>
              <w:t>0</w:t>
            </w:r>
          </w:p>
        </w:tc>
        <w:tc>
          <w:tcPr>
            <w:tcW w:w="1435" w:type="dxa"/>
            <w:tcBorders>
              <w:top w:val="single" w:sz="4" w:space="0" w:color="auto"/>
              <w:left w:val="single" w:sz="4" w:space="0" w:color="auto"/>
              <w:bottom w:val="single" w:sz="4" w:space="0" w:color="auto"/>
              <w:right w:val="single" w:sz="4" w:space="0" w:color="auto"/>
            </w:tcBorders>
            <w:vAlign w:val="center"/>
          </w:tcPr>
          <w:p w14:paraId="1B886033" w14:textId="1CB7E970" w:rsidR="00160687" w:rsidRPr="00197F21" w:rsidRDefault="00160687" w:rsidP="00160687">
            <w:pPr>
              <w:jc w:val="center"/>
              <w:rPr>
                <w:color w:val="000000" w:themeColor="text1"/>
                <w:sz w:val="22"/>
                <w:szCs w:val="22"/>
              </w:rPr>
            </w:pPr>
            <w:r w:rsidRPr="00197F21">
              <w:rPr>
                <w:color w:val="000000" w:themeColor="text1"/>
                <w:sz w:val="22"/>
                <w:szCs w:val="22"/>
              </w:rPr>
              <w:t>1</w:t>
            </w:r>
            <w:r w:rsidR="006278ED">
              <w:rPr>
                <w:color w:val="000000" w:themeColor="text1"/>
                <w:sz w:val="22"/>
                <w:szCs w:val="22"/>
              </w:rPr>
              <w:t>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59DF42A4" w14:textId="690C0F27" w:rsidR="00160687" w:rsidRPr="00197F21" w:rsidRDefault="00644232" w:rsidP="00644232">
            <w:pPr>
              <w:ind w:right="-128"/>
              <w:jc w:val="center"/>
              <w:rPr>
                <w:b/>
                <w:bCs/>
                <w:color w:val="000000" w:themeColor="text1"/>
                <w:sz w:val="22"/>
                <w:szCs w:val="22"/>
              </w:rPr>
            </w:pPr>
            <w:r w:rsidRPr="00197F21">
              <w:rPr>
                <w:b/>
                <w:bCs/>
                <w:color w:val="000000" w:themeColor="text1"/>
                <w:sz w:val="22"/>
                <w:szCs w:val="22"/>
              </w:rPr>
              <w:t xml:space="preserve">  </w:t>
            </w:r>
            <w:r w:rsidR="00160687" w:rsidRPr="00197F21">
              <w:rPr>
                <w:b/>
                <w:bCs/>
                <w:color w:val="000000" w:themeColor="text1"/>
                <w:sz w:val="22"/>
                <w:szCs w:val="22"/>
              </w:rPr>
              <w:t>4</w:t>
            </w:r>
            <w:r w:rsidR="006278ED">
              <w:rPr>
                <w:b/>
                <w:bCs/>
                <w:color w:val="000000" w:themeColor="text1"/>
                <w:sz w:val="22"/>
                <w:szCs w:val="22"/>
              </w:rPr>
              <w:t>6</w:t>
            </w:r>
          </w:p>
        </w:tc>
      </w:tr>
      <w:tr w:rsidR="00160687" w:rsidRPr="00197F21" w14:paraId="65912C4A"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tcPr>
          <w:p w14:paraId="2B3DFF22" w14:textId="77777777" w:rsidR="00160687" w:rsidRPr="00E826C3" w:rsidRDefault="00160687" w:rsidP="00160687">
            <w:pPr>
              <w:tabs>
                <w:tab w:val="left" w:pos="-720"/>
                <w:tab w:val="left" w:pos="2713"/>
                <w:tab w:val="left" w:pos="6866"/>
              </w:tabs>
              <w:autoSpaceDE w:val="0"/>
              <w:autoSpaceDN w:val="0"/>
              <w:adjustRightInd w:val="0"/>
              <w:rPr>
                <w:bCs/>
                <w:color w:val="000000" w:themeColor="text1"/>
                <w:sz w:val="22"/>
                <w:szCs w:val="22"/>
              </w:rPr>
            </w:pPr>
            <w:r w:rsidRPr="00E826C3">
              <w:rPr>
                <w:bCs/>
                <w:color w:val="000000" w:themeColor="text1"/>
                <w:sz w:val="22"/>
                <w:szCs w:val="22"/>
              </w:rPr>
              <w:t>ostatné inšpekcie</w:t>
            </w:r>
          </w:p>
        </w:tc>
        <w:tc>
          <w:tcPr>
            <w:tcW w:w="1131" w:type="dxa"/>
            <w:tcBorders>
              <w:top w:val="single" w:sz="4" w:space="0" w:color="auto"/>
              <w:left w:val="single" w:sz="4" w:space="0" w:color="auto"/>
              <w:bottom w:val="single" w:sz="4" w:space="0" w:color="auto"/>
              <w:right w:val="single" w:sz="4" w:space="0" w:color="auto"/>
            </w:tcBorders>
            <w:vAlign w:val="center"/>
          </w:tcPr>
          <w:p w14:paraId="0471986B" w14:textId="1543AD44" w:rsidR="00160687" w:rsidRPr="00197F21" w:rsidRDefault="006278ED" w:rsidP="00644232">
            <w:pPr>
              <w:ind w:right="-158"/>
              <w:jc w:val="center"/>
              <w:rPr>
                <w:color w:val="000000" w:themeColor="text1"/>
                <w:sz w:val="22"/>
                <w:szCs w:val="22"/>
              </w:rPr>
            </w:pPr>
            <w:r>
              <w:rPr>
                <w:color w:val="000000" w:themeColor="text1"/>
                <w:sz w:val="22"/>
                <w:szCs w:val="22"/>
              </w:rPr>
              <w:t>0</w:t>
            </w:r>
          </w:p>
        </w:tc>
        <w:tc>
          <w:tcPr>
            <w:tcW w:w="1273" w:type="dxa"/>
            <w:tcBorders>
              <w:top w:val="single" w:sz="4" w:space="0" w:color="auto"/>
              <w:left w:val="single" w:sz="4" w:space="0" w:color="auto"/>
              <w:bottom w:val="single" w:sz="4" w:space="0" w:color="auto"/>
              <w:right w:val="single" w:sz="4" w:space="0" w:color="auto"/>
            </w:tcBorders>
            <w:vAlign w:val="center"/>
          </w:tcPr>
          <w:p w14:paraId="14F0E4EA" w14:textId="5756C2D5" w:rsidR="00160687" w:rsidRPr="00197F21" w:rsidRDefault="00644232" w:rsidP="00160687">
            <w:pPr>
              <w:ind w:right="-155"/>
              <w:jc w:val="center"/>
              <w:rPr>
                <w:color w:val="000000" w:themeColor="text1"/>
                <w:sz w:val="22"/>
                <w:szCs w:val="22"/>
              </w:rPr>
            </w:pPr>
            <w:r w:rsidRPr="00197F21">
              <w:rPr>
                <w:color w:val="000000" w:themeColor="text1"/>
                <w:sz w:val="22"/>
                <w:szCs w:val="22"/>
              </w:rPr>
              <w:t xml:space="preserve">  </w:t>
            </w:r>
            <w:r w:rsidR="006278ED">
              <w:rPr>
                <w:color w:val="000000" w:themeColor="text1"/>
                <w:sz w:val="22"/>
                <w:szCs w:val="22"/>
              </w:rPr>
              <w:t>3</w:t>
            </w:r>
          </w:p>
        </w:tc>
        <w:tc>
          <w:tcPr>
            <w:tcW w:w="1131" w:type="dxa"/>
            <w:tcBorders>
              <w:top w:val="single" w:sz="4" w:space="0" w:color="auto"/>
              <w:left w:val="single" w:sz="4" w:space="0" w:color="auto"/>
              <w:bottom w:val="single" w:sz="4" w:space="0" w:color="auto"/>
              <w:right w:val="single" w:sz="4" w:space="0" w:color="auto"/>
            </w:tcBorders>
            <w:vAlign w:val="center"/>
          </w:tcPr>
          <w:p w14:paraId="788AA6A4" w14:textId="77777777" w:rsidR="00160687" w:rsidRPr="00197F21" w:rsidRDefault="00160687" w:rsidP="00160687">
            <w:pPr>
              <w:jc w:val="center"/>
              <w:rPr>
                <w:color w:val="000000" w:themeColor="text1"/>
                <w:sz w:val="22"/>
                <w:szCs w:val="22"/>
              </w:rPr>
            </w:pPr>
            <w:r w:rsidRPr="00197F21">
              <w:rPr>
                <w:color w:val="000000" w:themeColor="text1"/>
                <w:sz w:val="22"/>
                <w:szCs w:val="22"/>
              </w:rPr>
              <w:t>0</w:t>
            </w:r>
          </w:p>
        </w:tc>
        <w:tc>
          <w:tcPr>
            <w:tcW w:w="1435" w:type="dxa"/>
            <w:tcBorders>
              <w:top w:val="single" w:sz="4" w:space="0" w:color="auto"/>
              <w:left w:val="single" w:sz="4" w:space="0" w:color="auto"/>
              <w:bottom w:val="single" w:sz="4" w:space="0" w:color="auto"/>
              <w:right w:val="single" w:sz="4" w:space="0" w:color="auto"/>
            </w:tcBorders>
            <w:vAlign w:val="center"/>
          </w:tcPr>
          <w:p w14:paraId="7A27E646" w14:textId="01E67F8D" w:rsidR="00160687" w:rsidRPr="00197F21" w:rsidRDefault="006278ED" w:rsidP="00160687">
            <w:pPr>
              <w:ind w:left="-135" w:right="-138" w:firstLine="135"/>
              <w:jc w:val="center"/>
              <w:rPr>
                <w:color w:val="000000" w:themeColor="text1"/>
                <w:sz w:val="22"/>
                <w:szCs w:val="22"/>
              </w:rPr>
            </w:pPr>
            <w:r>
              <w:rPr>
                <w:color w:val="000000" w:themeColor="text1"/>
                <w:sz w:val="22"/>
                <w:szCs w:val="22"/>
              </w:rPr>
              <w:t>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7B9FFA4" w14:textId="4FC7CA99" w:rsidR="00160687" w:rsidRPr="00197F21" w:rsidRDefault="00644232" w:rsidP="00644232">
            <w:pPr>
              <w:tabs>
                <w:tab w:val="left" w:pos="420"/>
                <w:tab w:val="left" w:pos="705"/>
                <w:tab w:val="left" w:pos="847"/>
              </w:tabs>
              <w:ind w:right="-270"/>
              <w:jc w:val="center"/>
              <w:rPr>
                <w:b/>
                <w:bCs/>
                <w:color w:val="000000" w:themeColor="text1"/>
                <w:sz w:val="22"/>
                <w:szCs w:val="22"/>
              </w:rPr>
            </w:pPr>
            <w:r w:rsidRPr="00197F21">
              <w:rPr>
                <w:b/>
                <w:bCs/>
                <w:color w:val="000000" w:themeColor="text1"/>
                <w:sz w:val="22"/>
                <w:szCs w:val="22"/>
              </w:rPr>
              <w:t xml:space="preserve">  </w:t>
            </w:r>
            <w:r w:rsidR="006278ED">
              <w:rPr>
                <w:b/>
                <w:bCs/>
                <w:color w:val="000000" w:themeColor="text1"/>
                <w:sz w:val="22"/>
                <w:szCs w:val="22"/>
              </w:rPr>
              <w:t>5</w:t>
            </w:r>
          </w:p>
        </w:tc>
      </w:tr>
      <w:tr w:rsidR="00160687" w:rsidRPr="00197F21" w14:paraId="4C753C9E" w14:textId="77777777" w:rsidTr="00BA6AF3">
        <w:trPr>
          <w:trHeight w:val="296"/>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0D5CFA70" w14:textId="77777777" w:rsidR="00160687" w:rsidRPr="00197F21" w:rsidRDefault="00160687" w:rsidP="00F81E64">
            <w:pPr>
              <w:tabs>
                <w:tab w:val="left" w:pos="-720"/>
                <w:tab w:val="left" w:pos="2713"/>
                <w:tab w:val="left" w:pos="6866"/>
              </w:tabs>
              <w:autoSpaceDE w:val="0"/>
              <w:autoSpaceDN w:val="0"/>
              <w:adjustRightInd w:val="0"/>
              <w:rPr>
                <w:b/>
                <w:color w:val="000000" w:themeColor="text1"/>
                <w:sz w:val="22"/>
                <w:szCs w:val="22"/>
              </w:rPr>
            </w:pPr>
            <w:r w:rsidRPr="00197F21">
              <w:rPr>
                <w:b/>
                <w:color w:val="000000" w:themeColor="text1"/>
                <w:sz w:val="22"/>
                <w:szCs w:val="22"/>
              </w:rPr>
              <w:t>Spolu</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3004F36" w14:textId="7E2BA43E" w:rsidR="00160687" w:rsidRPr="00197F21" w:rsidRDefault="006278ED" w:rsidP="00644232">
            <w:pPr>
              <w:ind w:right="-16"/>
              <w:jc w:val="center"/>
              <w:rPr>
                <w:b/>
                <w:bCs/>
                <w:color w:val="000000" w:themeColor="text1"/>
                <w:sz w:val="22"/>
                <w:szCs w:val="22"/>
              </w:rPr>
            </w:pPr>
            <w:r>
              <w:rPr>
                <w:b/>
                <w:bCs/>
                <w:color w:val="000000" w:themeColor="text1"/>
                <w:sz w:val="22"/>
                <w:szCs w:val="22"/>
              </w:rPr>
              <w:t>2</w:t>
            </w:r>
            <w:r w:rsidR="00A74E01">
              <w:rPr>
                <w:b/>
                <w:bCs/>
                <w:color w:val="000000" w:themeColor="text1"/>
                <w:sz w:val="22"/>
                <w:szCs w:val="22"/>
              </w:rPr>
              <w:t>4</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DEBB11E" w14:textId="7D371814" w:rsidR="00160687" w:rsidRPr="00197F21" w:rsidRDefault="00160687" w:rsidP="00160687">
            <w:pPr>
              <w:jc w:val="center"/>
              <w:rPr>
                <w:b/>
                <w:bCs/>
                <w:color w:val="000000" w:themeColor="text1"/>
                <w:sz w:val="22"/>
                <w:szCs w:val="22"/>
              </w:rPr>
            </w:pPr>
            <w:r w:rsidRPr="00197F21">
              <w:rPr>
                <w:b/>
                <w:bCs/>
                <w:color w:val="000000" w:themeColor="text1"/>
                <w:sz w:val="22"/>
                <w:szCs w:val="22"/>
              </w:rPr>
              <w:t>1</w:t>
            </w:r>
            <w:r w:rsidR="006278ED">
              <w:rPr>
                <w:b/>
                <w:bCs/>
                <w:color w:val="000000" w:themeColor="text1"/>
                <w:sz w:val="22"/>
                <w:szCs w:val="22"/>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5F6B852" w14:textId="2E01E85E" w:rsidR="00160687" w:rsidRPr="00197F21" w:rsidRDefault="006278ED" w:rsidP="00160687">
            <w:pPr>
              <w:jc w:val="center"/>
              <w:rPr>
                <w:b/>
                <w:bCs/>
                <w:color w:val="000000" w:themeColor="text1"/>
                <w:sz w:val="22"/>
                <w:szCs w:val="22"/>
              </w:rPr>
            </w:pPr>
            <w:r>
              <w:rPr>
                <w:b/>
                <w:bCs/>
                <w:color w:val="000000" w:themeColor="text1"/>
                <w:sz w:val="22"/>
                <w:szCs w:val="22"/>
              </w:rPr>
              <w:t>17</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509F555" w14:textId="67139AC9" w:rsidR="00160687" w:rsidRPr="00197F21" w:rsidRDefault="006278ED" w:rsidP="00160687">
            <w:pPr>
              <w:jc w:val="center"/>
              <w:rPr>
                <w:b/>
                <w:bCs/>
                <w:color w:val="000000" w:themeColor="text1"/>
                <w:sz w:val="22"/>
                <w:szCs w:val="22"/>
              </w:rPr>
            </w:pPr>
            <w:r>
              <w:rPr>
                <w:b/>
                <w:bCs/>
                <w:color w:val="000000" w:themeColor="text1"/>
                <w:sz w:val="22"/>
                <w:szCs w:val="22"/>
              </w:rPr>
              <w:t>3</w:t>
            </w:r>
            <w:r w:rsidR="00160687" w:rsidRPr="00197F21">
              <w:rPr>
                <w:b/>
                <w:bCs/>
                <w:color w:val="000000" w:themeColor="text1"/>
                <w:sz w:val="22"/>
                <w:szCs w:val="22"/>
              </w:rPr>
              <w:t>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1A15AC07" w14:textId="66478F4C" w:rsidR="00160687" w:rsidRPr="00E3759F" w:rsidRDefault="00644232" w:rsidP="00160687">
            <w:pPr>
              <w:jc w:val="center"/>
              <w:rPr>
                <w:rStyle w:val="apple-converted-space"/>
              </w:rPr>
            </w:pPr>
            <w:r w:rsidRPr="00197F21">
              <w:rPr>
                <w:b/>
                <w:bCs/>
                <w:color w:val="000000" w:themeColor="text1"/>
                <w:sz w:val="22"/>
                <w:szCs w:val="22"/>
              </w:rPr>
              <w:t xml:space="preserve">  </w:t>
            </w:r>
            <w:r w:rsidR="00160687" w:rsidRPr="00197F21">
              <w:rPr>
                <w:b/>
                <w:bCs/>
                <w:color w:val="000000" w:themeColor="text1"/>
                <w:sz w:val="22"/>
                <w:szCs w:val="22"/>
              </w:rPr>
              <w:t>18</w:t>
            </w:r>
            <w:r w:rsidR="00A74E01">
              <w:rPr>
                <w:b/>
                <w:bCs/>
                <w:color w:val="000000" w:themeColor="text1"/>
                <w:sz w:val="22"/>
                <w:szCs w:val="22"/>
              </w:rPr>
              <w:t>5</w:t>
            </w:r>
          </w:p>
        </w:tc>
      </w:tr>
    </w:tbl>
    <w:p w14:paraId="38D0ECAF" w14:textId="77777777" w:rsidR="00ED4D0E" w:rsidRPr="00197F21" w:rsidRDefault="00ED4D0E" w:rsidP="00776652">
      <w:pPr>
        <w:rPr>
          <w:color w:val="000000" w:themeColor="text1"/>
          <w:sz w:val="22"/>
          <w:szCs w:val="22"/>
        </w:rPr>
      </w:pPr>
    </w:p>
    <w:p w14:paraId="3E4F86BB" w14:textId="77777777" w:rsidR="00ED4D0E" w:rsidRPr="00CB2B8B" w:rsidRDefault="00ED4D0E" w:rsidP="00CB2B8B">
      <w:pPr>
        <w:pStyle w:val="Nadpis3"/>
        <w:tabs>
          <w:tab w:val="clear" w:pos="1440"/>
          <w:tab w:val="num" w:pos="709"/>
        </w:tabs>
        <w:ind w:left="357" w:hanging="357"/>
        <w:rPr>
          <w:color w:val="000000" w:themeColor="text1"/>
        </w:rPr>
      </w:pPr>
      <w:bookmarkStart w:id="14" w:name="_Toc161214310"/>
      <w:r w:rsidRPr="00CB2B8B">
        <w:rPr>
          <w:color w:val="000000" w:themeColor="text1"/>
        </w:rPr>
        <w:t>Vynucovanie práva</w:t>
      </w:r>
      <w:bookmarkEnd w:id="14"/>
    </w:p>
    <w:p w14:paraId="79C215AB" w14:textId="77777777" w:rsidR="00ED4D0E" w:rsidRPr="00A408BF" w:rsidRDefault="00ED4D0E" w:rsidP="005B072A">
      <w:pPr>
        <w:rPr>
          <w:color w:val="000000" w:themeColor="text1"/>
        </w:rPr>
      </w:pPr>
    </w:p>
    <w:p w14:paraId="03AC4C43" w14:textId="77777777" w:rsidR="00BE2EB0" w:rsidRPr="008C76B1" w:rsidRDefault="00BE2EB0" w:rsidP="00BE2EB0">
      <w:pPr>
        <w:jc w:val="both"/>
      </w:pPr>
      <w:r w:rsidRPr="008C76B1">
        <w:t xml:space="preserve">V prípade, že inšpekčná činnosť preukáže nedostatky v niektorej z </w:t>
      </w:r>
      <w:proofErr w:type="spellStart"/>
      <w:r w:rsidRPr="008C76B1">
        <w:t>dozorovaných</w:t>
      </w:r>
      <w:proofErr w:type="spellEnd"/>
      <w:r w:rsidRPr="008C76B1">
        <w:t xml:space="preserve"> oblastí, v protokole z inšpekcie sa držiteľovi povolenia nariadi odstránenie nedostatkov so záväznými termínmi ich plnenia. Držiteľ povolenia je potom povinný oznámiť ÚJD SR spôsob a termín odstránenia nedostatku. Ak </w:t>
      </w:r>
      <w:proofErr w:type="spellStart"/>
      <w:r w:rsidRPr="008C76B1">
        <w:t>dozorovaný</w:t>
      </w:r>
      <w:proofErr w:type="spellEnd"/>
      <w:r w:rsidRPr="008C76B1">
        <w:t xml:space="preserve"> subjekt opatrenia neplní, ako aj v prípade vážneho porušenia ustanovení atómového zákona alebo požiadaviek jeho vykonávacích vyhlášok, môže ÚJD SR začať správne konanie, ktorého výsledkom môže byť:</w:t>
      </w:r>
    </w:p>
    <w:p w14:paraId="03F65E77" w14:textId="77777777" w:rsidR="00BE2EB0" w:rsidRPr="00BE2EB0" w:rsidRDefault="00BE2EB0" w:rsidP="00BE2EB0">
      <w:pPr>
        <w:numPr>
          <w:ilvl w:val="0"/>
          <w:numId w:val="8"/>
        </w:numPr>
        <w:autoSpaceDE w:val="0"/>
        <w:autoSpaceDN w:val="0"/>
        <w:adjustRightInd w:val="0"/>
        <w:contextualSpacing/>
        <w:jc w:val="both"/>
        <w:rPr>
          <w:rFonts w:eastAsia="Calibri"/>
          <w:color w:val="000000" w:themeColor="text1"/>
          <w:szCs w:val="24"/>
          <w:lang w:eastAsia="en-US"/>
        </w:rPr>
      </w:pPr>
      <w:r w:rsidRPr="00BE2EB0">
        <w:rPr>
          <w:rFonts w:eastAsia="Calibri"/>
          <w:color w:val="000000" w:themeColor="text1"/>
          <w:szCs w:val="24"/>
          <w:lang w:eastAsia="en-US"/>
        </w:rPr>
        <w:t>uloženie pokuty,</w:t>
      </w:r>
    </w:p>
    <w:p w14:paraId="1D92B095" w14:textId="77777777" w:rsidR="00BE2EB0" w:rsidRPr="00BE2EB0" w:rsidRDefault="00BE2EB0" w:rsidP="00BE2EB0">
      <w:pPr>
        <w:numPr>
          <w:ilvl w:val="0"/>
          <w:numId w:val="8"/>
        </w:numPr>
        <w:autoSpaceDE w:val="0"/>
        <w:autoSpaceDN w:val="0"/>
        <w:adjustRightInd w:val="0"/>
        <w:contextualSpacing/>
        <w:jc w:val="both"/>
        <w:rPr>
          <w:rFonts w:eastAsia="Calibri"/>
          <w:color w:val="000000" w:themeColor="text1"/>
          <w:szCs w:val="24"/>
          <w:lang w:eastAsia="en-US"/>
        </w:rPr>
      </w:pPr>
      <w:r w:rsidRPr="00BE2EB0">
        <w:rPr>
          <w:rFonts w:eastAsia="Calibri"/>
          <w:color w:val="000000" w:themeColor="text1"/>
          <w:szCs w:val="24"/>
          <w:lang w:eastAsia="en-US"/>
        </w:rPr>
        <w:t>obmedzenie rozsahu alebo platnosti povolenia,</w:t>
      </w:r>
    </w:p>
    <w:p w14:paraId="1F8D0432" w14:textId="77777777" w:rsidR="00BE2EB0" w:rsidRPr="00BE2EB0" w:rsidRDefault="00BE2EB0" w:rsidP="00BE2EB0">
      <w:pPr>
        <w:numPr>
          <w:ilvl w:val="0"/>
          <w:numId w:val="8"/>
        </w:numPr>
        <w:autoSpaceDE w:val="0"/>
        <w:autoSpaceDN w:val="0"/>
        <w:adjustRightInd w:val="0"/>
        <w:contextualSpacing/>
        <w:jc w:val="both"/>
        <w:rPr>
          <w:rFonts w:eastAsia="Calibri"/>
          <w:color w:val="000000" w:themeColor="text1"/>
          <w:szCs w:val="24"/>
          <w:lang w:eastAsia="en-US"/>
        </w:rPr>
      </w:pPr>
      <w:r w:rsidRPr="00BE2EB0">
        <w:rPr>
          <w:rFonts w:eastAsia="Calibri"/>
          <w:color w:val="000000" w:themeColor="text1"/>
          <w:szCs w:val="24"/>
          <w:lang w:eastAsia="en-US"/>
        </w:rPr>
        <w:t>uloženie vykonania nevyhnutných opatrení,</w:t>
      </w:r>
    </w:p>
    <w:p w14:paraId="7FE6B140" w14:textId="77777777" w:rsidR="00BE2EB0" w:rsidRPr="00BE2EB0" w:rsidRDefault="00BE2EB0" w:rsidP="00BE2EB0">
      <w:pPr>
        <w:numPr>
          <w:ilvl w:val="0"/>
          <w:numId w:val="8"/>
        </w:numPr>
        <w:autoSpaceDE w:val="0"/>
        <w:autoSpaceDN w:val="0"/>
        <w:adjustRightInd w:val="0"/>
        <w:contextualSpacing/>
        <w:jc w:val="both"/>
        <w:rPr>
          <w:rFonts w:eastAsia="Calibri"/>
          <w:color w:val="000000" w:themeColor="text1"/>
          <w:szCs w:val="24"/>
          <w:lang w:eastAsia="en-US"/>
        </w:rPr>
      </w:pPr>
      <w:r w:rsidRPr="00BE2EB0">
        <w:rPr>
          <w:rFonts w:eastAsia="Calibri"/>
          <w:color w:val="000000" w:themeColor="text1"/>
          <w:szCs w:val="24"/>
          <w:lang w:eastAsia="en-US"/>
        </w:rPr>
        <w:t>zastavenie prevádzky JZ,</w:t>
      </w:r>
    </w:p>
    <w:p w14:paraId="502AE234" w14:textId="77777777" w:rsidR="00BE2EB0" w:rsidRPr="00BE2EB0" w:rsidRDefault="00BE2EB0" w:rsidP="00BE2EB0">
      <w:pPr>
        <w:numPr>
          <w:ilvl w:val="0"/>
          <w:numId w:val="8"/>
        </w:numPr>
        <w:autoSpaceDE w:val="0"/>
        <w:autoSpaceDN w:val="0"/>
        <w:adjustRightInd w:val="0"/>
        <w:contextualSpacing/>
        <w:jc w:val="both"/>
        <w:rPr>
          <w:rFonts w:eastAsia="Calibri"/>
          <w:color w:val="000000" w:themeColor="text1"/>
          <w:szCs w:val="24"/>
          <w:lang w:eastAsia="en-US"/>
        </w:rPr>
      </w:pPr>
      <w:r w:rsidRPr="00BE2EB0">
        <w:rPr>
          <w:rFonts w:eastAsia="Calibri"/>
          <w:color w:val="000000" w:themeColor="text1"/>
          <w:szCs w:val="24"/>
          <w:lang w:eastAsia="en-US"/>
        </w:rPr>
        <w:t>odňatie preukazu o osobitnej odbornej spôsobilosti alebo preukazu o odbornej spôsobilosti natrvalo.</w:t>
      </w:r>
    </w:p>
    <w:p w14:paraId="6DEE5DB4" w14:textId="77777777" w:rsidR="00831093" w:rsidRPr="00160687" w:rsidRDefault="00831093" w:rsidP="00831093">
      <w:pPr>
        <w:autoSpaceDE w:val="0"/>
        <w:autoSpaceDN w:val="0"/>
        <w:adjustRightInd w:val="0"/>
        <w:ind w:left="720"/>
        <w:contextualSpacing/>
        <w:jc w:val="both"/>
        <w:rPr>
          <w:rFonts w:eastAsia="Calibri"/>
          <w:color w:val="000000" w:themeColor="text1"/>
          <w:szCs w:val="24"/>
          <w:lang w:eastAsia="en-US"/>
        </w:rPr>
      </w:pPr>
    </w:p>
    <w:p w14:paraId="120DE55C" w14:textId="49CBE256" w:rsidR="00831093" w:rsidRPr="008C76B1" w:rsidRDefault="00160687" w:rsidP="008C76B1">
      <w:pPr>
        <w:jc w:val="both"/>
      </w:pPr>
      <w:r w:rsidRPr="008C76B1">
        <w:t>Úrad v roku 202</w:t>
      </w:r>
      <w:r w:rsidR="009A48F1" w:rsidRPr="008C76B1">
        <w:t>3</w:t>
      </w:r>
      <w:r w:rsidRPr="008C76B1">
        <w:t xml:space="preserve"> neodňal žiadny preukaz o osobitnej odbornej spôsobilosti vybraných zamestnancov ani preukaz o odbornej spôsobilosti lektorov držiteľov povolení.</w:t>
      </w:r>
    </w:p>
    <w:p w14:paraId="3948ACE9" w14:textId="2EA8AA5F" w:rsidR="009A48F1" w:rsidRPr="008C76B1" w:rsidRDefault="009A48F1" w:rsidP="008C76B1">
      <w:pPr>
        <w:jc w:val="both"/>
      </w:pPr>
      <w:r w:rsidRPr="008C76B1">
        <w:t>V roku 2023 na základe zistení z inšpekcie ÚJD SR č. 333/2022, ktorej predmetom bola kontrola skúšky bezpečnostných systémov na 1. bloku JE EMO, úrad uložil držiteľovi povolenia SE, a.</w:t>
      </w:r>
      <w:r w:rsidR="00561827" w:rsidRPr="008C76B1">
        <w:t xml:space="preserve"> </w:t>
      </w:r>
      <w:r w:rsidRPr="008C76B1">
        <w:t>s., pokutu vo výške 200 000 eur za opätovné porušenie atómového zákona.</w:t>
      </w:r>
    </w:p>
    <w:p w14:paraId="63793C6D" w14:textId="77777777" w:rsidR="00160687" w:rsidRPr="008C76B1" w:rsidRDefault="00160687" w:rsidP="008C76B1">
      <w:pPr>
        <w:jc w:val="both"/>
      </w:pPr>
    </w:p>
    <w:p w14:paraId="42CAF725" w14:textId="74CC1B91" w:rsidR="005B6B8A" w:rsidRPr="00A408BF" w:rsidRDefault="005B6B8A" w:rsidP="005B072A">
      <w:pPr>
        <w:pStyle w:val="Nadpis2"/>
        <w:tabs>
          <w:tab w:val="num" w:pos="0"/>
        </w:tabs>
        <w:ind w:left="0" w:firstLine="0"/>
        <w:rPr>
          <w:bCs/>
          <w:color w:val="000000" w:themeColor="text1"/>
        </w:rPr>
      </w:pPr>
      <w:bookmarkStart w:id="15" w:name="_Toc285032443"/>
      <w:bookmarkStart w:id="16" w:name="_Toc476146449"/>
      <w:bookmarkStart w:id="17" w:name="_Toc161214311"/>
      <w:r w:rsidRPr="00A408BF">
        <w:rPr>
          <w:bCs/>
          <w:color w:val="000000" w:themeColor="text1"/>
        </w:rPr>
        <w:t>Hodnotenie stavu jadrovej bezpečnosti JE a JZ v </w:t>
      </w:r>
      <w:bookmarkEnd w:id="15"/>
      <w:bookmarkEnd w:id="16"/>
      <w:r w:rsidR="00A408BF">
        <w:rPr>
          <w:bCs/>
          <w:color w:val="000000" w:themeColor="text1"/>
        </w:rPr>
        <w:t>SR</w:t>
      </w:r>
      <w:bookmarkEnd w:id="17"/>
    </w:p>
    <w:p w14:paraId="26A5D704" w14:textId="77777777" w:rsidR="00B54092" w:rsidRPr="00A408BF" w:rsidRDefault="00B54092" w:rsidP="005B072A">
      <w:pPr>
        <w:rPr>
          <w:color w:val="000000" w:themeColor="text1"/>
        </w:rPr>
      </w:pPr>
    </w:p>
    <w:p w14:paraId="1E26ADD4" w14:textId="6F0FAC85" w:rsidR="00FA7DCF" w:rsidRPr="00561827" w:rsidRDefault="00C94A12" w:rsidP="00BD6834">
      <w:pPr>
        <w:pStyle w:val="Nadpis3"/>
        <w:tabs>
          <w:tab w:val="clear" w:pos="1440"/>
          <w:tab w:val="num" w:pos="709"/>
        </w:tabs>
        <w:ind w:left="357" w:hanging="357"/>
        <w:rPr>
          <w:color w:val="000000" w:themeColor="text1"/>
        </w:rPr>
      </w:pPr>
      <w:bookmarkStart w:id="18" w:name="_Toc161214312"/>
      <w:bookmarkStart w:id="19" w:name="_Toc132187134"/>
      <w:bookmarkStart w:id="20" w:name="_Toc158112586"/>
      <w:bookmarkStart w:id="21" w:name="_Toc162317355"/>
      <w:bookmarkStart w:id="22" w:name="_Toc285032444"/>
      <w:r w:rsidRPr="00561827">
        <w:rPr>
          <w:color w:val="000000" w:themeColor="text1"/>
        </w:rPr>
        <w:t>Jadrové elektrárne</w:t>
      </w:r>
      <w:bookmarkEnd w:id="18"/>
      <w:r w:rsidRPr="00561827">
        <w:rPr>
          <w:color w:val="000000" w:themeColor="text1"/>
        </w:rPr>
        <w:t xml:space="preserve"> </w:t>
      </w:r>
      <w:bookmarkStart w:id="23" w:name="_Toc158112587"/>
      <w:bookmarkStart w:id="24" w:name="_Toc162317356"/>
      <w:bookmarkStart w:id="25" w:name="_Toc285032445"/>
      <w:bookmarkEnd w:id="19"/>
      <w:bookmarkEnd w:id="20"/>
      <w:bookmarkEnd w:id="21"/>
      <w:bookmarkEnd w:id="22"/>
    </w:p>
    <w:p w14:paraId="47E452F8" w14:textId="77777777" w:rsidR="008839C6" w:rsidRPr="00A408BF" w:rsidRDefault="008839C6" w:rsidP="005B072A">
      <w:pPr>
        <w:rPr>
          <w:color w:val="000000" w:themeColor="text1"/>
        </w:rPr>
      </w:pPr>
    </w:p>
    <w:p w14:paraId="195CDE58" w14:textId="475A6F9D" w:rsidR="008839C6" w:rsidRPr="006F1170" w:rsidRDefault="00C94A12" w:rsidP="00D20844">
      <w:pPr>
        <w:pStyle w:val="Nadpis4"/>
        <w:ind w:hanging="1728"/>
        <w:rPr>
          <w:b w:val="0"/>
        </w:rPr>
      </w:pPr>
      <w:r w:rsidRPr="00831093">
        <w:rPr>
          <w:b w:val="0"/>
        </w:rPr>
        <w:t xml:space="preserve"> </w:t>
      </w:r>
      <w:bookmarkStart w:id="26" w:name="_Toc161214313"/>
      <w:r w:rsidRPr="006F1170">
        <w:rPr>
          <w:b w:val="0"/>
        </w:rPr>
        <w:t>Prevádzkované jadrové elektrárne</w:t>
      </w:r>
      <w:bookmarkEnd w:id="23"/>
      <w:bookmarkEnd w:id="24"/>
      <w:bookmarkEnd w:id="25"/>
      <w:bookmarkEnd w:id="26"/>
    </w:p>
    <w:p w14:paraId="7378B944" w14:textId="644D60CA" w:rsidR="00457931" w:rsidRDefault="00457931" w:rsidP="005B072A">
      <w:pPr>
        <w:rPr>
          <w:color w:val="000000" w:themeColor="text1"/>
          <w:lang w:val="x-none" w:eastAsia="x-none"/>
        </w:rPr>
      </w:pPr>
    </w:p>
    <w:p w14:paraId="25B9F769" w14:textId="77777777" w:rsidR="00561827" w:rsidRPr="00561827" w:rsidRDefault="00561827" w:rsidP="00561827">
      <w:pPr>
        <w:rPr>
          <w:b/>
          <w:i/>
          <w:color w:val="000000" w:themeColor="text1"/>
          <w:lang w:eastAsia="x-none"/>
        </w:rPr>
      </w:pPr>
      <w:r w:rsidRPr="00561827">
        <w:rPr>
          <w:b/>
          <w:i/>
          <w:color w:val="000000" w:themeColor="text1"/>
          <w:lang w:eastAsia="x-none"/>
        </w:rPr>
        <w:t>Hodnotenie bezpečnostných indikátorov prevádzkovaných JE</w:t>
      </w:r>
    </w:p>
    <w:p w14:paraId="6A553CFA" w14:textId="7FD42DD4" w:rsidR="00561827" w:rsidRPr="008C76B1" w:rsidRDefault="00561827" w:rsidP="00561827">
      <w:pPr>
        <w:jc w:val="both"/>
      </w:pPr>
      <w:r w:rsidRPr="008C76B1">
        <w:t>Hodnotenie prevádzky JE bezpečnostnými indikátormi vykonáva ÚJD SR priebežne a ročne vyhodnocuje. Prevádzkované štyri bloky JE (JE Bohunice V-2,</w:t>
      </w:r>
      <w:r w:rsidR="00025D7A" w:rsidRPr="008C76B1">
        <w:t xml:space="preserve"> </w:t>
      </w:r>
      <w:r w:rsidRPr="008C76B1">
        <w:t xml:space="preserve">JE Mochovce 1, 2) a jeden </w:t>
      </w:r>
      <w:r w:rsidRPr="00684D3D">
        <w:t>blok JE, ktorý je uvádzaný do prevádzky (3. blok JE Mochovce), sú hodnotené</w:t>
      </w:r>
      <w:r w:rsidRPr="008C76B1">
        <w:t xml:space="preserve"> indikátormi v štyroch špecifických oblastiach prevádzky: významné udalosti, ľudský faktor</w:t>
      </w:r>
      <w:r w:rsidR="001A2168">
        <w:t xml:space="preserve"> (ĽF)</w:t>
      </w:r>
      <w:r w:rsidRPr="008C76B1">
        <w:t>, prevádzka bezpečnostných systémov a tesnosť bariér.</w:t>
      </w:r>
    </w:p>
    <w:p w14:paraId="74A52BE6" w14:textId="77777777" w:rsidR="00A71B06" w:rsidRPr="00A408BF" w:rsidRDefault="00A71B06" w:rsidP="00A71B06">
      <w:pPr>
        <w:rPr>
          <w:b/>
          <w:color w:val="000000" w:themeColor="text1"/>
          <w:lang w:eastAsia="x-none"/>
        </w:rPr>
      </w:pPr>
      <w:r w:rsidRPr="00A408BF">
        <w:rPr>
          <w:b/>
          <w:color w:val="000000" w:themeColor="text1"/>
          <w:lang w:eastAsia="x-none"/>
        </w:rPr>
        <w:lastRenderedPageBreak/>
        <w:t>Významné udalosti a ľudský faktor:</w:t>
      </w:r>
    </w:p>
    <w:p w14:paraId="7F92134F" w14:textId="77777777" w:rsidR="00A71B06" w:rsidRPr="00A408BF" w:rsidRDefault="00A71B06" w:rsidP="00A71B06">
      <w:pPr>
        <w:jc w:val="both"/>
        <w:rPr>
          <w:color w:val="000000" w:themeColor="text1"/>
          <w:szCs w:val="24"/>
          <w:lang w:eastAsia="x-none"/>
        </w:rPr>
      </w:pPr>
      <w:r w:rsidRPr="00A408BF">
        <w:rPr>
          <w:color w:val="000000" w:themeColor="text1"/>
          <w:szCs w:val="24"/>
          <w:lang w:eastAsia="x-none"/>
        </w:rPr>
        <w:t>V týchto oblastiach sa sledujú nasledovné hlavné indikátory:</w:t>
      </w:r>
    </w:p>
    <w:p w14:paraId="21FBA82D" w14:textId="77777777"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A408BF">
        <w:rPr>
          <w:rFonts w:ascii="Times New Roman" w:hAnsi="Times New Roman"/>
          <w:color w:val="000000" w:themeColor="text1"/>
          <w:sz w:val="24"/>
          <w:szCs w:val="24"/>
        </w:rPr>
        <w:t>počet rýchlych odstavení reaktora (</w:t>
      </w:r>
      <w:r w:rsidRPr="00143548">
        <w:rPr>
          <w:rFonts w:ascii="Times New Roman" w:hAnsi="Times New Roman"/>
          <w:color w:val="000000" w:themeColor="text1"/>
          <w:sz w:val="24"/>
          <w:szCs w:val="24"/>
        </w:rPr>
        <w:t>AO1)</w:t>
      </w:r>
      <w:r w:rsidRPr="00A408BF">
        <w:rPr>
          <w:rFonts w:ascii="Times New Roman" w:hAnsi="Times New Roman"/>
          <w:color w:val="000000" w:themeColor="text1"/>
          <w:sz w:val="24"/>
          <w:szCs w:val="24"/>
        </w:rPr>
        <w:t>,</w:t>
      </w:r>
    </w:p>
    <w:p w14:paraId="4E6F7E2B" w14:textId="5D2E5894"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A408BF">
        <w:rPr>
          <w:rFonts w:ascii="Times New Roman" w:hAnsi="Times New Roman"/>
          <w:color w:val="000000" w:themeColor="text1"/>
          <w:sz w:val="24"/>
          <w:szCs w:val="24"/>
        </w:rPr>
        <w:t xml:space="preserve">počet porušení limít a podmienok </w:t>
      </w:r>
      <w:r w:rsidRPr="001A2168">
        <w:rPr>
          <w:rFonts w:ascii="Times New Roman" w:hAnsi="Times New Roman"/>
          <w:color w:val="000000" w:themeColor="text1"/>
          <w:sz w:val="24"/>
          <w:szCs w:val="24"/>
        </w:rPr>
        <w:t>(</w:t>
      </w:r>
      <w:proofErr w:type="spellStart"/>
      <w:r w:rsidRPr="001A2168">
        <w:rPr>
          <w:rFonts w:ascii="Times New Roman" w:hAnsi="Times New Roman"/>
          <w:color w:val="000000" w:themeColor="text1"/>
          <w:sz w:val="24"/>
          <w:szCs w:val="24"/>
        </w:rPr>
        <w:t>LaP</w:t>
      </w:r>
      <w:proofErr w:type="spellEnd"/>
      <w:r w:rsidRPr="001A216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408BF">
        <w:rPr>
          <w:rFonts w:ascii="Times New Roman" w:hAnsi="Times New Roman"/>
          <w:color w:val="000000" w:themeColor="text1"/>
          <w:sz w:val="24"/>
          <w:szCs w:val="24"/>
        </w:rPr>
        <w:t>bezpečnej prevádzky (</w:t>
      </w:r>
      <w:proofErr w:type="spellStart"/>
      <w:r w:rsidRPr="00A408BF">
        <w:rPr>
          <w:rFonts w:ascii="Times New Roman" w:hAnsi="Times New Roman"/>
          <w:color w:val="000000" w:themeColor="text1"/>
          <w:sz w:val="24"/>
          <w:szCs w:val="24"/>
        </w:rPr>
        <w:t>LaP</w:t>
      </w:r>
      <w:proofErr w:type="spellEnd"/>
      <w:r w:rsidRPr="00A408BF">
        <w:rPr>
          <w:rFonts w:ascii="Times New Roman" w:hAnsi="Times New Roman"/>
          <w:color w:val="000000" w:themeColor="text1"/>
          <w:sz w:val="24"/>
          <w:szCs w:val="24"/>
        </w:rPr>
        <w:t xml:space="preserve"> </w:t>
      </w:r>
      <w:r>
        <w:rPr>
          <w:rFonts w:ascii="Times New Roman" w:hAnsi="Times New Roman"/>
          <w:color w:val="000000" w:themeColor="text1"/>
          <w:sz w:val="24"/>
          <w:szCs w:val="24"/>
        </w:rPr>
        <w:t>je</w:t>
      </w:r>
      <w:r w:rsidRPr="00A408BF">
        <w:rPr>
          <w:rFonts w:ascii="Times New Roman" w:hAnsi="Times New Roman"/>
          <w:color w:val="000000" w:themeColor="text1"/>
          <w:sz w:val="24"/>
          <w:szCs w:val="24"/>
        </w:rPr>
        <w:t xml:space="preserve"> dokument, ktor</w:t>
      </w:r>
      <w:r>
        <w:rPr>
          <w:rFonts w:ascii="Times New Roman" w:hAnsi="Times New Roman"/>
          <w:color w:val="000000" w:themeColor="text1"/>
          <w:sz w:val="24"/>
          <w:szCs w:val="24"/>
        </w:rPr>
        <w:t>ý</w:t>
      </w:r>
      <w:r w:rsidRPr="00A408BF">
        <w:rPr>
          <w:rFonts w:ascii="Times New Roman" w:hAnsi="Times New Roman"/>
          <w:color w:val="000000" w:themeColor="text1"/>
          <w:sz w:val="24"/>
          <w:szCs w:val="24"/>
        </w:rPr>
        <w:t xml:space="preserve"> stanov</w:t>
      </w:r>
      <w:r>
        <w:rPr>
          <w:rFonts w:ascii="Times New Roman" w:hAnsi="Times New Roman"/>
          <w:color w:val="000000" w:themeColor="text1"/>
          <w:sz w:val="24"/>
          <w:szCs w:val="24"/>
        </w:rPr>
        <w:t>uje</w:t>
      </w:r>
      <w:r w:rsidRPr="00A408BF">
        <w:rPr>
          <w:rFonts w:ascii="Times New Roman" w:hAnsi="Times New Roman"/>
          <w:color w:val="000000" w:themeColor="text1"/>
          <w:sz w:val="24"/>
          <w:szCs w:val="24"/>
        </w:rPr>
        <w:t xml:space="preserve"> požiadavky na dovolené hodnoty parametrov JZ, pripravenosť bezpečnostných systémov a overovanie ich pripravenosti, každá odchýlka od stanovených hodnôt a požiadaviek sa eviduje ako porušenie </w:t>
      </w:r>
      <w:proofErr w:type="spellStart"/>
      <w:r w:rsidRPr="00A408BF">
        <w:rPr>
          <w:rFonts w:ascii="Times New Roman" w:hAnsi="Times New Roman"/>
          <w:color w:val="000000" w:themeColor="text1"/>
          <w:sz w:val="24"/>
          <w:szCs w:val="24"/>
        </w:rPr>
        <w:t>LaP</w:t>
      </w:r>
      <w:proofErr w:type="spellEnd"/>
      <w:r w:rsidRPr="00A408BF">
        <w:rPr>
          <w:rFonts w:ascii="Times New Roman" w:hAnsi="Times New Roman"/>
          <w:color w:val="000000" w:themeColor="text1"/>
          <w:sz w:val="24"/>
          <w:szCs w:val="24"/>
        </w:rPr>
        <w:t>),</w:t>
      </w:r>
    </w:p>
    <w:p w14:paraId="26481DD3" w14:textId="4100C2BB"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A408BF">
        <w:rPr>
          <w:rFonts w:ascii="Times New Roman" w:hAnsi="Times New Roman"/>
          <w:color w:val="000000" w:themeColor="text1"/>
          <w:sz w:val="24"/>
          <w:szCs w:val="24"/>
        </w:rPr>
        <w:t>počet porúch zariadení a systémov, ktoré je prevádzkovateľ JZ podľa stanovených kritérií povinný hlásiť ÚJD</w:t>
      </w:r>
      <w:r w:rsidR="000F23D7">
        <w:rPr>
          <w:rFonts w:ascii="Times New Roman" w:hAnsi="Times New Roman"/>
          <w:color w:val="000000" w:themeColor="text1"/>
          <w:sz w:val="24"/>
          <w:szCs w:val="24"/>
        </w:rPr>
        <w:t> </w:t>
      </w:r>
      <w:r w:rsidRPr="00A408BF">
        <w:rPr>
          <w:rFonts w:ascii="Times New Roman" w:hAnsi="Times New Roman"/>
          <w:color w:val="000000" w:themeColor="text1"/>
          <w:sz w:val="24"/>
          <w:szCs w:val="24"/>
        </w:rPr>
        <w:t>SR,</w:t>
      </w:r>
    </w:p>
    <w:p w14:paraId="37ACF833" w14:textId="325EE199"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1A2168">
        <w:rPr>
          <w:rFonts w:ascii="Times New Roman" w:hAnsi="Times New Roman"/>
          <w:color w:val="000000" w:themeColor="text1"/>
          <w:sz w:val="24"/>
          <w:szCs w:val="24"/>
        </w:rPr>
        <w:t>podiel ĽF</w:t>
      </w:r>
      <w:r w:rsidRPr="00A408BF">
        <w:rPr>
          <w:rFonts w:ascii="Times New Roman" w:hAnsi="Times New Roman"/>
          <w:color w:val="000000" w:themeColor="text1"/>
          <w:sz w:val="24"/>
          <w:szCs w:val="24"/>
        </w:rPr>
        <w:t xml:space="preserve"> na </w:t>
      </w:r>
      <w:r w:rsidR="001A2168">
        <w:rPr>
          <w:rFonts w:ascii="Times New Roman" w:hAnsi="Times New Roman"/>
          <w:color w:val="000000" w:themeColor="text1"/>
          <w:sz w:val="24"/>
          <w:szCs w:val="24"/>
        </w:rPr>
        <w:t>PU</w:t>
      </w:r>
      <w:r w:rsidRPr="00A408BF">
        <w:rPr>
          <w:rFonts w:ascii="Times New Roman" w:hAnsi="Times New Roman"/>
          <w:color w:val="000000" w:themeColor="text1"/>
          <w:sz w:val="24"/>
          <w:szCs w:val="24"/>
        </w:rPr>
        <w:t xml:space="preserve"> hlásených ÚJD</w:t>
      </w:r>
      <w:r w:rsidR="000F23D7">
        <w:rPr>
          <w:rFonts w:ascii="Times New Roman" w:hAnsi="Times New Roman"/>
          <w:color w:val="000000" w:themeColor="text1"/>
          <w:sz w:val="24"/>
          <w:szCs w:val="24"/>
        </w:rPr>
        <w:t> </w:t>
      </w:r>
      <w:r w:rsidRPr="00A408BF">
        <w:rPr>
          <w:rFonts w:ascii="Times New Roman" w:hAnsi="Times New Roman"/>
          <w:color w:val="000000" w:themeColor="text1"/>
          <w:sz w:val="24"/>
          <w:szCs w:val="24"/>
        </w:rPr>
        <w:t>SR,</w:t>
      </w:r>
    </w:p>
    <w:p w14:paraId="01BAA07C" w14:textId="77777777" w:rsidR="00A71B06"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r w:rsidRPr="00A408BF">
        <w:rPr>
          <w:rFonts w:ascii="Times New Roman" w:hAnsi="Times New Roman"/>
          <w:color w:val="000000" w:themeColor="text1"/>
          <w:sz w:val="24"/>
          <w:szCs w:val="24"/>
        </w:rPr>
        <w:t>počet udalostí na JZ klasifikovaných podľa medzinárodnej stupnice INES stupňom 1.</w:t>
      </w:r>
    </w:p>
    <w:p w14:paraId="6FAB745C" w14:textId="77777777" w:rsidR="00A71B06" w:rsidRDefault="00A71B06" w:rsidP="00A71B06">
      <w:pPr>
        <w:jc w:val="both"/>
        <w:rPr>
          <w:color w:val="000000" w:themeColor="text1"/>
          <w:szCs w:val="24"/>
          <w:lang w:eastAsia="x-none"/>
        </w:rPr>
      </w:pPr>
    </w:p>
    <w:p w14:paraId="1F9BD9EC" w14:textId="65ACA3D0" w:rsidR="00A71B06" w:rsidRPr="00A408BF" w:rsidRDefault="00A71B06" w:rsidP="00A71B06">
      <w:pPr>
        <w:jc w:val="both"/>
        <w:rPr>
          <w:color w:val="000000" w:themeColor="text1"/>
          <w:szCs w:val="24"/>
          <w:lang w:eastAsia="x-none"/>
        </w:rPr>
      </w:pPr>
      <w:r w:rsidRPr="00A408BF">
        <w:rPr>
          <w:color w:val="000000" w:themeColor="text1"/>
          <w:szCs w:val="24"/>
          <w:lang w:eastAsia="x-none"/>
        </w:rPr>
        <w:t>Výsledky zaznamenané v roku 202</w:t>
      </w:r>
      <w:r w:rsidR="00561827">
        <w:rPr>
          <w:color w:val="000000" w:themeColor="text1"/>
          <w:szCs w:val="24"/>
          <w:lang w:eastAsia="x-none"/>
        </w:rPr>
        <w:t>3</w:t>
      </w:r>
      <w:r w:rsidRPr="00A408BF">
        <w:rPr>
          <w:color w:val="000000" w:themeColor="text1"/>
          <w:szCs w:val="24"/>
          <w:lang w:eastAsia="x-none"/>
        </w:rPr>
        <w:t xml:space="preserve"> sú </w:t>
      </w:r>
      <w:r>
        <w:rPr>
          <w:color w:val="000000" w:themeColor="text1"/>
          <w:szCs w:val="24"/>
          <w:lang w:eastAsia="x-none"/>
        </w:rPr>
        <w:t>uvedené</w:t>
      </w:r>
      <w:r w:rsidRPr="00A408BF">
        <w:rPr>
          <w:color w:val="000000" w:themeColor="text1"/>
          <w:szCs w:val="24"/>
          <w:lang w:eastAsia="x-none"/>
        </w:rPr>
        <w:t xml:space="preserve"> v Tab.</w:t>
      </w:r>
      <w:r w:rsidR="00D85417">
        <w:rPr>
          <w:color w:val="000000" w:themeColor="text1"/>
          <w:szCs w:val="24"/>
          <w:lang w:eastAsia="x-none"/>
        </w:rPr>
        <w:t> </w:t>
      </w:r>
      <w:r w:rsidRPr="00A408BF">
        <w:rPr>
          <w:color w:val="000000" w:themeColor="text1"/>
          <w:szCs w:val="24"/>
          <w:lang w:eastAsia="x-none"/>
        </w:rPr>
        <w:t>3 a Tab.</w:t>
      </w:r>
      <w:r w:rsidR="00D85417">
        <w:rPr>
          <w:color w:val="000000" w:themeColor="text1"/>
          <w:szCs w:val="24"/>
          <w:lang w:eastAsia="x-none"/>
        </w:rPr>
        <w:t> </w:t>
      </w:r>
      <w:r w:rsidRPr="00A408BF">
        <w:rPr>
          <w:color w:val="000000" w:themeColor="text1"/>
          <w:szCs w:val="24"/>
          <w:lang w:eastAsia="x-none"/>
        </w:rPr>
        <w:t>4.</w:t>
      </w:r>
    </w:p>
    <w:p w14:paraId="3903FDE3" w14:textId="77777777" w:rsidR="00A71B06" w:rsidRPr="00A408BF" w:rsidRDefault="00A71B06" w:rsidP="00A71B06">
      <w:pPr>
        <w:jc w:val="both"/>
        <w:rPr>
          <w:color w:val="000000" w:themeColor="text1"/>
          <w:szCs w:val="24"/>
          <w:lang w:eastAsia="x-none"/>
        </w:rPr>
      </w:pPr>
    </w:p>
    <w:p w14:paraId="692FCE6B" w14:textId="558AEC21" w:rsidR="00A71B06" w:rsidRPr="0036514D" w:rsidRDefault="00A71B06" w:rsidP="00A71B06">
      <w:pPr>
        <w:pStyle w:val="Odsekzoznamu"/>
        <w:spacing w:after="0" w:line="240" w:lineRule="auto"/>
        <w:ind w:left="0"/>
        <w:jc w:val="both"/>
        <w:rPr>
          <w:rFonts w:ascii="Times New Roman" w:hAnsi="Times New Roman"/>
          <w:color w:val="000000" w:themeColor="text1"/>
          <w:lang w:eastAsia="x-none"/>
        </w:rPr>
      </w:pPr>
      <w:r w:rsidRPr="0036514D">
        <w:rPr>
          <w:rFonts w:ascii="Times New Roman" w:hAnsi="Times New Roman"/>
          <w:color w:val="000000" w:themeColor="text1"/>
          <w:lang w:eastAsia="x-none"/>
        </w:rPr>
        <w:t xml:space="preserve">Tab. 3 Počet AO1 a porušení </w:t>
      </w:r>
      <w:proofErr w:type="spellStart"/>
      <w:r w:rsidRPr="0036514D">
        <w:rPr>
          <w:rFonts w:ascii="Times New Roman" w:hAnsi="Times New Roman"/>
          <w:color w:val="000000" w:themeColor="text1"/>
          <w:lang w:eastAsia="x-none"/>
        </w:rPr>
        <w:t>LaP</w:t>
      </w:r>
      <w:proofErr w:type="spellEnd"/>
      <w:r w:rsidRPr="0036514D">
        <w:rPr>
          <w:rFonts w:ascii="Times New Roman" w:hAnsi="Times New Roman"/>
          <w:color w:val="000000" w:themeColor="text1"/>
          <w:lang w:eastAsia="x-none"/>
        </w:rPr>
        <w:t xml:space="preserve"> na pracujúcich blokoch JZ v SR v roku 202</w:t>
      </w:r>
      <w:r w:rsidR="00561827" w:rsidRPr="0036514D">
        <w:rPr>
          <w:rFonts w:ascii="Times New Roman" w:hAnsi="Times New Roman"/>
          <w:color w:val="000000" w:themeColor="text1"/>
          <w:lang w:eastAsia="x-none"/>
        </w:rPr>
        <w:t>3</w:t>
      </w:r>
    </w:p>
    <w:tbl>
      <w:tblPr>
        <w:tblStyle w:val="Mriekatabuky"/>
        <w:tblW w:w="9067" w:type="dxa"/>
        <w:tblLook w:val="04A0" w:firstRow="1" w:lastRow="0" w:firstColumn="1" w:lastColumn="0" w:noHBand="0" w:noVBand="1"/>
      </w:tblPr>
      <w:tblGrid>
        <w:gridCol w:w="3256"/>
        <w:gridCol w:w="1190"/>
        <w:gridCol w:w="1191"/>
        <w:gridCol w:w="1190"/>
        <w:gridCol w:w="1191"/>
        <w:gridCol w:w="1049"/>
      </w:tblGrid>
      <w:tr w:rsidR="00A71B06" w:rsidRPr="00A408BF" w14:paraId="392DC480" w14:textId="77777777" w:rsidTr="00066BA1">
        <w:trPr>
          <w:trHeight w:val="283"/>
        </w:trPr>
        <w:tc>
          <w:tcPr>
            <w:tcW w:w="3256" w:type="dxa"/>
            <w:shd w:val="clear" w:color="auto" w:fill="D9D9D9" w:themeFill="background1" w:themeFillShade="D9"/>
          </w:tcPr>
          <w:p w14:paraId="6A0EE0B8" w14:textId="4A1D5756"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202</w:t>
            </w:r>
            <w:r w:rsidR="00561827" w:rsidRPr="00BA6AF3">
              <w:rPr>
                <w:b/>
                <w:color w:val="000000" w:themeColor="text1"/>
                <w:sz w:val="22"/>
                <w:szCs w:val="22"/>
                <w:lang w:eastAsia="x-none"/>
              </w:rPr>
              <w:t>3</w:t>
            </w:r>
          </w:p>
        </w:tc>
        <w:tc>
          <w:tcPr>
            <w:tcW w:w="1190" w:type="dxa"/>
            <w:shd w:val="clear" w:color="auto" w:fill="D9D9D9" w:themeFill="background1" w:themeFillShade="D9"/>
          </w:tcPr>
          <w:p w14:paraId="57CFEABA"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EBO3</w:t>
            </w:r>
          </w:p>
        </w:tc>
        <w:tc>
          <w:tcPr>
            <w:tcW w:w="1191" w:type="dxa"/>
            <w:shd w:val="clear" w:color="auto" w:fill="D9D9D9" w:themeFill="background1" w:themeFillShade="D9"/>
          </w:tcPr>
          <w:p w14:paraId="5E6CD363"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EBO4</w:t>
            </w:r>
          </w:p>
        </w:tc>
        <w:tc>
          <w:tcPr>
            <w:tcW w:w="1190" w:type="dxa"/>
            <w:shd w:val="clear" w:color="auto" w:fill="D9D9D9" w:themeFill="background1" w:themeFillShade="D9"/>
          </w:tcPr>
          <w:p w14:paraId="0FF6536F"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EMO1</w:t>
            </w:r>
          </w:p>
        </w:tc>
        <w:tc>
          <w:tcPr>
            <w:tcW w:w="1191" w:type="dxa"/>
            <w:shd w:val="clear" w:color="auto" w:fill="D9D9D9" w:themeFill="background1" w:themeFillShade="D9"/>
          </w:tcPr>
          <w:p w14:paraId="77EB9453"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EMO2</w:t>
            </w:r>
          </w:p>
        </w:tc>
        <w:tc>
          <w:tcPr>
            <w:tcW w:w="1049" w:type="dxa"/>
            <w:shd w:val="clear" w:color="auto" w:fill="D9D9D9" w:themeFill="background1" w:themeFillShade="D9"/>
          </w:tcPr>
          <w:p w14:paraId="23A62D8A"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EMO3</w:t>
            </w:r>
          </w:p>
        </w:tc>
      </w:tr>
      <w:tr w:rsidR="00A71B06" w:rsidRPr="00A408BF" w14:paraId="13A233F2" w14:textId="77777777" w:rsidTr="00066BA1">
        <w:trPr>
          <w:trHeight w:val="283"/>
        </w:trPr>
        <w:tc>
          <w:tcPr>
            <w:tcW w:w="3256" w:type="dxa"/>
          </w:tcPr>
          <w:p w14:paraId="2BD83346" w14:textId="77777777" w:rsidR="00A71B06" w:rsidRPr="00BA6AF3" w:rsidRDefault="00A71B06" w:rsidP="00590626">
            <w:pPr>
              <w:rPr>
                <w:color w:val="000000" w:themeColor="text1"/>
                <w:sz w:val="22"/>
                <w:szCs w:val="22"/>
                <w:lang w:eastAsia="x-none"/>
              </w:rPr>
            </w:pPr>
            <w:r w:rsidRPr="00BA6AF3">
              <w:rPr>
                <w:color w:val="000000" w:themeColor="text1"/>
                <w:sz w:val="22"/>
                <w:szCs w:val="22"/>
                <w:lang w:eastAsia="x-none"/>
              </w:rPr>
              <w:t>počet AO1</w:t>
            </w:r>
          </w:p>
        </w:tc>
        <w:tc>
          <w:tcPr>
            <w:tcW w:w="1190" w:type="dxa"/>
          </w:tcPr>
          <w:p w14:paraId="2033D6EE" w14:textId="5542B808"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1" w:type="dxa"/>
          </w:tcPr>
          <w:p w14:paraId="7FC91B69" w14:textId="0148F96C"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0" w:type="dxa"/>
          </w:tcPr>
          <w:p w14:paraId="612D78C3" w14:textId="692A1D94"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1</w:t>
            </w:r>
          </w:p>
        </w:tc>
        <w:tc>
          <w:tcPr>
            <w:tcW w:w="1191" w:type="dxa"/>
          </w:tcPr>
          <w:p w14:paraId="287EC727" w14:textId="7A3B4F9E"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049" w:type="dxa"/>
          </w:tcPr>
          <w:p w14:paraId="22AAF5BE" w14:textId="1CDA9C2E"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1</w:t>
            </w:r>
          </w:p>
        </w:tc>
      </w:tr>
      <w:tr w:rsidR="00A71B06" w:rsidRPr="00A408BF" w14:paraId="002520B4" w14:textId="77777777" w:rsidTr="00066BA1">
        <w:trPr>
          <w:trHeight w:val="53"/>
        </w:trPr>
        <w:tc>
          <w:tcPr>
            <w:tcW w:w="3256" w:type="dxa"/>
          </w:tcPr>
          <w:p w14:paraId="50AF8E0D" w14:textId="77777777" w:rsidR="00A71B06" w:rsidRPr="00BA6AF3" w:rsidRDefault="00A71B06" w:rsidP="00590626">
            <w:pPr>
              <w:rPr>
                <w:color w:val="000000" w:themeColor="text1"/>
                <w:sz w:val="22"/>
                <w:szCs w:val="22"/>
                <w:lang w:eastAsia="x-none"/>
              </w:rPr>
            </w:pPr>
            <w:r w:rsidRPr="00BA6AF3">
              <w:rPr>
                <w:color w:val="000000" w:themeColor="text1"/>
                <w:sz w:val="22"/>
                <w:szCs w:val="22"/>
                <w:lang w:eastAsia="x-none"/>
              </w:rPr>
              <w:t xml:space="preserve">porušenia </w:t>
            </w:r>
            <w:proofErr w:type="spellStart"/>
            <w:r w:rsidRPr="00BA6AF3">
              <w:rPr>
                <w:color w:val="000000" w:themeColor="text1"/>
                <w:sz w:val="22"/>
                <w:szCs w:val="22"/>
                <w:lang w:eastAsia="x-none"/>
              </w:rPr>
              <w:t>LaP</w:t>
            </w:r>
            <w:proofErr w:type="spellEnd"/>
          </w:p>
        </w:tc>
        <w:tc>
          <w:tcPr>
            <w:tcW w:w="1190" w:type="dxa"/>
          </w:tcPr>
          <w:p w14:paraId="79E958F8" w14:textId="7B9AEB7C"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1" w:type="dxa"/>
          </w:tcPr>
          <w:p w14:paraId="0807108B" w14:textId="679563FF"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0" w:type="dxa"/>
          </w:tcPr>
          <w:p w14:paraId="12124E16" w14:textId="0FBDAA4F"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191" w:type="dxa"/>
          </w:tcPr>
          <w:p w14:paraId="634A4E33" w14:textId="506A6612" w:rsidR="00A71B06" w:rsidRPr="00BA6AF3"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c>
          <w:tcPr>
            <w:tcW w:w="1049" w:type="dxa"/>
          </w:tcPr>
          <w:p w14:paraId="34A6DAD0" w14:textId="09A649CF" w:rsidR="00A71B06" w:rsidRPr="00BA6AF3" w:rsidDel="0021168C" w:rsidRDefault="00313808" w:rsidP="00590626">
            <w:pPr>
              <w:jc w:val="center"/>
              <w:rPr>
                <w:color w:val="000000" w:themeColor="text1"/>
                <w:sz w:val="22"/>
                <w:szCs w:val="22"/>
                <w:lang w:eastAsia="x-none"/>
              </w:rPr>
            </w:pPr>
            <w:r w:rsidRPr="00BA6AF3">
              <w:rPr>
                <w:color w:val="000000" w:themeColor="text1"/>
                <w:sz w:val="22"/>
                <w:szCs w:val="22"/>
                <w:lang w:eastAsia="x-none"/>
              </w:rPr>
              <w:t>0</w:t>
            </w:r>
          </w:p>
        </w:tc>
      </w:tr>
    </w:tbl>
    <w:p w14:paraId="2B644347" w14:textId="77777777" w:rsidR="00A71B06" w:rsidRPr="00A408BF" w:rsidRDefault="00A71B06" w:rsidP="00A71B06">
      <w:pPr>
        <w:jc w:val="both"/>
        <w:rPr>
          <w:color w:val="000000" w:themeColor="text1"/>
          <w:lang w:eastAsia="x-none"/>
        </w:rPr>
      </w:pPr>
    </w:p>
    <w:p w14:paraId="6CE326B5" w14:textId="77777777" w:rsidR="00313808" w:rsidRPr="00A408BF" w:rsidRDefault="00313808" w:rsidP="00313808">
      <w:pPr>
        <w:jc w:val="both"/>
        <w:rPr>
          <w:color w:val="000000" w:themeColor="text1"/>
          <w:lang w:eastAsia="x-none"/>
        </w:rPr>
      </w:pPr>
      <w:r w:rsidRPr="00631078">
        <w:rPr>
          <w:color w:val="000000" w:themeColor="text1"/>
          <w:lang w:eastAsia="x-none"/>
        </w:rPr>
        <w:t xml:space="preserve">V roku 2023 boli zaznamenané pôsobenia ochrán AO1 v jednom prípade na EMO1 a v jednom prípade na EMO3. Porušenie </w:t>
      </w:r>
      <w:proofErr w:type="spellStart"/>
      <w:r w:rsidRPr="00631078">
        <w:rPr>
          <w:color w:val="000000" w:themeColor="text1"/>
          <w:lang w:eastAsia="x-none"/>
        </w:rPr>
        <w:t>LaP</w:t>
      </w:r>
      <w:proofErr w:type="spellEnd"/>
      <w:r w:rsidRPr="00631078">
        <w:rPr>
          <w:color w:val="000000" w:themeColor="text1"/>
          <w:lang w:eastAsia="x-none"/>
        </w:rPr>
        <w:t xml:space="preserve"> sa nevyskytlo. Uvedené skutočnosti svedčia o prevádzkovej spoľahlivosti jadrových blokov JE Bohunice V-2 a JE Mochovce 1, 2 a 3.</w:t>
      </w:r>
    </w:p>
    <w:p w14:paraId="00C1E990" w14:textId="77777777" w:rsidR="00A71B06" w:rsidRPr="00A408BF" w:rsidRDefault="00A71B06" w:rsidP="00A71B06">
      <w:pPr>
        <w:jc w:val="both"/>
        <w:rPr>
          <w:color w:val="000000" w:themeColor="text1"/>
          <w:lang w:eastAsia="x-none"/>
        </w:rPr>
      </w:pPr>
    </w:p>
    <w:p w14:paraId="2A29F927" w14:textId="69CA9D9D" w:rsidR="00A71B06" w:rsidRPr="0036514D" w:rsidRDefault="00A71B06" w:rsidP="00A71B06">
      <w:pPr>
        <w:rPr>
          <w:color w:val="000000" w:themeColor="text1"/>
          <w:sz w:val="22"/>
          <w:szCs w:val="22"/>
          <w:lang w:eastAsia="x-none"/>
        </w:rPr>
      </w:pPr>
      <w:r w:rsidRPr="0036514D">
        <w:rPr>
          <w:color w:val="000000" w:themeColor="text1"/>
          <w:sz w:val="22"/>
          <w:szCs w:val="22"/>
          <w:lang w:eastAsia="x-none"/>
        </w:rPr>
        <w:t>Tab. 4 Počet hlásených PU, počet PU s príspevkom ĽF a počet PU s klasifikáciou INES 1</w:t>
      </w:r>
      <w:r w:rsidR="0036514D" w:rsidRPr="0036514D">
        <w:rPr>
          <w:color w:val="000000" w:themeColor="text1"/>
          <w:sz w:val="22"/>
          <w:szCs w:val="22"/>
          <w:lang w:eastAsia="x-none"/>
        </w:rPr>
        <w:t xml:space="preserve"> v roku 2023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2"/>
        <w:gridCol w:w="1086"/>
        <w:gridCol w:w="1087"/>
        <w:gridCol w:w="1087"/>
        <w:gridCol w:w="1086"/>
        <w:gridCol w:w="1087"/>
        <w:gridCol w:w="1087"/>
      </w:tblGrid>
      <w:tr w:rsidR="00313808" w:rsidRPr="00A408BF" w14:paraId="48DFF25D" w14:textId="77777777" w:rsidTr="00BA6AF3">
        <w:tc>
          <w:tcPr>
            <w:tcW w:w="2552" w:type="dxa"/>
            <w:shd w:val="clear" w:color="auto" w:fill="D9D9D9" w:themeFill="background1" w:themeFillShade="D9"/>
            <w:tcMar>
              <w:left w:w="70" w:type="dxa"/>
              <w:right w:w="70" w:type="dxa"/>
            </w:tcMar>
            <w:vAlign w:val="center"/>
          </w:tcPr>
          <w:p w14:paraId="27481DB8" w14:textId="07408060" w:rsidR="00313808" w:rsidRPr="00BA6AF3" w:rsidRDefault="00313808" w:rsidP="00313808">
            <w:pPr>
              <w:jc w:val="center"/>
              <w:rPr>
                <w:b/>
                <w:color w:val="000000" w:themeColor="text1"/>
                <w:sz w:val="22"/>
                <w:szCs w:val="22"/>
              </w:rPr>
            </w:pPr>
            <w:r w:rsidRPr="00BA6AF3">
              <w:rPr>
                <w:b/>
                <w:color w:val="000000" w:themeColor="text1"/>
                <w:sz w:val="22"/>
                <w:szCs w:val="22"/>
              </w:rPr>
              <w:t>2023</w:t>
            </w:r>
          </w:p>
        </w:tc>
        <w:tc>
          <w:tcPr>
            <w:tcW w:w="1086" w:type="dxa"/>
            <w:shd w:val="clear" w:color="auto" w:fill="D9D9D9" w:themeFill="background1" w:themeFillShade="D9"/>
            <w:tcMar>
              <w:left w:w="70" w:type="dxa"/>
              <w:right w:w="70" w:type="dxa"/>
            </w:tcMar>
          </w:tcPr>
          <w:p w14:paraId="14A8E4F0" w14:textId="77777777" w:rsidR="00313808" w:rsidRPr="00BA6AF3" w:rsidRDefault="00313808" w:rsidP="00BE05C2">
            <w:pPr>
              <w:jc w:val="center"/>
              <w:rPr>
                <w:b/>
                <w:color w:val="000000" w:themeColor="text1"/>
                <w:sz w:val="22"/>
                <w:szCs w:val="22"/>
              </w:rPr>
            </w:pPr>
            <w:r w:rsidRPr="00BA6AF3">
              <w:rPr>
                <w:b/>
                <w:color w:val="000000" w:themeColor="text1"/>
                <w:sz w:val="22"/>
                <w:szCs w:val="22"/>
              </w:rPr>
              <w:t>EBO3</w:t>
            </w:r>
          </w:p>
        </w:tc>
        <w:tc>
          <w:tcPr>
            <w:tcW w:w="1087" w:type="dxa"/>
            <w:shd w:val="clear" w:color="auto" w:fill="D9D9D9" w:themeFill="background1" w:themeFillShade="D9"/>
            <w:tcMar>
              <w:left w:w="70" w:type="dxa"/>
              <w:right w:w="70" w:type="dxa"/>
            </w:tcMar>
          </w:tcPr>
          <w:p w14:paraId="2E639927" w14:textId="77777777" w:rsidR="00313808" w:rsidRPr="00BA6AF3" w:rsidRDefault="00313808" w:rsidP="00BE05C2">
            <w:pPr>
              <w:jc w:val="center"/>
              <w:rPr>
                <w:b/>
                <w:color w:val="000000" w:themeColor="text1"/>
                <w:sz w:val="22"/>
                <w:szCs w:val="22"/>
              </w:rPr>
            </w:pPr>
            <w:r w:rsidRPr="00BA6AF3">
              <w:rPr>
                <w:b/>
                <w:color w:val="000000" w:themeColor="text1"/>
                <w:sz w:val="22"/>
                <w:szCs w:val="22"/>
              </w:rPr>
              <w:t>EBO4</w:t>
            </w:r>
          </w:p>
        </w:tc>
        <w:tc>
          <w:tcPr>
            <w:tcW w:w="1087" w:type="dxa"/>
            <w:shd w:val="clear" w:color="auto" w:fill="D9D9D9" w:themeFill="background1" w:themeFillShade="D9"/>
          </w:tcPr>
          <w:p w14:paraId="71BA5DF9" w14:textId="35072C5E" w:rsidR="00313808" w:rsidRPr="00BA6AF3" w:rsidRDefault="00313808" w:rsidP="00BE05C2">
            <w:pPr>
              <w:jc w:val="center"/>
              <w:rPr>
                <w:b/>
                <w:color w:val="000000" w:themeColor="text1"/>
                <w:sz w:val="22"/>
                <w:szCs w:val="22"/>
              </w:rPr>
            </w:pPr>
            <w:r w:rsidRPr="00BA6AF3">
              <w:rPr>
                <w:b/>
                <w:color w:val="000000" w:themeColor="text1"/>
                <w:sz w:val="22"/>
                <w:szCs w:val="22"/>
              </w:rPr>
              <w:t>EBO34</w:t>
            </w:r>
          </w:p>
        </w:tc>
        <w:tc>
          <w:tcPr>
            <w:tcW w:w="1086" w:type="dxa"/>
            <w:shd w:val="clear" w:color="auto" w:fill="D9D9D9" w:themeFill="background1" w:themeFillShade="D9"/>
            <w:tcMar>
              <w:left w:w="70" w:type="dxa"/>
              <w:right w:w="70" w:type="dxa"/>
            </w:tcMar>
          </w:tcPr>
          <w:p w14:paraId="3DF733B7" w14:textId="7B6F23B9" w:rsidR="00313808" w:rsidRPr="00BA6AF3" w:rsidRDefault="00313808" w:rsidP="00BE05C2">
            <w:pPr>
              <w:jc w:val="center"/>
              <w:rPr>
                <w:b/>
                <w:color w:val="000000" w:themeColor="text1"/>
                <w:sz w:val="22"/>
                <w:szCs w:val="22"/>
              </w:rPr>
            </w:pPr>
            <w:r w:rsidRPr="00BA6AF3">
              <w:rPr>
                <w:b/>
                <w:color w:val="000000" w:themeColor="text1"/>
                <w:sz w:val="22"/>
                <w:szCs w:val="22"/>
              </w:rPr>
              <w:t>EMO1</w:t>
            </w:r>
          </w:p>
        </w:tc>
        <w:tc>
          <w:tcPr>
            <w:tcW w:w="1087" w:type="dxa"/>
            <w:shd w:val="clear" w:color="auto" w:fill="D9D9D9" w:themeFill="background1" w:themeFillShade="D9"/>
            <w:tcMar>
              <w:left w:w="70" w:type="dxa"/>
              <w:right w:w="70" w:type="dxa"/>
            </w:tcMar>
          </w:tcPr>
          <w:p w14:paraId="4F87BAB3" w14:textId="77777777" w:rsidR="00313808" w:rsidRPr="00BA6AF3" w:rsidRDefault="00313808" w:rsidP="00BE05C2">
            <w:pPr>
              <w:jc w:val="center"/>
              <w:rPr>
                <w:b/>
                <w:color w:val="000000" w:themeColor="text1"/>
                <w:sz w:val="22"/>
                <w:szCs w:val="22"/>
              </w:rPr>
            </w:pPr>
            <w:r w:rsidRPr="00BA6AF3">
              <w:rPr>
                <w:b/>
                <w:color w:val="000000" w:themeColor="text1"/>
                <w:sz w:val="22"/>
                <w:szCs w:val="22"/>
              </w:rPr>
              <w:t>EMO2</w:t>
            </w:r>
          </w:p>
        </w:tc>
        <w:tc>
          <w:tcPr>
            <w:tcW w:w="1087" w:type="dxa"/>
            <w:shd w:val="clear" w:color="auto" w:fill="D9D9D9" w:themeFill="background1" w:themeFillShade="D9"/>
          </w:tcPr>
          <w:p w14:paraId="251244A3" w14:textId="77777777" w:rsidR="00313808" w:rsidRPr="00BA6AF3" w:rsidRDefault="00313808" w:rsidP="00BE05C2">
            <w:pPr>
              <w:jc w:val="center"/>
              <w:rPr>
                <w:b/>
                <w:color w:val="000000" w:themeColor="text1"/>
                <w:sz w:val="22"/>
                <w:szCs w:val="22"/>
              </w:rPr>
            </w:pPr>
            <w:r w:rsidRPr="00BA6AF3">
              <w:rPr>
                <w:b/>
                <w:color w:val="000000" w:themeColor="text1"/>
                <w:sz w:val="22"/>
                <w:szCs w:val="22"/>
              </w:rPr>
              <w:t>EMO3</w:t>
            </w:r>
          </w:p>
        </w:tc>
      </w:tr>
      <w:tr w:rsidR="00313808" w:rsidRPr="00A408BF" w14:paraId="34B47C37" w14:textId="77777777" w:rsidTr="00BA6AF3">
        <w:trPr>
          <w:trHeight w:val="306"/>
        </w:trPr>
        <w:tc>
          <w:tcPr>
            <w:tcW w:w="2552" w:type="dxa"/>
            <w:shd w:val="clear" w:color="000000" w:fill="FFFFFF"/>
            <w:tcMar>
              <w:left w:w="70" w:type="dxa"/>
              <w:right w:w="70" w:type="dxa"/>
            </w:tcMar>
          </w:tcPr>
          <w:p w14:paraId="5261A8C2" w14:textId="76F35CD1" w:rsidR="00313808" w:rsidRPr="00BA6AF3" w:rsidRDefault="00313808" w:rsidP="00313808">
            <w:pPr>
              <w:rPr>
                <w:color w:val="000000" w:themeColor="text1"/>
                <w:sz w:val="22"/>
                <w:szCs w:val="22"/>
              </w:rPr>
            </w:pPr>
            <w:r w:rsidRPr="00BA6AF3">
              <w:rPr>
                <w:sz w:val="22"/>
                <w:szCs w:val="22"/>
              </w:rPr>
              <w:t>PU hlásené ÚJD SR</w:t>
            </w:r>
          </w:p>
        </w:tc>
        <w:tc>
          <w:tcPr>
            <w:tcW w:w="1086" w:type="dxa"/>
            <w:shd w:val="clear" w:color="auto" w:fill="auto"/>
            <w:tcMar>
              <w:left w:w="70" w:type="dxa"/>
              <w:right w:w="70" w:type="dxa"/>
            </w:tcMar>
          </w:tcPr>
          <w:p w14:paraId="0794058E" w14:textId="2653FC5B"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54A5BB5A" w14:textId="065963B6" w:rsidR="00313808" w:rsidRPr="00BA6AF3" w:rsidRDefault="00313808" w:rsidP="00313808">
            <w:pPr>
              <w:ind w:left="284"/>
              <w:jc w:val="center"/>
              <w:rPr>
                <w:color w:val="000000" w:themeColor="text1"/>
                <w:sz w:val="22"/>
                <w:szCs w:val="22"/>
              </w:rPr>
            </w:pPr>
            <w:r w:rsidRPr="00BA6AF3">
              <w:rPr>
                <w:color w:val="000000" w:themeColor="text1"/>
                <w:sz w:val="22"/>
                <w:szCs w:val="22"/>
              </w:rPr>
              <w:t>3</w:t>
            </w:r>
          </w:p>
        </w:tc>
        <w:tc>
          <w:tcPr>
            <w:tcW w:w="1087" w:type="dxa"/>
          </w:tcPr>
          <w:p w14:paraId="39E47329" w14:textId="32DDEE44"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6" w:type="dxa"/>
            <w:shd w:val="clear" w:color="auto" w:fill="auto"/>
            <w:tcMar>
              <w:left w:w="70" w:type="dxa"/>
              <w:right w:w="70" w:type="dxa"/>
            </w:tcMar>
          </w:tcPr>
          <w:p w14:paraId="75115052" w14:textId="2DA40F04" w:rsidR="00313808" w:rsidRPr="00BA6AF3" w:rsidRDefault="00313808" w:rsidP="00313808">
            <w:pPr>
              <w:ind w:left="284"/>
              <w:jc w:val="center"/>
              <w:rPr>
                <w:color w:val="000000" w:themeColor="text1"/>
                <w:sz w:val="22"/>
                <w:szCs w:val="22"/>
              </w:rPr>
            </w:pPr>
            <w:r w:rsidRPr="00BA6AF3">
              <w:rPr>
                <w:color w:val="000000" w:themeColor="text1"/>
                <w:sz w:val="22"/>
                <w:szCs w:val="22"/>
              </w:rPr>
              <w:t>4</w:t>
            </w:r>
          </w:p>
        </w:tc>
        <w:tc>
          <w:tcPr>
            <w:tcW w:w="1087" w:type="dxa"/>
            <w:shd w:val="clear" w:color="auto" w:fill="auto"/>
            <w:tcMar>
              <w:left w:w="70" w:type="dxa"/>
              <w:right w:w="70" w:type="dxa"/>
            </w:tcMar>
          </w:tcPr>
          <w:p w14:paraId="344357D2" w14:textId="09E0E3E6" w:rsidR="00313808" w:rsidRPr="00BA6AF3" w:rsidRDefault="00313808" w:rsidP="00313808">
            <w:pPr>
              <w:ind w:left="284"/>
              <w:jc w:val="center"/>
              <w:rPr>
                <w:color w:val="000000" w:themeColor="text1"/>
                <w:sz w:val="22"/>
                <w:szCs w:val="22"/>
              </w:rPr>
            </w:pPr>
            <w:r w:rsidRPr="00BA6AF3">
              <w:rPr>
                <w:color w:val="000000" w:themeColor="text1"/>
                <w:sz w:val="22"/>
                <w:szCs w:val="22"/>
              </w:rPr>
              <w:t>4</w:t>
            </w:r>
          </w:p>
        </w:tc>
        <w:tc>
          <w:tcPr>
            <w:tcW w:w="1087" w:type="dxa"/>
          </w:tcPr>
          <w:p w14:paraId="168CDAD9" w14:textId="1393A10F" w:rsidR="00313808" w:rsidRPr="00BA6AF3" w:rsidRDefault="00313808" w:rsidP="00313808">
            <w:pPr>
              <w:ind w:left="284"/>
              <w:jc w:val="center"/>
              <w:rPr>
                <w:color w:val="000000" w:themeColor="text1"/>
                <w:sz w:val="22"/>
                <w:szCs w:val="22"/>
              </w:rPr>
            </w:pPr>
            <w:r w:rsidRPr="00BA6AF3">
              <w:rPr>
                <w:color w:val="000000" w:themeColor="text1"/>
                <w:sz w:val="22"/>
                <w:szCs w:val="22"/>
              </w:rPr>
              <w:t>5</w:t>
            </w:r>
          </w:p>
        </w:tc>
      </w:tr>
      <w:tr w:rsidR="00313808" w:rsidRPr="00A408BF" w14:paraId="3BADB782" w14:textId="77777777" w:rsidTr="00BA6AF3">
        <w:tc>
          <w:tcPr>
            <w:tcW w:w="2552" w:type="dxa"/>
            <w:shd w:val="clear" w:color="000000" w:fill="FFFFFF"/>
            <w:tcMar>
              <w:left w:w="70" w:type="dxa"/>
              <w:right w:w="70" w:type="dxa"/>
            </w:tcMar>
          </w:tcPr>
          <w:p w14:paraId="0B0E2B77" w14:textId="4364FD94" w:rsidR="00313808" w:rsidRPr="00BA6AF3" w:rsidRDefault="00313808" w:rsidP="00313808">
            <w:pPr>
              <w:rPr>
                <w:color w:val="000000" w:themeColor="text1"/>
                <w:sz w:val="22"/>
                <w:szCs w:val="22"/>
              </w:rPr>
            </w:pPr>
            <w:r w:rsidRPr="00BA6AF3">
              <w:rPr>
                <w:sz w:val="22"/>
                <w:szCs w:val="22"/>
              </w:rPr>
              <w:t>PU s príspevkom ĽF</w:t>
            </w:r>
          </w:p>
        </w:tc>
        <w:tc>
          <w:tcPr>
            <w:tcW w:w="1086" w:type="dxa"/>
            <w:shd w:val="clear" w:color="auto" w:fill="auto"/>
            <w:tcMar>
              <w:left w:w="70" w:type="dxa"/>
              <w:right w:w="70" w:type="dxa"/>
            </w:tcMar>
          </w:tcPr>
          <w:p w14:paraId="39A633C5" w14:textId="7F04EFA5"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381CE79B" w14:textId="2E52E2E2" w:rsidR="00313808" w:rsidRPr="00BA6AF3" w:rsidRDefault="00313808" w:rsidP="00313808">
            <w:pPr>
              <w:ind w:left="284"/>
              <w:jc w:val="center"/>
              <w:rPr>
                <w:color w:val="000000" w:themeColor="text1"/>
                <w:sz w:val="22"/>
                <w:szCs w:val="22"/>
              </w:rPr>
            </w:pPr>
            <w:r w:rsidRPr="00BA6AF3">
              <w:rPr>
                <w:color w:val="000000" w:themeColor="text1"/>
                <w:sz w:val="22"/>
                <w:szCs w:val="22"/>
              </w:rPr>
              <w:t>2</w:t>
            </w:r>
          </w:p>
        </w:tc>
        <w:tc>
          <w:tcPr>
            <w:tcW w:w="1087" w:type="dxa"/>
          </w:tcPr>
          <w:p w14:paraId="296818BE" w14:textId="070A7DD9"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6" w:type="dxa"/>
            <w:shd w:val="clear" w:color="auto" w:fill="auto"/>
            <w:tcMar>
              <w:left w:w="70" w:type="dxa"/>
              <w:right w:w="70" w:type="dxa"/>
            </w:tcMar>
          </w:tcPr>
          <w:p w14:paraId="47EDF362" w14:textId="30E1DF6F"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0E9EDAC9" w14:textId="00412811"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tcPr>
          <w:p w14:paraId="7F3BFEDF" w14:textId="21968043" w:rsidR="00313808" w:rsidRPr="00BA6AF3" w:rsidRDefault="00313808" w:rsidP="00313808">
            <w:pPr>
              <w:ind w:left="284"/>
              <w:jc w:val="center"/>
              <w:rPr>
                <w:color w:val="000000" w:themeColor="text1"/>
                <w:sz w:val="22"/>
                <w:szCs w:val="22"/>
              </w:rPr>
            </w:pPr>
            <w:r w:rsidRPr="00BA6AF3">
              <w:rPr>
                <w:color w:val="000000" w:themeColor="text1"/>
                <w:sz w:val="22"/>
                <w:szCs w:val="22"/>
              </w:rPr>
              <w:t>3</w:t>
            </w:r>
          </w:p>
        </w:tc>
      </w:tr>
      <w:tr w:rsidR="00313808" w:rsidRPr="00A408BF" w14:paraId="5F992D9C" w14:textId="77777777" w:rsidTr="00BA6AF3">
        <w:tc>
          <w:tcPr>
            <w:tcW w:w="2552" w:type="dxa"/>
            <w:shd w:val="clear" w:color="000000" w:fill="FFFFFF"/>
            <w:tcMar>
              <w:left w:w="70" w:type="dxa"/>
              <w:right w:w="70" w:type="dxa"/>
            </w:tcMar>
          </w:tcPr>
          <w:p w14:paraId="1265D1DE" w14:textId="1A675BDA" w:rsidR="00313808" w:rsidRPr="00BA6AF3" w:rsidRDefault="00313808" w:rsidP="00313808">
            <w:pPr>
              <w:rPr>
                <w:color w:val="000000" w:themeColor="text1"/>
                <w:sz w:val="22"/>
                <w:szCs w:val="22"/>
              </w:rPr>
            </w:pPr>
            <w:r w:rsidRPr="00BA6AF3">
              <w:rPr>
                <w:sz w:val="22"/>
                <w:szCs w:val="22"/>
              </w:rPr>
              <w:t>podiel PU s</w:t>
            </w:r>
            <w:r w:rsidR="00BE05C2" w:rsidRPr="00BA6AF3">
              <w:rPr>
                <w:sz w:val="22"/>
                <w:szCs w:val="22"/>
              </w:rPr>
              <w:t> </w:t>
            </w:r>
            <w:r w:rsidRPr="00BA6AF3">
              <w:rPr>
                <w:sz w:val="22"/>
                <w:szCs w:val="22"/>
              </w:rPr>
              <w:t>príspevkom ĽF [%]</w:t>
            </w:r>
          </w:p>
        </w:tc>
        <w:tc>
          <w:tcPr>
            <w:tcW w:w="1086" w:type="dxa"/>
            <w:shd w:val="clear" w:color="auto" w:fill="auto"/>
            <w:tcMar>
              <w:left w:w="70" w:type="dxa"/>
              <w:right w:w="70" w:type="dxa"/>
            </w:tcMar>
          </w:tcPr>
          <w:p w14:paraId="6730EABE" w14:textId="7B6A7CCE"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5AAA6499" w14:textId="15A5FA3B" w:rsidR="00313808" w:rsidRPr="00BA6AF3" w:rsidRDefault="00313808" w:rsidP="00313808">
            <w:pPr>
              <w:ind w:left="284"/>
              <w:jc w:val="center"/>
              <w:rPr>
                <w:color w:val="000000" w:themeColor="text1"/>
                <w:sz w:val="22"/>
                <w:szCs w:val="22"/>
              </w:rPr>
            </w:pPr>
            <w:r w:rsidRPr="00BA6AF3">
              <w:rPr>
                <w:color w:val="000000" w:themeColor="text1"/>
                <w:sz w:val="22"/>
                <w:szCs w:val="22"/>
              </w:rPr>
              <w:t>67</w:t>
            </w:r>
          </w:p>
        </w:tc>
        <w:tc>
          <w:tcPr>
            <w:tcW w:w="1087" w:type="dxa"/>
          </w:tcPr>
          <w:p w14:paraId="5E00C6C7" w14:textId="388AAAD3"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6" w:type="dxa"/>
            <w:shd w:val="clear" w:color="auto" w:fill="auto"/>
            <w:tcMar>
              <w:left w:w="70" w:type="dxa"/>
              <w:right w:w="70" w:type="dxa"/>
            </w:tcMar>
          </w:tcPr>
          <w:p w14:paraId="55E218CC" w14:textId="644570A0"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5DDE346E" w14:textId="5EAAC015"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tcPr>
          <w:p w14:paraId="308E5680" w14:textId="505D931F" w:rsidR="00313808" w:rsidRPr="00BA6AF3" w:rsidRDefault="00313808" w:rsidP="00313808">
            <w:pPr>
              <w:ind w:left="284"/>
              <w:jc w:val="center"/>
              <w:rPr>
                <w:color w:val="000000" w:themeColor="text1"/>
                <w:sz w:val="22"/>
                <w:szCs w:val="22"/>
              </w:rPr>
            </w:pPr>
            <w:r w:rsidRPr="00BA6AF3">
              <w:rPr>
                <w:color w:val="000000" w:themeColor="text1"/>
                <w:sz w:val="22"/>
                <w:szCs w:val="22"/>
              </w:rPr>
              <w:t>60</w:t>
            </w:r>
          </w:p>
        </w:tc>
      </w:tr>
      <w:tr w:rsidR="00313808" w:rsidRPr="00A408BF" w14:paraId="5682E2EB" w14:textId="77777777" w:rsidTr="00BA6AF3">
        <w:tc>
          <w:tcPr>
            <w:tcW w:w="2552" w:type="dxa"/>
            <w:shd w:val="clear" w:color="000000" w:fill="FFFFFF"/>
            <w:tcMar>
              <w:left w:w="70" w:type="dxa"/>
              <w:right w:w="70" w:type="dxa"/>
            </w:tcMar>
          </w:tcPr>
          <w:p w14:paraId="1277B3F5" w14:textId="091FEE56" w:rsidR="00313808" w:rsidRPr="00BA6AF3" w:rsidRDefault="00313808" w:rsidP="00313808">
            <w:pPr>
              <w:rPr>
                <w:color w:val="000000" w:themeColor="text1"/>
                <w:sz w:val="22"/>
                <w:szCs w:val="22"/>
              </w:rPr>
            </w:pPr>
            <w:r w:rsidRPr="00BA6AF3">
              <w:rPr>
                <w:sz w:val="22"/>
                <w:szCs w:val="22"/>
              </w:rPr>
              <w:t>PU klasifikované ako INES 1</w:t>
            </w:r>
          </w:p>
        </w:tc>
        <w:tc>
          <w:tcPr>
            <w:tcW w:w="1086" w:type="dxa"/>
            <w:shd w:val="clear" w:color="auto" w:fill="auto"/>
            <w:tcMar>
              <w:left w:w="70" w:type="dxa"/>
              <w:right w:w="70" w:type="dxa"/>
            </w:tcMar>
          </w:tcPr>
          <w:p w14:paraId="153F8244" w14:textId="3F42F262"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40753063" w14:textId="1B7D5977"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tcPr>
          <w:p w14:paraId="6B84A945" w14:textId="3AC834F3" w:rsidR="00313808" w:rsidRPr="00BA6AF3" w:rsidRDefault="00313808" w:rsidP="00313808">
            <w:pPr>
              <w:ind w:left="284"/>
              <w:jc w:val="center"/>
              <w:rPr>
                <w:color w:val="000000" w:themeColor="text1"/>
                <w:sz w:val="22"/>
                <w:szCs w:val="22"/>
              </w:rPr>
            </w:pPr>
            <w:r w:rsidRPr="00BA6AF3">
              <w:rPr>
                <w:color w:val="000000" w:themeColor="text1"/>
                <w:sz w:val="22"/>
                <w:szCs w:val="22"/>
              </w:rPr>
              <w:t>1</w:t>
            </w:r>
          </w:p>
        </w:tc>
        <w:tc>
          <w:tcPr>
            <w:tcW w:w="1086" w:type="dxa"/>
            <w:shd w:val="clear" w:color="auto" w:fill="auto"/>
            <w:tcMar>
              <w:left w:w="70" w:type="dxa"/>
              <w:right w:w="70" w:type="dxa"/>
            </w:tcMar>
          </w:tcPr>
          <w:p w14:paraId="6ACE1CF4" w14:textId="56FE9905"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shd w:val="clear" w:color="auto" w:fill="auto"/>
            <w:tcMar>
              <w:left w:w="70" w:type="dxa"/>
              <w:right w:w="70" w:type="dxa"/>
            </w:tcMar>
          </w:tcPr>
          <w:p w14:paraId="0039B86D" w14:textId="5797D067"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c>
          <w:tcPr>
            <w:tcW w:w="1087" w:type="dxa"/>
          </w:tcPr>
          <w:p w14:paraId="4164E3C5" w14:textId="7622E16C" w:rsidR="00313808" w:rsidRPr="00BA6AF3" w:rsidRDefault="00313808" w:rsidP="00313808">
            <w:pPr>
              <w:ind w:left="284"/>
              <w:jc w:val="center"/>
              <w:rPr>
                <w:color w:val="000000" w:themeColor="text1"/>
                <w:sz w:val="22"/>
                <w:szCs w:val="22"/>
              </w:rPr>
            </w:pPr>
            <w:r w:rsidRPr="00BA6AF3">
              <w:rPr>
                <w:color w:val="000000" w:themeColor="text1"/>
                <w:sz w:val="22"/>
                <w:szCs w:val="22"/>
              </w:rPr>
              <w:t>0</w:t>
            </w:r>
          </w:p>
        </w:tc>
      </w:tr>
    </w:tbl>
    <w:p w14:paraId="76483E3D" w14:textId="77777777" w:rsidR="00A71B06" w:rsidRPr="00A408BF" w:rsidRDefault="00A71B06" w:rsidP="00A71B06">
      <w:pPr>
        <w:jc w:val="both"/>
        <w:rPr>
          <w:color w:val="000000" w:themeColor="text1"/>
          <w:lang w:eastAsia="x-none"/>
        </w:rPr>
      </w:pPr>
    </w:p>
    <w:p w14:paraId="6AF8FCCF" w14:textId="77777777" w:rsidR="006334F7" w:rsidRDefault="006334F7" w:rsidP="009A163A">
      <w:pPr>
        <w:jc w:val="both"/>
        <w:rPr>
          <w:color w:val="000000" w:themeColor="text1"/>
          <w:lang w:eastAsia="x-none"/>
        </w:rPr>
      </w:pPr>
      <w:r w:rsidRPr="00A408BF">
        <w:rPr>
          <w:color w:val="000000" w:themeColor="text1"/>
          <w:lang w:eastAsia="x-none"/>
        </w:rPr>
        <w:t xml:space="preserve">Počet hlásených </w:t>
      </w:r>
      <w:r>
        <w:rPr>
          <w:color w:val="000000" w:themeColor="text1"/>
          <w:lang w:eastAsia="x-none"/>
        </w:rPr>
        <w:t xml:space="preserve">PU </w:t>
      </w:r>
      <w:r w:rsidRPr="00A408BF">
        <w:rPr>
          <w:color w:val="000000" w:themeColor="text1"/>
          <w:lang w:eastAsia="x-none"/>
        </w:rPr>
        <w:t>je nízky a </w:t>
      </w:r>
      <w:r w:rsidRPr="00D11859">
        <w:rPr>
          <w:color w:val="000000" w:themeColor="text1"/>
          <w:lang w:eastAsia="x-none"/>
        </w:rPr>
        <w:t>svedč</w:t>
      </w:r>
      <w:r w:rsidRPr="00A408BF">
        <w:rPr>
          <w:color w:val="000000" w:themeColor="text1"/>
          <w:lang w:eastAsia="x-none"/>
        </w:rPr>
        <w:t xml:space="preserve">í o stabilnej prevádzke JZ v SR. Počty PU s príspevkom </w:t>
      </w:r>
      <w:r>
        <w:rPr>
          <w:color w:val="000000" w:themeColor="text1"/>
          <w:lang w:eastAsia="x-none"/>
        </w:rPr>
        <w:t>ĽF</w:t>
      </w:r>
      <w:r w:rsidRPr="00A408BF">
        <w:rPr>
          <w:color w:val="000000" w:themeColor="text1"/>
          <w:lang w:eastAsia="x-none"/>
        </w:rPr>
        <w:t xml:space="preserve"> a ich podiel na celkovom počte hlásených porúch</w:t>
      </w:r>
      <w:r w:rsidRPr="00C5742C">
        <w:rPr>
          <w:color w:val="000000" w:themeColor="text1"/>
          <w:lang w:eastAsia="x-none"/>
        </w:rPr>
        <w:t xml:space="preserve"> sa vzťahuj</w:t>
      </w:r>
      <w:r>
        <w:rPr>
          <w:color w:val="000000" w:themeColor="text1"/>
          <w:lang w:eastAsia="x-none"/>
        </w:rPr>
        <w:t>ú</w:t>
      </w:r>
      <w:r w:rsidRPr="00C5742C">
        <w:rPr>
          <w:color w:val="000000" w:themeColor="text1"/>
          <w:lang w:eastAsia="x-none"/>
        </w:rPr>
        <w:t xml:space="preserve"> len na udalosti hlásené úradu. Podiel ľudského faktora na týchto udalostiach bol prehodnotený (potvrdený) skupinou pre analýzu udalostí ÚJD SR.</w:t>
      </w:r>
      <w:r>
        <w:rPr>
          <w:color w:val="000000" w:themeColor="text1"/>
          <w:lang w:eastAsia="x-none"/>
        </w:rPr>
        <w:t xml:space="preserve"> </w:t>
      </w:r>
    </w:p>
    <w:p w14:paraId="2A3C0B0E" w14:textId="77777777" w:rsidR="002A77CB" w:rsidRDefault="002A77CB" w:rsidP="00A71B06">
      <w:pPr>
        <w:jc w:val="both"/>
        <w:rPr>
          <w:color w:val="000000" w:themeColor="text1"/>
          <w:lang w:eastAsia="x-none"/>
        </w:rPr>
      </w:pPr>
    </w:p>
    <w:p w14:paraId="318C6880" w14:textId="77777777" w:rsidR="00A71B06" w:rsidRPr="00A408BF" w:rsidRDefault="00A71B06" w:rsidP="00A71B06">
      <w:pPr>
        <w:rPr>
          <w:b/>
          <w:color w:val="000000" w:themeColor="text1"/>
          <w:lang w:eastAsia="x-none"/>
        </w:rPr>
      </w:pPr>
      <w:r w:rsidRPr="00A408BF">
        <w:rPr>
          <w:b/>
          <w:color w:val="000000" w:themeColor="text1"/>
          <w:lang w:eastAsia="x-none"/>
        </w:rPr>
        <w:t>Prevádzka bezpečnostných systémov:</w:t>
      </w:r>
    </w:p>
    <w:p w14:paraId="5FD186EB" w14:textId="77777777" w:rsidR="00657159" w:rsidRPr="00657159" w:rsidRDefault="00657159" w:rsidP="00657159">
      <w:pPr>
        <w:autoSpaceDE w:val="0"/>
        <w:autoSpaceDN w:val="0"/>
        <w:adjustRightInd w:val="0"/>
        <w:jc w:val="both"/>
        <w:rPr>
          <w:color w:val="000000" w:themeColor="text1"/>
          <w:lang w:eastAsia="x-none"/>
        </w:rPr>
      </w:pPr>
      <w:r w:rsidRPr="00657159">
        <w:rPr>
          <w:color w:val="000000" w:themeColor="text1"/>
          <w:lang w:eastAsia="x-none"/>
        </w:rPr>
        <w:t xml:space="preserve">Prevádzka bezpečnostných systémov sa hodnotí prostredníctvom koeficientov </w:t>
      </w:r>
      <w:proofErr w:type="spellStart"/>
      <w:r w:rsidRPr="00657159">
        <w:rPr>
          <w:color w:val="000000" w:themeColor="text1"/>
          <w:lang w:eastAsia="x-none"/>
        </w:rPr>
        <w:t>nepohotovosti</w:t>
      </w:r>
      <w:proofErr w:type="spellEnd"/>
      <w:r w:rsidRPr="00657159">
        <w:rPr>
          <w:color w:val="000000" w:themeColor="text1"/>
          <w:lang w:eastAsia="x-none"/>
        </w:rPr>
        <w:t xml:space="preserve">. Koeficient </w:t>
      </w:r>
      <w:proofErr w:type="spellStart"/>
      <w:r w:rsidRPr="00657159">
        <w:rPr>
          <w:color w:val="000000" w:themeColor="text1"/>
          <w:lang w:eastAsia="x-none"/>
        </w:rPr>
        <w:t>nepohotovosti</w:t>
      </w:r>
      <w:proofErr w:type="spellEnd"/>
      <w:r w:rsidRPr="00657159">
        <w:rPr>
          <w:color w:val="000000" w:themeColor="text1"/>
          <w:lang w:eastAsia="x-none"/>
        </w:rPr>
        <w:t xml:space="preserve"> je definovaný ako pomer súčtu doby </w:t>
      </w:r>
      <w:proofErr w:type="spellStart"/>
      <w:r w:rsidRPr="00657159">
        <w:rPr>
          <w:color w:val="000000" w:themeColor="text1"/>
          <w:lang w:eastAsia="x-none"/>
        </w:rPr>
        <w:t>nepohotovostí</w:t>
      </w:r>
      <w:proofErr w:type="spellEnd"/>
      <w:r w:rsidRPr="00657159">
        <w:rPr>
          <w:color w:val="000000" w:themeColor="text1"/>
          <w:lang w:eastAsia="x-none"/>
        </w:rPr>
        <w:t xml:space="preserve"> daného systému k celkovej dobe, keď je jeho prevádzkyschopnosť požadovaná. </w:t>
      </w:r>
      <w:proofErr w:type="spellStart"/>
      <w:r w:rsidRPr="00657159">
        <w:rPr>
          <w:color w:val="000000" w:themeColor="text1"/>
          <w:lang w:eastAsia="x-none"/>
        </w:rPr>
        <w:t>Nepohotovosť</w:t>
      </w:r>
      <w:proofErr w:type="spellEnd"/>
      <w:r w:rsidRPr="00657159">
        <w:rPr>
          <w:color w:val="000000" w:themeColor="text1"/>
          <w:lang w:eastAsia="x-none"/>
        </w:rPr>
        <w:t xml:space="preserve"> je spravidla vyvolaná opravami porúch zistených počas pravidelných skúšok systémov.</w:t>
      </w:r>
    </w:p>
    <w:p w14:paraId="552444E8" w14:textId="009C9D07" w:rsidR="00657159" w:rsidRDefault="00657159" w:rsidP="00657159">
      <w:pPr>
        <w:autoSpaceDE w:val="0"/>
        <w:autoSpaceDN w:val="0"/>
        <w:adjustRightInd w:val="0"/>
        <w:jc w:val="both"/>
        <w:rPr>
          <w:color w:val="000000" w:themeColor="text1"/>
          <w:lang w:eastAsia="x-none"/>
        </w:rPr>
      </w:pPr>
      <w:r w:rsidRPr="00657159">
        <w:rPr>
          <w:color w:val="000000" w:themeColor="text1"/>
          <w:lang w:eastAsia="x-none"/>
        </w:rPr>
        <w:t xml:space="preserve">V JE Bohunice V-2 a ani v JE Mochovce 1, 2 a 3 sa počas roka 2023 zlyhanie bezpečnostných systémov nevyskytlo. V Tab. 5 sú uvedené vypočítané koeficienty </w:t>
      </w:r>
      <w:proofErr w:type="spellStart"/>
      <w:r w:rsidRPr="00657159">
        <w:rPr>
          <w:color w:val="000000" w:themeColor="text1"/>
          <w:lang w:eastAsia="x-none"/>
        </w:rPr>
        <w:t>nepohotovosti</w:t>
      </w:r>
      <w:proofErr w:type="spellEnd"/>
      <w:r w:rsidRPr="00657159">
        <w:rPr>
          <w:color w:val="000000" w:themeColor="text1"/>
          <w:lang w:eastAsia="x-none"/>
        </w:rPr>
        <w:t xml:space="preserve"> nasledovných bezpečnostných systémov:</w:t>
      </w:r>
    </w:p>
    <w:p w14:paraId="4812004F" w14:textId="499E3356" w:rsidR="00A71B06" w:rsidRPr="00657159" w:rsidRDefault="00A71B06" w:rsidP="00657159">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657159">
        <w:rPr>
          <w:rFonts w:ascii="Times New Roman" w:hAnsi="Times New Roman"/>
          <w:color w:val="000000" w:themeColor="text1"/>
          <w:sz w:val="24"/>
          <w:szCs w:val="24"/>
        </w:rPr>
        <w:t>nepohotovosť</w:t>
      </w:r>
      <w:proofErr w:type="spellEnd"/>
      <w:r w:rsidRPr="00657159">
        <w:rPr>
          <w:rFonts w:ascii="Times New Roman" w:hAnsi="Times New Roman"/>
          <w:color w:val="000000" w:themeColor="text1"/>
          <w:sz w:val="24"/>
          <w:szCs w:val="24"/>
        </w:rPr>
        <w:t xml:space="preserve"> </w:t>
      </w:r>
      <w:proofErr w:type="spellStart"/>
      <w:r w:rsidRPr="00657159">
        <w:rPr>
          <w:rFonts w:ascii="Times New Roman" w:hAnsi="Times New Roman"/>
          <w:color w:val="000000" w:themeColor="text1"/>
          <w:sz w:val="24"/>
          <w:szCs w:val="24"/>
        </w:rPr>
        <w:t>dieselgenerátorov</w:t>
      </w:r>
      <w:proofErr w:type="spellEnd"/>
      <w:r w:rsidRPr="00657159">
        <w:rPr>
          <w:rFonts w:ascii="Times New Roman" w:hAnsi="Times New Roman"/>
          <w:color w:val="000000" w:themeColor="text1"/>
          <w:sz w:val="24"/>
          <w:szCs w:val="24"/>
        </w:rPr>
        <w:t xml:space="preserve"> (DG), ktoré zabezpečujú elektrické napájanie iných bezpečnostných systémov v prípade straty ostatných vlastných a vonkajších zdrojov elektrického napájania,</w:t>
      </w:r>
    </w:p>
    <w:p w14:paraId="75A2A79E" w14:textId="77777777"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A408BF">
        <w:rPr>
          <w:rFonts w:ascii="Times New Roman" w:hAnsi="Times New Roman"/>
          <w:color w:val="000000" w:themeColor="text1"/>
          <w:sz w:val="24"/>
          <w:szCs w:val="24"/>
        </w:rPr>
        <w:lastRenderedPageBreak/>
        <w:t>nepohotovosť</w:t>
      </w:r>
      <w:proofErr w:type="spellEnd"/>
      <w:r w:rsidRPr="00A408BF">
        <w:rPr>
          <w:rFonts w:ascii="Times New Roman" w:hAnsi="Times New Roman"/>
          <w:color w:val="000000" w:themeColor="text1"/>
          <w:sz w:val="24"/>
          <w:szCs w:val="24"/>
        </w:rPr>
        <w:t xml:space="preserve"> čerpadiel </w:t>
      </w:r>
      <w:proofErr w:type="spellStart"/>
      <w:r w:rsidRPr="00A408BF">
        <w:rPr>
          <w:rFonts w:ascii="Times New Roman" w:hAnsi="Times New Roman"/>
          <w:color w:val="000000" w:themeColor="text1"/>
          <w:sz w:val="24"/>
          <w:szCs w:val="24"/>
        </w:rPr>
        <w:t>vysokotlakého</w:t>
      </w:r>
      <w:proofErr w:type="spellEnd"/>
      <w:r w:rsidRPr="00A408BF">
        <w:rPr>
          <w:rFonts w:ascii="Times New Roman" w:hAnsi="Times New Roman"/>
          <w:color w:val="000000" w:themeColor="text1"/>
          <w:sz w:val="24"/>
          <w:szCs w:val="24"/>
        </w:rPr>
        <w:t xml:space="preserve"> havarijného doplňovania primárneho okruhu (VT) – tieto čerpadlá sú určené na chladenie aktívnej zóny rektora v prípade únikov chladiva z primárneho okruhu,</w:t>
      </w:r>
    </w:p>
    <w:p w14:paraId="7C055F31" w14:textId="43CCECA1" w:rsidR="00A71B06" w:rsidRPr="00A408BF" w:rsidRDefault="00A71B06" w:rsidP="007C21EA">
      <w:pPr>
        <w:pStyle w:val="Odsekzoznamu"/>
        <w:numPr>
          <w:ilvl w:val="0"/>
          <w:numId w:val="8"/>
        </w:num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A408BF">
        <w:rPr>
          <w:rFonts w:ascii="Times New Roman" w:hAnsi="Times New Roman"/>
          <w:color w:val="000000" w:themeColor="text1"/>
          <w:sz w:val="24"/>
          <w:szCs w:val="24"/>
        </w:rPr>
        <w:t>nepohotovosť</w:t>
      </w:r>
      <w:proofErr w:type="spellEnd"/>
      <w:r w:rsidRPr="00A408BF">
        <w:rPr>
          <w:rFonts w:ascii="Times New Roman" w:hAnsi="Times New Roman"/>
          <w:color w:val="000000" w:themeColor="text1"/>
          <w:sz w:val="24"/>
          <w:szCs w:val="24"/>
        </w:rPr>
        <w:t xml:space="preserve"> systému napájania parogenerátorov </w:t>
      </w:r>
      <w:r w:rsidR="00144E90">
        <w:rPr>
          <w:rFonts w:ascii="Times New Roman" w:hAnsi="Times New Roman"/>
          <w:color w:val="000000" w:themeColor="text1"/>
          <w:sz w:val="24"/>
          <w:szCs w:val="24"/>
        </w:rPr>
        <w:t xml:space="preserve">(PG) </w:t>
      </w:r>
      <w:r w:rsidRPr="00A408BF">
        <w:rPr>
          <w:rFonts w:ascii="Times New Roman" w:hAnsi="Times New Roman"/>
          <w:color w:val="000000" w:themeColor="text1"/>
          <w:sz w:val="24"/>
          <w:szCs w:val="24"/>
        </w:rPr>
        <w:t>– čerpadlá</w:t>
      </w:r>
      <w:r w:rsidR="00B908BF">
        <w:rPr>
          <w:rFonts w:ascii="Times New Roman" w:hAnsi="Times New Roman"/>
          <w:color w:val="000000" w:themeColor="text1"/>
          <w:sz w:val="24"/>
          <w:szCs w:val="24"/>
        </w:rPr>
        <w:t xml:space="preserve"> </w:t>
      </w:r>
      <w:proofErr w:type="spellStart"/>
      <w:r w:rsidR="00B908BF">
        <w:rPr>
          <w:rFonts w:ascii="Times New Roman" w:hAnsi="Times New Roman"/>
          <w:color w:val="000000" w:themeColor="text1"/>
          <w:sz w:val="24"/>
          <w:szCs w:val="24"/>
        </w:rPr>
        <w:t>superhavarijného</w:t>
      </w:r>
      <w:proofErr w:type="spellEnd"/>
      <w:r w:rsidR="00B908BF">
        <w:rPr>
          <w:rFonts w:ascii="Times New Roman" w:hAnsi="Times New Roman"/>
          <w:color w:val="000000" w:themeColor="text1"/>
          <w:sz w:val="24"/>
          <w:szCs w:val="24"/>
        </w:rPr>
        <w:t xml:space="preserve"> systému napájania parogenerátorov (S</w:t>
      </w:r>
      <w:r w:rsidRPr="00A408BF">
        <w:rPr>
          <w:rFonts w:ascii="Times New Roman" w:hAnsi="Times New Roman"/>
          <w:color w:val="000000" w:themeColor="text1"/>
          <w:sz w:val="24"/>
          <w:szCs w:val="24"/>
        </w:rPr>
        <w:t>HNČ</w:t>
      </w:r>
      <w:r w:rsidR="00B908BF">
        <w:rPr>
          <w:rFonts w:ascii="Times New Roman" w:hAnsi="Times New Roman"/>
          <w:color w:val="000000" w:themeColor="text1"/>
          <w:sz w:val="24"/>
          <w:szCs w:val="24"/>
        </w:rPr>
        <w:t>)</w:t>
      </w:r>
      <w:r w:rsidRPr="00A408BF">
        <w:rPr>
          <w:rFonts w:ascii="Times New Roman" w:hAnsi="Times New Roman"/>
          <w:color w:val="000000" w:themeColor="text1"/>
          <w:sz w:val="24"/>
          <w:szCs w:val="24"/>
        </w:rPr>
        <w:t xml:space="preserve"> a</w:t>
      </w:r>
      <w:r w:rsidR="00B908BF" w:rsidRPr="00B908BF">
        <w:rPr>
          <w:rFonts w:ascii="Times New Roman" w:hAnsi="Times New Roman"/>
          <w:color w:val="000000" w:themeColor="text1"/>
          <w:sz w:val="24"/>
          <w:szCs w:val="24"/>
        </w:rPr>
        <w:t xml:space="preserve"> </w:t>
      </w:r>
      <w:r w:rsidR="00B908BF" w:rsidRPr="00A408BF">
        <w:rPr>
          <w:rFonts w:ascii="Times New Roman" w:hAnsi="Times New Roman"/>
          <w:color w:val="000000" w:themeColor="text1"/>
          <w:sz w:val="24"/>
          <w:szCs w:val="24"/>
        </w:rPr>
        <w:t>čerpadlá</w:t>
      </w:r>
      <w:r w:rsidR="00B908BF">
        <w:rPr>
          <w:rFonts w:ascii="Times New Roman" w:hAnsi="Times New Roman"/>
          <w:color w:val="000000" w:themeColor="text1"/>
          <w:sz w:val="24"/>
          <w:szCs w:val="24"/>
        </w:rPr>
        <w:t xml:space="preserve"> havarijného systému napájania parogenerátorov</w:t>
      </w:r>
      <w:r w:rsidRPr="00A408BF">
        <w:rPr>
          <w:rFonts w:ascii="Times New Roman" w:hAnsi="Times New Roman"/>
          <w:color w:val="000000" w:themeColor="text1"/>
          <w:sz w:val="24"/>
          <w:szCs w:val="24"/>
        </w:rPr>
        <w:t> </w:t>
      </w:r>
      <w:r w:rsidR="00B908BF">
        <w:rPr>
          <w:rFonts w:ascii="Times New Roman" w:hAnsi="Times New Roman"/>
          <w:color w:val="000000" w:themeColor="text1"/>
          <w:sz w:val="24"/>
          <w:szCs w:val="24"/>
        </w:rPr>
        <w:t>(</w:t>
      </w:r>
      <w:r w:rsidRPr="00A408BF">
        <w:rPr>
          <w:rFonts w:ascii="Times New Roman" w:hAnsi="Times New Roman"/>
          <w:color w:val="000000" w:themeColor="text1"/>
          <w:sz w:val="24"/>
          <w:szCs w:val="24"/>
        </w:rPr>
        <w:t>HNČ</w:t>
      </w:r>
      <w:r w:rsidR="00B908BF">
        <w:rPr>
          <w:rFonts w:ascii="Times New Roman" w:hAnsi="Times New Roman"/>
          <w:color w:val="000000" w:themeColor="text1"/>
          <w:sz w:val="24"/>
          <w:szCs w:val="24"/>
        </w:rPr>
        <w:t>)</w:t>
      </w:r>
      <w:r w:rsidRPr="00A408BF">
        <w:rPr>
          <w:rFonts w:ascii="Times New Roman" w:hAnsi="Times New Roman"/>
          <w:color w:val="000000" w:themeColor="text1"/>
          <w:sz w:val="24"/>
          <w:szCs w:val="24"/>
        </w:rPr>
        <w:t xml:space="preserve"> zabezpečujú dopĺňanie sekundárnej strany parogenerátorov a tým aj odvod tepla z primárneho okruhu v podmienkach abnormálnej prevádzky a v havarijných stavoch.</w:t>
      </w:r>
    </w:p>
    <w:p w14:paraId="7521D24F" w14:textId="77777777" w:rsidR="00A71B06" w:rsidRPr="00984406" w:rsidRDefault="00A71B06" w:rsidP="00A71B06">
      <w:pPr>
        <w:jc w:val="both"/>
        <w:rPr>
          <w:color w:val="000000" w:themeColor="text1"/>
          <w:lang w:eastAsia="x-none"/>
        </w:rPr>
      </w:pPr>
    </w:p>
    <w:p w14:paraId="2D8E161D" w14:textId="54ACB847" w:rsidR="00A71B06" w:rsidRPr="0036514D" w:rsidRDefault="00A71B06" w:rsidP="00A71B06">
      <w:pPr>
        <w:jc w:val="both"/>
        <w:rPr>
          <w:color w:val="000000" w:themeColor="text1"/>
          <w:sz w:val="22"/>
          <w:szCs w:val="22"/>
          <w:lang w:eastAsia="x-none"/>
        </w:rPr>
      </w:pPr>
      <w:r w:rsidRPr="0036514D">
        <w:rPr>
          <w:color w:val="000000" w:themeColor="text1"/>
          <w:sz w:val="22"/>
          <w:szCs w:val="22"/>
          <w:lang w:eastAsia="x-none"/>
        </w:rPr>
        <w:t xml:space="preserve">Tab. 5 Koeficienty </w:t>
      </w:r>
      <w:proofErr w:type="spellStart"/>
      <w:r w:rsidRPr="0036514D">
        <w:rPr>
          <w:color w:val="000000" w:themeColor="text1"/>
          <w:sz w:val="22"/>
          <w:szCs w:val="22"/>
          <w:lang w:eastAsia="x-none"/>
        </w:rPr>
        <w:t>nepohotovosti</w:t>
      </w:r>
      <w:proofErr w:type="spellEnd"/>
      <w:r w:rsidRPr="0036514D">
        <w:rPr>
          <w:color w:val="000000" w:themeColor="text1"/>
          <w:sz w:val="22"/>
          <w:szCs w:val="22"/>
          <w:lang w:eastAsia="x-none"/>
        </w:rPr>
        <w:t xml:space="preserve"> vybraných bezpečnostných systémov pre bloky JZ v SR v roku 202</w:t>
      </w:r>
      <w:r w:rsidR="00A92624" w:rsidRPr="0036514D">
        <w:rPr>
          <w:color w:val="000000" w:themeColor="text1"/>
          <w:sz w:val="22"/>
          <w:szCs w:val="22"/>
          <w:lang w:eastAsia="x-none"/>
        </w:rPr>
        <w:t>3</w:t>
      </w:r>
    </w:p>
    <w:tbl>
      <w:tblPr>
        <w:tblStyle w:val="Mriekatabuky"/>
        <w:tblW w:w="9067" w:type="dxa"/>
        <w:tblLook w:val="04A0" w:firstRow="1" w:lastRow="0" w:firstColumn="1" w:lastColumn="0" w:noHBand="0" w:noVBand="1"/>
      </w:tblPr>
      <w:tblGrid>
        <w:gridCol w:w="2964"/>
        <w:gridCol w:w="1245"/>
        <w:gridCol w:w="1246"/>
        <w:gridCol w:w="1261"/>
        <w:gridCol w:w="1246"/>
        <w:gridCol w:w="1105"/>
      </w:tblGrid>
      <w:tr w:rsidR="00A71B06" w:rsidRPr="00A408BF" w14:paraId="2783BB96" w14:textId="77777777" w:rsidTr="00066BA1">
        <w:tc>
          <w:tcPr>
            <w:tcW w:w="2972" w:type="dxa"/>
            <w:shd w:val="clear" w:color="auto" w:fill="D9D9D9" w:themeFill="background1" w:themeFillShade="D9"/>
          </w:tcPr>
          <w:p w14:paraId="3EF3224A" w14:textId="38E3602D"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202</w:t>
            </w:r>
            <w:r w:rsidR="00A92624" w:rsidRPr="00BA6AF3">
              <w:rPr>
                <w:b/>
                <w:color w:val="000000" w:themeColor="text1"/>
                <w:sz w:val="22"/>
                <w:szCs w:val="22"/>
                <w:lang w:eastAsia="x-none"/>
              </w:rPr>
              <w:t>3</w:t>
            </w:r>
          </w:p>
        </w:tc>
        <w:tc>
          <w:tcPr>
            <w:tcW w:w="1247" w:type="dxa"/>
            <w:shd w:val="clear" w:color="auto" w:fill="D9D9D9" w:themeFill="background1" w:themeFillShade="D9"/>
          </w:tcPr>
          <w:p w14:paraId="10773CDD"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EBO3</w:t>
            </w:r>
          </w:p>
        </w:tc>
        <w:tc>
          <w:tcPr>
            <w:tcW w:w="1247" w:type="dxa"/>
            <w:shd w:val="clear" w:color="auto" w:fill="D9D9D9" w:themeFill="background1" w:themeFillShade="D9"/>
          </w:tcPr>
          <w:p w14:paraId="4966A4CE"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EBO4</w:t>
            </w:r>
          </w:p>
        </w:tc>
        <w:tc>
          <w:tcPr>
            <w:tcW w:w="1248" w:type="dxa"/>
            <w:shd w:val="clear" w:color="auto" w:fill="D9D9D9" w:themeFill="background1" w:themeFillShade="D9"/>
          </w:tcPr>
          <w:p w14:paraId="01CD475C"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EMO1</w:t>
            </w:r>
          </w:p>
        </w:tc>
        <w:tc>
          <w:tcPr>
            <w:tcW w:w="1247" w:type="dxa"/>
            <w:shd w:val="clear" w:color="auto" w:fill="D9D9D9" w:themeFill="background1" w:themeFillShade="D9"/>
          </w:tcPr>
          <w:p w14:paraId="3B3743B4"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EMO2</w:t>
            </w:r>
          </w:p>
        </w:tc>
        <w:tc>
          <w:tcPr>
            <w:tcW w:w="1106" w:type="dxa"/>
            <w:shd w:val="clear" w:color="auto" w:fill="D9D9D9" w:themeFill="background1" w:themeFillShade="D9"/>
          </w:tcPr>
          <w:p w14:paraId="522D1B78" w14:textId="77777777" w:rsidR="00A71B06" w:rsidRPr="00BA6AF3" w:rsidRDefault="00A71B06" w:rsidP="00590626">
            <w:pPr>
              <w:jc w:val="center"/>
              <w:rPr>
                <w:b/>
                <w:color w:val="000000" w:themeColor="text1"/>
                <w:sz w:val="22"/>
                <w:szCs w:val="22"/>
                <w:lang w:eastAsia="x-none"/>
              </w:rPr>
            </w:pPr>
            <w:r w:rsidRPr="00BA6AF3">
              <w:rPr>
                <w:b/>
                <w:color w:val="000000" w:themeColor="text1"/>
                <w:sz w:val="22"/>
                <w:szCs w:val="22"/>
                <w:lang w:eastAsia="x-none"/>
              </w:rPr>
              <w:t>EMO3</w:t>
            </w:r>
          </w:p>
        </w:tc>
      </w:tr>
      <w:tr w:rsidR="004B3AB6" w:rsidRPr="00A408BF" w14:paraId="6F1F2300" w14:textId="77777777" w:rsidTr="00066BA1">
        <w:tc>
          <w:tcPr>
            <w:tcW w:w="2972" w:type="dxa"/>
          </w:tcPr>
          <w:p w14:paraId="03C0400A" w14:textId="77777777" w:rsidR="004B3AB6" w:rsidRPr="00BA6AF3" w:rsidRDefault="004B3AB6" w:rsidP="004B3AB6">
            <w:pPr>
              <w:rPr>
                <w:color w:val="000000" w:themeColor="text1"/>
                <w:sz w:val="22"/>
                <w:szCs w:val="22"/>
                <w:lang w:eastAsia="x-none"/>
              </w:rPr>
            </w:pPr>
            <w:proofErr w:type="spellStart"/>
            <w:r w:rsidRPr="00BA6AF3">
              <w:rPr>
                <w:color w:val="000000" w:themeColor="text1"/>
                <w:sz w:val="22"/>
                <w:szCs w:val="22"/>
                <w:lang w:eastAsia="x-none"/>
              </w:rPr>
              <w:t>nepohotovosť</w:t>
            </w:r>
            <w:proofErr w:type="spellEnd"/>
            <w:r w:rsidRPr="00BA6AF3">
              <w:rPr>
                <w:color w:val="000000" w:themeColor="text1"/>
                <w:sz w:val="22"/>
                <w:szCs w:val="22"/>
                <w:lang w:eastAsia="x-none"/>
              </w:rPr>
              <w:t xml:space="preserve"> DG</w:t>
            </w:r>
          </w:p>
        </w:tc>
        <w:tc>
          <w:tcPr>
            <w:tcW w:w="1247" w:type="dxa"/>
          </w:tcPr>
          <w:p w14:paraId="01656B3F" w14:textId="650F8A20" w:rsidR="004B3AB6" w:rsidRPr="00BA6AF3" w:rsidRDefault="004B3AB6" w:rsidP="004B3AB6">
            <w:pPr>
              <w:jc w:val="center"/>
              <w:rPr>
                <w:color w:val="000000" w:themeColor="text1"/>
                <w:sz w:val="22"/>
                <w:szCs w:val="22"/>
                <w:lang w:eastAsia="x-none"/>
              </w:rPr>
            </w:pPr>
            <w:r w:rsidRPr="00BA6AF3">
              <w:rPr>
                <w:sz w:val="22"/>
                <w:szCs w:val="22"/>
              </w:rPr>
              <w:t>0</w:t>
            </w:r>
          </w:p>
        </w:tc>
        <w:tc>
          <w:tcPr>
            <w:tcW w:w="1247" w:type="dxa"/>
          </w:tcPr>
          <w:p w14:paraId="2ACFF86D" w14:textId="2032D63A" w:rsidR="004B3AB6" w:rsidRPr="00BA6AF3" w:rsidRDefault="004B3AB6" w:rsidP="004B3AB6">
            <w:pPr>
              <w:jc w:val="center"/>
              <w:rPr>
                <w:color w:val="000000" w:themeColor="text1"/>
                <w:sz w:val="22"/>
                <w:szCs w:val="22"/>
                <w:lang w:eastAsia="x-none"/>
              </w:rPr>
            </w:pPr>
            <w:r w:rsidRPr="00BA6AF3">
              <w:rPr>
                <w:sz w:val="22"/>
                <w:szCs w:val="22"/>
              </w:rPr>
              <w:t>0,00011</w:t>
            </w:r>
          </w:p>
        </w:tc>
        <w:tc>
          <w:tcPr>
            <w:tcW w:w="1248" w:type="dxa"/>
          </w:tcPr>
          <w:p w14:paraId="077A2B58" w14:textId="5951386D" w:rsidR="004B3AB6" w:rsidRPr="00BA6AF3" w:rsidRDefault="004B3AB6" w:rsidP="004B3AB6">
            <w:pPr>
              <w:jc w:val="center"/>
              <w:rPr>
                <w:color w:val="000000" w:themeColor="text1"/>
                <w:sz w:val="22"/>
                <w:szCs w:val="22"/>
                <w:lang w:eastAsia="x-none"/>
              </w:rPr>
            </w:pPr>
            <w:r w:rsidRPr="00BA6AF3">
              <w:rPr>
                <w:sz w:val="22"/>
                <w:szCs w:val="22"/>
              </w:rPr>
              <w:t>0</w:t>
            </w:r>
          </w:p>
        </w:tc>
        <w:tc>
          <w:tcPr>
            <w:tcW w:w="1247" w:type="dxa"/>
          </w:tcPr>
          <w:p w14:paraId="74DD815B" w14:textId="1BEE80C5" w:rsidR="004B3AB6" w:rsidRPr="00BA6AF3" w:rsidRDefault="004B3AB6" w:rsidP="004B3AB6">
            <w:pPr>
              <w:jc w:val="center"/>
              <w:rPr>
                <w:color w:val="000000" w:themeColor="text1"/>
                <w:sz w:val="22"/>
                <w:szCs w:val="22"/>
                <w:lang w:eastAsia="x-none"/>
              </w:rPr>
            </w:pPr>
            <w:r w:rsidRPr="00BA6AF3">
              <w:rPr>
                <w:sz w:val="22"/>
                <w:szCs w:val="22"/>
              </w:rPr>
              <w:t>0,000132</w:t>
            </w:r>
          </w:p>
        </w:tc>
        <w:tc>
          <w:tcPr>
            <w:tcW w:w="1106" w:type="dxa"/>
          </w:tcPr>
          <w:p w14:paraId="70B872F5" w14:textId="27CED0DF" w:rsidR="004B3AB6" w:rsidRPr="00BA6AF3" w:rsidDel="005E668D" w:rsidRDefault="004B3AB6" w:rsidP="004B3AB6">
            <w:pPr>
              <w:jc w:val="center"/>
              <w:rPr>
                <w:sz w:val="22"/>
                <w:szCs w:val="22"/>
              </w:rPr>
            </w:pPr>
            <w:r w:rsidRPr="00BA6AF3">
              <w:rPr>
                <w:sz w:val="22"/>
                <w:szCs w:val="22"/>
              </w:rPr>
              <w:t>0</w:t>
            </w:r>
          </w:p>
        </w:tc>
      </w:tr>
      <w:tr w:rsidR="004B3AB6" w:rsidRPr="00A408BF" w14:paraId="6576E4DC" w14:textId="77777777" w:rsidTr="00066BA1">
        <w:tc>
          <w:tcPr>
            <w:tcW w:w="2972" w:type="dxa"/>
          </w:tcPr>
          <w:p w14:paraId="188EBCE6" w14:textId="77777777" w:rsidR="004B3AB6" w:rsidRPr="00BA6AF3" w:rsidRDefault="004B3AB6" w:rsidP="004B3AB6">
            <w:pPr>
              <w:rPr>
                <w:color w:val="000000" w:themeColor="text1"/>
                <w:sz w:val="22"/>
                <w:szCs w:val="22"/>
                <w:lang w:eastAsia="x-none"/>
              </w:rPr>
            </w:pPr>
            <w:proofErr w:type="spellStart"/>
            <w:r w:rsidRPr="00BA6AF3">
              <w:rPr>
                <w:color w:val="000000" w:themeColor="text1"/>
                <w:sz w:val="22"/>
                <w:szCs w:val="22"/>
                <w:lang w:eastAsia="x-none"/>
              </w:rPr>
              <w:t>nepohotovosť</w:t>
            </w:r>
            <w:proofErr w:type="spellEnd"/>
            <w:r w:rsidRPr="00BA6AF3">
              <w:rPr>
                <w:color w:val="000000" w:themeColor="text1"/>
                <w:sz w:val="22"/>
                <w:szCs w:val="22"/>
                <w:lang w:eastAsia="x-none"/>
              </w:rPr>
              <w:t xml:space="preserve"> VT</w:t>
            </w:r>
          </w:p>
        </w:tc>
        <w:tc>
          <w:tcPr>
            <w:tcW w:w="1247" w:type="dxa"/>
          </w:tcPr>
          <w:p w14:paraId="36F18DCF" w14:textId="442FC38B" w:rsidR="004B3AB6" w:rsidRPr="00BA6AF3" w:rsidRDefault="004B3AB6" w:rsidP="004B3AB6">
            <w:pPr>
              <w:jc w:val="center"/>
              <w:rPr>
                <w:color w:val="000000" w:themeColor="text1"/>
                <w:sz w:val="22"/>
                <w:szCs w:val="22"/>
                <w:lang w:eastAsia="x-none"/>
              </w:rPr>
            </w:pPr>
            <w:r w:rsidRPr="00BA6AF3">
              <w:rPr>
                <w:sz w:val="22"/>
                <w:szCs w:val="22"/>
              </w:rPr>
              <w:t>0</w:t>
            </w:r>
          </w:p>
        </w:tc>
        <w:tc>
          <w:tcPr>
            <w:tcW w:w="1247" w:type="dxa"/>
          </w:tcPr>
          <w:p w14:paraId="6BDA1843" w14:textId="776D7EBD" w:rsidR="004B3AB6" w:rsidRPr="00BA6AF3" w:rsidRDefault="004B3AB6" w:rsidP="004B3AB6">
            <w:pPr>
              <w:jc w:val="center"/>
              <w:rPr>
                <w:color w:val="000000" w:themeColor="text1"/>
                <w:sz w:val="22"/>
                <w:szCs w:val="22"/>
                <w:lang w:eastAsia="x-none"/>
              </w:rPr>
            </w:pPr>
            <w:r w:rsidRPr="00BA6AF3">
              <w:rPr>
                <w:sz w:val="22"/>
                <w:szCs w:val="22"/>
              </w:rPr>
              <w:t>0</w:t>
            </w:r>
          </w:p>
        </w:tc>
        <w:tc>
          <w:tcPr>
            <w:tcW w:w="1248" w:type="dxa"/>
          </w:tcPr>
          <w:p w14:paraId="28E1A8EB" w14:textId="3EA4114C" w:rsidR="004B3AB6" w:rsidRPr="00BA6AF3" w:rsidRDefault="004B3AB6" w:rsidP="004B3AB6">
            <w:pPr>
              <w:jc w:val="center"/>
              <w:rPr>
                <w:color w:val="000000" w:themeColor="text1"/>
                <w:sz w:val="22"/>
                <w:szCs w:val="22"/>
                <w:lang w:eastAsia="x-none"/>
              </w:rPr>
            </w:pPr>
            <w:r w:rsidRPr="00BA6AF3">
              <w:rPr>
                <w:sz w:val="22"/>
                <w:szCs w:val="22"/>
              </w:rPr>
              <w:t>0,00000012</w:t>
            </w:r>
          </w:p>
        </w:tc>
        <w:tc>
          <w:tcPr>
            <w:tcW w:w="1247" w:type="dxa"/>
          </w:tcPr>
          <w:p w14:paraId="741A0C78" w14:textId="3738552B" w:rsidR="004B3AB6" w:rsidRPr="00BA6AF3" w:rsidRDefault="004B3AB6" w:rsidP="004B3AB6">
            <w:pPr>
              <w:jc w:val="center"/>
              <w:rPr>
                <w:color w:val="000000" w:themeColor="text1"/>
                <w:sz w:val="22"/>
                <w:szCs w:val="22"/>
                <w:lang w:eastAsia="x-none"/>
              </w:rPr>
            </w:pPr>
            <w:r w:rsidRPr="00BA6AF3">
              <w:rPr>
                <w:sz w:val="22"/>
                <w:szCs w:val="22"/>
              </w:rPr>
              <w:t>0</w:t>
            </w:r>
          </w:p>
        </w:tc>
        <w:tc>
          <w:tcPr>
            <w:tcW w:w="1106" w:type="dxa"/>
          </w:tcPr>
          <w:p w14:paraId="265D5447" w14:textId="0728342E" w:rsidR="004B3AB6" w:rsidRPr="00BA6AF3" w:rsidRDefault="004B3AB6" w:rsidP="004B3AB6">
            <w:pPr>
              <w:jc w:val="center"/>
              <w:rPr>
                <w:sz w:val="22"/>
                <w:szCs w:val="22"/>
              </w:rPr>
            </w:pPr>
            <w:r w:rsidRPr="00BA6AF3">
              <w:rPr>
                <w:sz w:val="22"/>
                <w:szCs w:val="22"/>
              </w:rPr>
              <w:t>0,0001</w:t>
            </w:r>
          </w:p>
        </w:tc>
      </w:tr>
      <w:tr w:rsidR="004B3AB6" w:rsidRPr="00A408BF" w14:paraId="11B0EB3A" w14:textId="77777777" w:rsidTr="00066BA1">
        <w:tc>
          <w:tcPr>
            <w:tcW w:w="2972" w:type="dxa"/>
          </w:tcPr>
          <w:p w14:paraId="1D36A730" w14:textId="77777777" w:rsidR="004B3AB6" w:rsidRPr="00BA6AF3" w:rsidRDefault="004B3AB6" w:rsidP="004B3AB6">
            <w:pPr>
              <w:rPr>
                <w:color w:val="000000" w:themeColor="text1"/>
                <w:sz w:val="22"/>
                <w:szCs w:val="22"/>
                <w:lang w:eastAsia="x-none"/>
              </w:rPr>
            </w:pPr>
            <w:proofErr w:type="spellStart"/>
            <w:r w:rsidRPr="00BA6AF3">
              <w:rPr>
                <w:color w:val="000000" w:themeColor="text1"/>
                <w:sz w:val="22"/>
                <w:szCs w:val="22"/>
                <w:lang w:eastAsia="x-none"/>
              </w:rPr>
              <w:t>nepohotovosť</w:t>
            </w:r>
            <w:proofErr w:type="spellEnd"/>
            <w:r w:rsidRPr="00BA6AF3">
              <w:rPr>
                <w:color w:val="000000" w:themeColor="text1"/>
                <w:sz w:val="22"/>
                <w:szCs w:val="22"/>
                <w:lang w:eastAsia="x-none"/>
              </w:rPr>
              <w:t xml:space="preserve"> SHNČ+HNČ</w:t>
            </w:r>
          </w:p>
        </w:tc>
        <w:tc>
          <w:tcPr>
            <w:tcW w:w="1247" w:type="dxa"/>
          </w:tcPr>
          <w:p w14:paraId="54B8990E" w14:textId="2C668F38" w:rsidR="004B3AB6" w:rsidRPr="00BA6AF3" w:rsidRDefault="004B3AB6" w:rsidP="004B3AB6">
            <w:pPr>
              <w:jc w:val="center"/>
              <w:rPr>
                <w:color w:val="000000" w:themeColor="text1"/>
                <w:sz w:val="22"/>
                <w:szCs w:val="22"/>
                <w:lang w:eastAsia="x-none"/>
              </w:rPr>
            </w:pPr>
            <w:r w:rsidRPr="00BA6AF3">
              <w:rPr>
                <w:sz w:val="22"/>
                <w:szCs w:val="22"/>
              </w:rPr>
              <w:t>0,00121</w:t>
            </w:r>
          </w:p>
        </w:tc>
        <w:tc>
          <w:tcPr>
            <w:tcW w:w="1247" w:type="dxa"/>
          </w:tcPr>
          <w:p w14:paraId="48D485E7" w14:textId="75912E42" w:rsidR="004B3AB6" w:rsidRPr="00BA6AF3" w:rsidRDefault="004B3AB6" w:rsidP="004B3AB6">
            <w:pPr>
              <w:jc w:val="center"/>
              <w:rPr>
                <w:color w:val="000000" w:themeColor="text1"/>
                <w:sz w:val="22"/>
                <w:szCs w:val="22"/>
                <w:lang w:eastAsia="x-none"/>
              </w:rPr>
            </w:pPr>
            <w:r w:rsidRPr="00BA6AF3">
              <w:rPr>
                <w:sz w:val="22"/>
                <w:szCs w:val="22"/>
              </w:rPr>
              <w:t>0,0000567</w:t>
            </w:r>
          </w:p>
        </w:tc>
        <w:tc>
          <w:tcPr>
            <w:tcW w:w="1248" w:type="dxa"/>
          </w:tcPr>
          <w:p w14:paraId="1C21C444" w14:textId="5DA88ECA" w:rsidR="004B3AB6" w:rsidRPr="00BA6AF3" w:rsidRDefault="004B3AB6" w:rsidP="004B3AB6">
            <w:pPr>
              <w:jc w:val="center"/>
              <w:rPr>
                <w:color w:val="000000" w:themeColor="text1"/>
                <w:sz w:val="22"/>
                <w:szCs w:val="22"/>
                <w:lang w:eastAsia="x-none"/>
              </w:rPr>
            </w:pPr>
            <w:r w:rsidRPr="00BA6AF3">
              <w:rPr>
                <w:sz w:val="22"/>
                <w:szCs w:val="22"/>
              </w:rPr>
              <w:t>0,00095</w:t>
            </w:r>
          </w:p>
        </w:tc>
        <w:tc>
          <w:tcPr>
            <w:tcW w:w="1247" w:type="dxa"/>
          </w:tcPr>
          <w:p w14:paraId="567313E8" w14:textId="267ABC1E" w:rsidR="004B3AB6" w:rsidRPr="00BA6AF3" w:rsidRDefault="004B3AB6" w:rsidP="004B3AB6">
            <w:pPr>
              <w:jc w:val="center"/>
              <w:rPr>
                <w:color w:val="000000" w:themeColor="text1"/>
                <w:sz w:val="22"/>
                <w:szCs w:val="22"/>
                <w:lang w:eastAsia="x-none"/>
              </w:rPr>
            </w:pPr>
            <w:r w:rsidRPr="00BA6AF3">
              <w:rPr>
                <w:sz w:val="22"/>
                <w:szCs w:val="22"/>
              </w:rPr>
              <w:t>0,000738</w:t>
            </w:r>
          </w:p>
        </w:tc>
        <w:tc>
          <w:tcPr>
            <w:tcW w:w="1106" w:type="dxa"/>
          </w:tcPr>
          <w:p w14:paraId="17CF95C2" w14:textId="4D8F917B" w:rsidR="004B3AB6" w:rsidRPr="00BA6AF3" w:rsidRDefault="004B3AB6" w:rsidP="004B3AB6">
            <w:pPr>
              <w:jc w:val="center"/>
              <w:rPr>
                <w:sz w:val="22"/>
                <w:szCs w:val="22"/>
              </w:rPr>
            </w:pPr>
            <w:r w:rsidRPr="00BA6AF3">
              <w:rPr>
                <w:sz w:val="22"/>
                <w:szCs w:val="22"/>
              </w:rPr>
              <w:t>0,00203</w:t>
            </w:r>
          </w:p>
        </w:tc>
      </w:tr>
    </w:tbl>
    <w:p w14:paraId="4B3CC8F1" w14:textId="77777777" w:rsidR="00A71B06" w:rsidRPr="00A408BF" w:rsidRDefault="00A71B06" w:rsidP="00A71B06">
      <w:pPr>
        <w:rPr>
          <w:color w:val="000000" w:themeColor="text1"/>
          <w:lang w:eastAsia="x-none"/>
        </w:rPr>
      </w:pPr>
    </w:p>
    <w:p w14:paraId="32A84DEC" w14:textId="77777777" w:rsidR="00D84489" w:rsidRPr="00A408BF" w:rsidRDefault="00D84489" w:rsidP="00D84489">
      <w:pPr>
        <w:jc w:val="both"/>
        <w:rPr>
          <w:color w:val="000000" w:themeColor="text1"/>
          <w:lang w:eastAsia="x-none"/>
        </w:rPr>
      </w:pPr>
      <w:r w:rsidRPr="006A13F2">
        <w:rPr>
          <w:color w:val="000000" w:themeColor="text1"/>
          <w:lang w:eastAsia="x-none"/>
        </w:rPr>
        <w:t xml:space="preserve">Koeficienty </w:t>
      </w:r>
      <w:proofErr w:type="spellStart"/>
      <w:r w:rsidRPr="006A13F2">
        <w:rPr>
          <w:color w:val="000000" w:themeColor="text1"/>
          <w:lang w:eastAsia="x-none"/>
        </w:rPr>
        <w:t>nepohotovosti</w:t>
      </w:r>
      <w:proofErr w:type="spellEnd"/>
      <w:r w:rsidRPr="006A13F2">
        <w:rPr>
          <w:color w:val="000000" w:themeColor="text1"/>
          <w:lang w:eastAsia="x-none"/>
        </w:rPr>
        <w:t xml:space="preserve"> sú nízke, čo svedčí o veľmi vysokej pripravenosti bezpečnostných systémov na uvedenie do prevádzky v prípade potreby (t. j. v prípade poruchy, resp. havarijného stavu).</w:t>
      </w:r>
    </w:p>
    <w:p w14:paraId="7DC219A4" w14:textId="77777777" w:rsidR="00D84489" w:rsidRPr="00A408BF" w:rsidRDefault="00D84489" w:rsidP="00D84489">
      <w:pPr>
        <w:jc w:val="both"/>
        <w:rPr>
          <w:color w:val="000000" w:themeColor="text1"/>
          <w:lang w:eastAsia="x-none"/>
        </w:rPr>
      </w:pPr>
    </w:p>
    <w:p w14:paraId="1A5EB0A7" w14:textId="77777777" w:rsidR="00D84489" w:rsidRPr="00A408BF" w:rsidRDefault="00D84489" w:rsidP="00D84489">
      <w:pPr>
        <w:rPr>
          <w:b/>
          <w:color w:val="000000" w:themeColor="text1"/>
          <w:lang w:eastAsia="x-none"/>
        </w:rPr>
      </w:pPr>
      <w:r w:rsidRPr="00A408BF">
        <w:rPr>
          <w:b/>
          <w:color w:val="000000" w:themeColor="text1"/>
          <w:lang w:eastAsia="x-none"/>
        </w:rPr>
        <w:t>Tesnosť bariér:</w:t>
      </w:r>
    </w:p>
    <w:p w14:paraId="3DABA4C0" w14:textId="77777777" w:rsidR="00D84489" w:rsidRPr="00A408BF" w:rsidRDefault="00D84489" w:rsidP="00D84489">
      <w:pPr>
        <w:jc w:val="both"/>
        <w:rPr>
          <w:color w:val="000000" w:themeColor="text1"/>
        </w:rPr>
      </w:pPr>
      <w:r w:rsidRPr="00A408BF">
        <w:rPr>
          <w:color w:val="000000" w:themeColor="text1"/>
        </w:rPr>
        <w:t xml:space="preserve">Pri tomto ukazovateli sa sleduje tesnosť pokrytia palivových článkov v reaktore a tesnosť hermetických priestorov, ktoré tvoria bariéru proti úniku rádioaktívnych látok pri možných </w:t>
      </w:r>
      <w:r w:rsidRPr="005312B1">
        <w:rPr>
          <w:color w:val="000000" w:themeColor="text1"/>
        </w:rPr>
        <w:t xml:space="preserve">haváriách. Hodnoty týchto ukazovateľov sú dobré, stabilizované a spĺňajú kritériá </w:t>
      </w:r>
      <w:proofErr w:type="spellStart"/>
      <w:r w:rsidRPr="005312B1">
        <w:rPr>
          <w:color w:val="000000" w:themeColor="text1"/>
        </w:rPr>
        <w:t>LaP</w:t>
      </w:r>
      <w:proofErr w:type="spellEnd"/>
      <w:r w:rsidRPr="005312B1">
        <w:rPr>
          <w:color w:val="000000" w:themeColor="text1"/>
        </w:rPr>
        <w:t>.</w:t>
      </w:r>
    </w:p>
    <w:p w14:paraId="7CDC286C" w14:textId="77777777" w:rsidR="00D84489" w:rsidRPr="004743FE" w:rsidRDefault="00D84489" w:rsidP="00D84489">
      <w:pPr>
        <w:jc w:val="both"/>
        <w:rPr>
          <w:color w:val="000000" w:themeColor="text1"/>
          <w:lang w:eastAsia="x-none"/>
        </w:rPr>
      </w:pPr>
    </w:p>
    <w:p w14:paraId="2507ACCD" w14:textId="77777777" w:rsidR="00D84489" w:rsidRPr="00A408BF" w:rsidRDefault="00D84489" w:rsidP="00D84489">
      <w:pPr>
        <w:jc w:val="both"/>
        <w:rPr>
          <w:b/>
          <w:i/>
          <w:color w:val="000000" w:themeColor="text1"/>
          <w:lang w:eastAsia="x-none"/>
        </w:rPr>
      </w:pPr>
      <w:r w:rsidRPr="00A408BF">
        <w:rPr>
          <w:b/>
          <w:i/>
          <w:color w:val="000000" w:themeColor="text1"/>
          <w:lang w:eastAsia="x-none"/>
        </w:rPr>
        <w:t>Záver:</w:t>
      </w:r>
    </w:p>
    <w:p w14:paraId="327CE7CD" w14:textId="77777777" w:rsidR="00D84489" w:rsidRPr="00A408BF" w:rsidRDefault="00D84489" w:rsidP="00D84489">
      <w:pPr>
        <w:jc w:val="both"/>
        <w:rPr>
          <w:b/>
          <w:i/>
          <w:color w:val="000000" w:themeColor="text1"/>
        </w:rPr>
      </w:pPr>
      <w:r w:rsidRPr="002F392E">
        <w:rPr>
          <w:b/>
          <w:i/>
          <w:color w:val="000000" w:themeColor="text1"/>
        </w:rPr>
        <w:t>Vyhodnotenie indikátorov jadrovej bezpečnosti za rok 2023 spolu s výsledkami inšpekčnej činnosti umožňujú konštatovať, že</w:t>
      </w:r>
      <w:r w:rsidRPr="00C8581D">
        <w:t xml:space="preserve"> </w:t>
      </w:r>
      <w:r w:rsidRPr="00C8581D">
        <w:rPr>
          <w:b/>
          <w:i/>
          <w:color w:val="000000" w:themeColor="text1"/>
        </w:rPr>
        <w:t>jadrová bezpečnosť prevádzkovaných JE v SR je na vysokej úrovni</w:t>
      </w:r>
      <w:r>
        <w:rPr>
          <w:b/>
          <w:i/>
          <w:color w:val="000000" w:themeColor="text1"/>
        </w:rPr>
        <w:t>.</w:t>
      </w:r>
    </w:p>
    <w:p w14:paraId="7CD56734" w14:textId="77777777" w:rsidR="00D84489" w:rsidRDefault="00D84489" w:rsidP="00D84489"/>
    <w:p w14:paraId="7CF84F12" w14:textId="75A95111" w:rsidR="00160687" w:rsidRPr="00CE49C8" w:rsidRDefault="00CE49C8" w:rsidP="00CE49C8">
      <w:pPr>
        <w:pStyle w:val="Nadpis5"/>
        <w:numPr>
          <w:ilvl w:val="4"/>
          <w:numId w:val="2"/>
        </w:numPr>
        <w:suppressLineNumbers/>
        <w:jc w:val="both"/>
        <w:rPr>
          <w:rFonts w:ascii="Times New Roman" w:hAnsi="Times New Roman"/>
          <w:color w:val="000000" w:themeColor="text1"/>
          <w:sz w:val="24"/>
          <w:szCs w:val="24"/>
          <w:lang w:val="sk-SK"/>
        </w:rPr>
      </w:pPr>
      <w:r>
        <w:rPr>
          <w:rFonts w:ascii="Times New Roman" w:hAnsi="Times New Roman"/>
          <w:color w:val="000000" w:themeColor="text1"/>
          <w:sz w:val="24"/>
          <w:szCs w:val="24"/>
          <w:lang w:val="sk-SK"/>
        </w:rPr>
        <w:t xml:space="preserve">a) </w:t>
      </w:r>
      <w:r w:rsidR="00160687" w:rsidRPr="00CE49C8">
        <w:rPr>
          <w:rFonts w:ascii="Times New Roman" w:hAnsi="Times New Roman"/>
          <w:color w:val="000000" w:themeColor="text1"/>
          <w:sz w:val="24"/>
          <w:szCs w:val="24"/>
          <w:lang w:val="sk-SK"/>
        </w:rPr>
        <w:t>Jadrová elektráreň Bohunice V-2</w:t>
      </w:r>
    </w:p>
    <w:p w14:paraId="166B5DE2" w14:textId="4C38BE6D" w:rsidR="00C76454" w:rsidRPr="00C76454" w:rsidRDefault="00C76454" w:rsidP="00C76454">
      <w:pPr>
        <w:autoSpaceDE w:val="0"/>
        <w:autoSpaceDN w:val="0"/>
        <w:adjustRightInd w:val="0"/>
        <w:jc w:val="both"/>
        <w:rPr>
          <w:color w:val="000000" w:themeColor="text1"/>
          <w:szCs w:val="24"/>
        </w:rPr>
      </w:pPr>
      <w:r w:rsidRPr="00C76454">
        <w:rPr>
          <w:color w:val="000000" w:themeColor="text1"/>
          <w:szCs w:val="24"/>
        </w:rPr>
        <w:t xml:space="preserve">Na oboch prevádzkovaných blokoch JE Bohunice V-2 (3. blok - EBO3, 4. blok - EBO4) bol v roku 2023 uskutočňovaný štandardný výkon kontrolnej a hodnotiacej činnosti spojený s prevádzkou </w:t>
      </w:r>
      <w:r w:rsidR="00123458">
        <w:rPr>
          <w:color w:val="000000" w:themeColor="text1"/>
          <w:szCs w:val="24"/>
        </w:rPr>
        <w:t>JZ</w:t>
      </w:r>
      <w:r w:rsidRPr="00C76454">
        <w:rPr>
          <w:color w:val="000000" w:themeColor="text1"/>
          <w:szCs w:val="24"/>
        </w:rPr>
        <w:t>. ÚJD SR v rámci svojej činnosti kontroloval stav prevádzkovaných zariadení a ich údržbu, plnenie úloh vyplývajúcich z programov riadenia starnutia a projektových zmien so zámerom zvyšovania úrovne bezpečnosti JZ</w:t>
      </w:r>
      <w:r w:rsidR="003501CD">
        <w:rPr>
          <w:color w:val="000000" w:themeColor="text1"/>
          <w:szCs w:val="24"/>
        </w:rPr>
        <w:t>:</w:t>
      </w:r>
    </w:p>
    <w:p w14:paraId="2890E586" w14:textId="492B93DC" w:rsidR="00C76454" w:rsidRPr="00C76454" w:rsidRDefault="00C76454" w:rsidP="00C76454">
      <w:pPr>
        <w:numPr>
          <w:ilvl w:val="0"/>
          <w:numId w:val="8"/>
        </w:numPr>
        <w:autoSpaceDE w:val="0"/>
        <w:autoSpaceDN w:val="0"/>
        <w:adjustRightInd w:val="0"/>
        <w:contextualSpacing/>
        <w:jc w:val="both"/>
        <w:rPr>
          <w:rFonts w:eastAsia="Calibri"/>
          <w:color w:val="000000" w:themeColor="text1"/>
          <w:szCs w:val="24"/>
          <w:lang w:eastAsia="en-US"/>
        </w:rPr>
      </w:pPr>
      <w:r w:rsidRPr="00C76454">
        <w:rPr>
          <w:rFonts w:eastAsia="Calibri"/>
          <w:color w:val="000000" w:themeColor="text1"/>
          <w:szCs w:val="24"/>
          <w:lang w:eastAsia="en-US"/>
        </w:rPr>
        <w:t xml:space="preserve">na 3. bloku (EBO3) od 14. 6. do 9. 7. 2023 – generálna oprava </w:t>
      </w:r>
      <w:r w:rsidRPr="00B85244">
        <w:rPr>
          <w:rFonts w:eastAsia="Calibri"/>
          <w:color w:val="000000" w:themeColor="text1"/>
          <w:szCs w:val="24"/>
          <w:lang w:eastAsia="en-US"/>
        </w:rPr>
        <w:t>(GO</w:t>
      </w:r>
      <w:r w:rsidRPr="00C76454">
        <w:rPr>
          <w:rFonts w:eastAsia="Calibri"/>
          <w:color w:val="000000" w:themeColor="text1"/>
          <w:szCs w:val="24"/>
          <w:lang w:eastAsia="en-US"/>
        </w:rPr>
        <w:t xml:space="preserve">) s výmenou paliva trvala 23,5 dňa a oproti pôvodnému plánu sa skrátila o 1,5 dňa. Skrátenie odstávky bolo spôsobené vyššou úspešnosťou NDT kontrol voči predpokladom. Počas GO boli nájdené v otvorenej technológii cudzie predmety </w:t>
      </w:r>
      <w:r w:rsidR="00B56EB2">
        <w:rPr>
          <w:rFonts w:eastAsia="Calibri"/>
          <w:color w:val="000000" w:themeColor="text1"/>
          <w:szCs w:val="24"/>
          <w:lang w:eastAsia="en-US"/>
        </w:rPr>
        <w:t xml:space="preserve">ako </w:t>
      </w:r>
      <w:r w:rsidRPr="00C76454">
        <w:rPr>
          <w:rFonts w:eastAsia="Calibri"/>
          <w:color w:val="000000" w:themeColor="text1"/>
          <w:szCs w:val="24"/>
          <w:lang w:eastAsia="en-US"/>
        </w:rPr>
        <w:t xml:space="preserve">zhluky hrdze na dne bazéna výmeny, kúsky grafitového tesnenia a lepiacej pásky v ulite </w:t>
      </w:r>
      <w:r w:rsidR="00B56EB2">
        <w:rPr>
          <w:rFonts w:eastAsia="Calibri"/>
          <w:color w:val="000000" w:themeColor="text1"/>
          <w:szCs w:val="24"/>
          <w:lang w:eastAsia="en-US"/>
        </w:rPr>
        <w:t>hlavného cirkulačného čerpadla (</w:t>
      </w:r>
      <w:r w:rsidRPr="00C76454">
        <w:rPr>
          <w:rFonts w:eastAsia="Calibri"/>
          <w:color w:val="000000" w:themeColor="text1"/>
          <w:szCs w:val="24"/>
          <w:lang w:eastAsia="en-US"/>
        </w:rPr>
        <w:t xml:space="preserve">HCČ), zároveň došlo k pádu cudzieho predmetu do otvorenej technológie (pád tesnenia hrdla bandasky do </w:t>
      </w:r>
      <w:proofErr w:type="spellStart"/>
      <w:r w:rsidRPr="00C76454">
        <w:rPr>
          <w:rFonts w:eastAsia="Calibri"/>
          <w:color w:val="000000" w:themeColor="text1"/>
          <w:szCs w:val="24"/>
          <w:lang w:eastAsia="en-US"/>
        </w:rPr>
        <w:t>hydroakumulátora</w:t>
      </w:r>
      <w:proofErr w:type="spellEnd"/>
      <w:r w:rsidRPr="00C76454">
        <w:rPr>
          <w:rFonts w:eastAsia="Calibri"/>
          <w:color w:val="000000" w:themeColor="text1"/>
          <w:szCs w:val="24"/>
          <w:lang w:eastAsia="en-US"/>
        </w:rPr>
        <w:t>). Všetky cudzie predmety boli z technológie následne odstránené</w:t>
      </w:r>
      <w:r w:rsidR="003501CD">
        <w:rPr>
          <w:rFonts w:eastAsia="Calibri"/>
          <w:color w:val="000000" w:themeColor="text1"/>
          <w:szCs w:val="24"/>
          <w:lang w:eastAsia="en-US"/>
        </w:rPr>
        <w:t>,</w:t>
      </w:r>
    </w:p>
    <w:p w14:paraId="59C215DA" w14:textId="77777777" w:rsidR="00C76454" w:rsidRPr="00C76454" w:rsidRDefault="00C76454" w:rsidP="00C76454">
      <w:pPr>
        <w:numPr>
          <w:ilvl w:val="0"/>
          <w:numId w:val="8"/>
        </w:numPr>
        <w:autoSpaceDE w:val="0"/>
        <w:autoSpaceDN w:val="0"/>
        <w:adjustRightInd w:val="0"/>
        <w:contextualSpacing/>
        <w:jc w:val="both"/>
        <w:rPr>
          <w:rFonts w:eastAsia="Calibri"/>
          <w:color w:val="000000" w:themeColor="text1"/>
          <w:szCs w:val="24"/>
          <w:lang w:eastAsia="en-US"/>
        </w:rPr>
      </w:pPr>
      <w:r w:rsidRPr="00C76454">
        <w:rPr>
          <w:rFonts w:eastAsia="Calibri"/>
          <w:color w:val="000000" w:themeColor="text1"/>
          <w:szCs w:val="24"/>
          <w:lang w:eastAsia="en-US"/>
        </w:rPr>
        <w:t xml:space="preserve">na 4. bloku (EBO4) od 6. 5. do 27. 6. 2023 – odstávka trvala 21,5 dňa a predĺženie oproti plánu bolo 0,5 dňa. Počas GO došlo k pádu cudzieho predmetu do otvorenej technológie (pád mobilného telefónu do </w:t>
      </w:r>
      <w:proofErr w:type="spellStart"/>
      <w:r w:rsidRPr="00C76454">
        <w:rPr>
          <w:rFonts w:eastAsia="Calibri"/>
          <w:color w:val="000000" w:themeColor="text1"/>
          <w:szCs w:val="24"/>
          <w:lang w:eastAsia="en-US"/>
        </w:rPr>
        <w:t>nízkotlakého</w:t>
      </w:r>
      <w:proofErr w:type="spellEnd"/>
      <w:r w:rsidRPr="00C76454">
        <w:rPr>
          <w:rFonts w:eastAsia="Calibri"/>
          <w:color w:val="000000" w:themeColor="text1"/>
          <w:szCs w:val="24"/>
          <w:lang w:eastAsia="en-US"/>
        </w:rPr>
        <w:t xml:space="preserve"> </w:t>
      </w:r>
      <w:proofErr w:type="spellStart"/>
      <w:r w:rsidRPr="00C76454">
        <w:rPr>
          <w:rFonts w:eastAsia="Calibri"/>
          <w:color w:val="000000" w:themeColor="text1"/>
          <w:szCs w:val="24"/>
          <w:lang w:eastAsia="en-US"/>
        </w:rPr>
        <w:t>ohrievaka</w:t>
      </w:r>
      <w:proofErr w:type="spellEnd"/>
      <w:r w:rsidRPr="00C76454">
        <w:rPr>
          <w:rFonts w:eastAsia="Calibri"/>
          <w:color w:val="000000" w:themeColor="text1"/>
          <w:szCs w:val="24"/>
          <w:lang w:eastAsia="en-US"/>
        </w:rPr>
        <w:t xml:space="preserve"> počas vyhotovovania fotodokumentácie). Cudzí predmet bol z technológie odstránený.</w:t>
      </w:r>
    </w:p>
    <w:p w14:paraId="05CD33AD" w14:textId="77777777" w:rsidR="00C76454" w:rsidRPr="00C76454" w:rsidRDefault="00C76454" w:rsidP="00C76454">
      <w:pPr>
        <w:autoSpaceDE w:val="0"/>
        <w:autoSpaceDN w:val="0"/>
        <w:adjustRightInd w:val="0"/>
        <w:jc w:val="both"/>
        <w:rPr>
          <w:color w:val="000000" w:themeColor="text1"/>
          <w:szCs w:val="24"/>
        </w:rPr>
      </w:pPr>
    </w:p>
    <w:p w14:paraId="4CC2570A" w14:textId="77777777" w:rsidR="00C76454" w:rsidRPr="00C76454" w:rsidRDefault="00C76454" w:rsidP="00C76454">
      <w:pPr>
        <w:jc w:val="both"/>
        <w:rPr>
          <w:color w:val="000000" w:themeColor="text1"/>
        </w:rPr>
      </w:pPr>
      <w:r w:rsidRPr="00C76454">
        <w:rPr>
          <w:color w:val="000000" w:themeColor="text1"/>
        </w:rPr>
        <w:t>ÚJD SR schválil viacero zmien dokumentácie kvality a projektových zmien so zámerom zvýšenia úrovne bezpečnosti JZ.</w:t>
      </w:r>
    </w:p>
    <w:p w14:paraId="569206AE" w14:textId="77777777" w:rsidR="00C76454" w:rsidRPr="00C76454" w:rsidRDefault="00C76454" w:rsidP="00C76454">
      <w:pPr>
        <w:jc w:val="both"/>
        <w:rPr>
          <w:color w:val="000000" w:themeColor="text1"/>
        </w:rPr>
      </w:pPr>
      <w:r w:rsidRPr="00C76454">
        <w:rPr>
          <w:color w:val="000000" w:themeColor="text1"/>
        </w:rPr>
        <w:lastRenderedPageBreak/>
        <w:t>Prevádzkové kontroly boli realizované v zmysle ročných plánov prevádzkových kontrol VZ, predkladaných prevádzkovateľom na schválenie ÚJD SR. Výsledky prevádzkových kontrol preukázali na obidvoch blokoch vyhovujúci stav. V rámci GO blokov boli vykonané inšpekcie, zamerané na vykonávanie kontrol zhody po opravách vybraných zariadení.</w:t>
      </w:r>
    </w:p>
    <w:p w14:paraId="3B171834" w14:textId="77777777" w:rsidR="00C76454" w:rsidRPr="00C76454" w:rsidRDefault="00C76454" w:rsidP="00C76454">
      <w:pPr>
        <w:jc w:val="both"/>
      </w:pPr>
      <w:r w:rsidRPr="00C76454">
        <w:rPr>
          <w:color w:val="000000" w:themeColor="text1"/>
        </w:rPr>
        <w:t xml:space="preserve">Prevádzkovateľ zabezpečuje aj hodnotenie únavovej životnosti hlavných komponentov a potrubných systémov, ako i hodnotenie odolnosti materiálov tlakových nádob reaktorov voči krehkému porušeniu. Z vykonaného hodnotenia sledovanej únavovej životnosti hlavných komponentov a dôležitých potrubných systémov, ako i z hodnotenia odolnosti materiálov tlakových nádob reaktorov proti krehkému porušeniu, ktoré zabezpečuje prevádzkovateľ, vyplýva, že ani únavová životnosť, ani výsledky analýz v oblasti krehnutia tlakových nádob reaktorov nelimitujú životnosť JZ a vytvárajú predpoklad na dlhodobú prevádzku oboch blokov. Realizované skúšky tesnosti hermetickej zóny preukázali, že tesnosť hermetických priestorov je v súlade s požiadavkami </w:t>
      </w:r>
      <w:proofErr w:type="spellStart"/>
      <w:r w:rsidRPr="00C76454">
        <w:rPr>
          <w:color w:val="000000" w:themeColor="text1"/>
        </w:rPr>
        <w:t>LaP</w:t>
      </w:r>
      <w:proofErr w:type="spellEnd"/>
      <w:r w:rsidRPr="00C76454">
        <w:rPr>
          <w:color w:val="000000" w:themeColor="text1"/>
        </w:rPr>
        <w:t xml:space="preserve"> a prevádzkových predpisov.</w:t>
      </w:r>
    </w:p>
    <w:p w14:paraId="62D9911B" w14:textId="77777777" w:rsidR="00263B9B" w:rsidRPr="00FA265C" w:rsidRDefault="00263B9B" w:rsidP="00160687">
      <w:pPr>
        <w:jc w:val="both"/>
      </w:pPr>
    </w:p>
    <w:p w14:paraId="71B8B0B0" w14:textId="77777777" w:rsidR="00160687" w:rsidRPr="00160687" w:rsidRDefault="00160687" w:rsidP="00160687">
      <w:pPr>
        <w:rPr>
          <w:b/>
          <w:color w:val="000000" w:themeColor="text1"/>
        </w:rPr>
      </w:pPr>
      <w:bookmarkStart w:id="27" w:name="_Hlk130194479"/>
      <w:r w:rsidRPr="006F1170">
        <w:rPr>
          <w:b/>
          <w:color w:val="000000" w:themeColor="text1"/>
        </w:rPr>
        <w:t>Prevádzkové udalosti</w:t>
      </w:r>
    </w:p>
    <w:bookmarkEnd w:id="27"/>
    <w:p w14:paraId="1B551221" w14:textId="0D062231" w:rsidR="00C76454" w:rsidRPr="00C76454" w:rsidRDefault="00C76454" w:rsidP="00C76454">
      <w:pPr>
        <w:jc w:val="both"/>
        <w:rPr>
          <w:color w:val="000000" w:themeColor="text1"/>
        </w:rPr>
      </w:pPr>
      <w:r w:rsidRPr="00C76454">
        <w:rPr>
          <w:color w:val="000000" w:themeColor="text1"/>
        </w:rPr>
        <w:t xml:space="preserve">Počet a charakter </w:t>
      </w:r>
      <w:r w:rsidR="001A2168">
        <w:rPr>
          <w:color w:val="000000" w:themeColor="text1"/>
        </w:rPr>
        <w:t>PU</w:t>
      </w:r>
      <w:r w:rsidRPr="00C76454">
        <w:rPr>
          <w:color w:val="000000" w:themeColor="text1"/>
        </w:rPr>
        <w:t xml:space="preserve"> bol v roku 2023 v rámci obvyklých prevádzkových porúch. Úrad zaevidoval </w:t>
      </w:r>
      <w:r w:rsidR="001A2168">
        <w:rPr>
          <w:color w:val="000000" w:themeColor="text1"/>
        </w:rPr>
        <w:t>tri PU</w:t>
      </w:r>
      <w:r w:rsidRPr="00C76454">
        <w:rPr>
          <w:color w:val="000000" w:themeColor="text1"/>
        </w:rPr>
        <w:t xml:space="preserve"> podliehajúce hláseniu dozornému orgánu. Všetky hlásené udalosti boli bez významného vplyvu na jadrovú bezpečnosť. Počas roka nedošlo k pôsobeniu ochrany reaktora </w:t>
      </w:r>
      <w:r w:rsidRPr="00143548">
        <w:rPr>
          <w:color w:val="000000" w:themeColor="text1"/>
        </w:rPr>
        <w:t>AO1</w:t>
      </w:r>
      <w:r w:rsidR="00D30925" w:rsidRPr="00143548">
        <w:rPr>
          <w:color w:val="000000" w:themeColor="text1"/>
        </w:rPr>
        <w:t>.</w:t>
      </w:r>
    </w:p>
    <w:p w14:paraId="29A53349" w14:textId="77777777" w:rsidR="00C76454" w:rsidRPr="00C76454" w:rsidRDefault="00C76454" w:rsidP="00C76454">
      <w:pPr>
        <w:jc w:val="both"/>
        <w:rPr>
          <w:color w:val="000000" w:themeColor="text1"/>
        </w:rPr>
      </w:pPr>
    </w:p>
    <w:p w14:paraId="41AD534F" w14:textId="77777777" w:rsidR="00C76454" w:rsidRPr="000D4823" w:rsidRDefault="00C76454" w:rsidP="00C76454">
      <w:pPr>
        <w:jc w:val="both"/>
        <w:rPr>
          <w:b/>
          <w:i/>
          <w:color w:val="000000" w:themeColor="text1"/>
        </w:rPr>
      </w:pPr>
      <w:r w:rsidRPr="000D4823">
        <w:rPr>
          <w:b/>
          <w:i/>
          <w:color w:val="000000" w:themeColor="text1"/>
        </w:rPr>
        <w:t>Záver:</w:t>
      </w:r>
    </w:p>
    <w:p w14:paraId="3161C4BC" w14:textId="743D77D6" w:rsidR="00C76454" w:rsidRPr="00C76454" w:rsidRDefault="00C76454" w:rsidP="00C76454">
      <w:pPr>
        <w:jc w:val="both"/>
        <w:rPr>
          <w:b/>
          <w:i/>
          <w:color w:val="000000" w:themeColor="text1"/>
        </w:rPr>
      </w:pPr>
      <w:r w:rsidRPr="000D4823">
        <w:rPr>
          <w:b/>
          <w:i/>
          <w:color w:val="000000" w:themeColor="text1"/>
        </w:rPr>
        <w:t>Na základe sumárneho hodnotenia bezpečnostných ukazovateľov a po zhrnutí výsledkov inšpekcií ÚJD SR konštatuje,</w:t>
      </w:r>
      <w:r w:rsidRPr="000D4823">
        <w:rPr>
          <w:b/>
          <w:i/>
          <w:iCs/>
          <w:color w:val="000000" w:themeColor="text1"/>
        </w:rPr>
        <w:t xml:space="preserve"> že je potrebné venovať zvýšenú pozornosť preventívnej údržbe systémov, zariadení a konštrukcií. Na n</w:t>
      </w:r>
      <w:r w:rsidRPr="000D4823">
        <w:rPr>
          <w:b/>
          <w:i/>
          <w:color w:val="000000" w:themeColor="text1"/>
        </w:rPr>
        <w:t>edostatky, ktoré boli počas inšpekcií zistené boli inšpektormi ÚJD SR uložené nápravné opatrenia s cieľom zlepšiť procesy a prístupy prevádzkovateľa v danej oblasti.</w:t>
      </w:r>
    </w:p>
    <w:p w14:paraId="6D6F0490" w14:textId="77777777" w:rsidR="0020334C" w:rsidRPr="00160687" w:rsidRDefault="0020334C" w:rsidP="0020334C">
      <w:pPr>
        <w:autoSpaceDE w:val="0"/>
        <w:autoSpaceDN w:val="0"/>
        <w:adjustRightInd w:val="0"/>
        <w:rPr>
          <w:color w:val="000000" w:themeColor="text1"/>
          <w:szCs w:val="24"/>
        </w:rPr>
      </w:pPr>
    </w:p>
    <w:p w14:paraId="570EFF26" w14:textId="278FCFE0" w:rsidR="0020334C" w:rsidRPr="00CE49C8" w:rsidRDefault="00CE49C8" w:rsidP="00CE49C8">
      <w:pPr>
        <w:pStyle w:val="Nadpis5"/>
        <w:numPr>
          <w:ilvl w:val="4"/>
          <w:numId w:val="2"/>
        </w:numPr>
        <w:suppressLineNumbers/>
        <w:jc w:val="both"/>
        <w:rPr>
          <w:rFonts w:ascii="Times New Roman" w:hAnsi="Times New Roman"/>
          <w:color w:val="000000" w:themeColor="text1"/>
          <w:sz w:val="24"/>
          <w:szCs w:val="24"/>
          <w:lang w:val="sk-SK"/>
        </w:rPr>
      </w:pPr>
      <w:r>
        <w:rPr>
          <w:rFonts w:ascii="Times New Roman" w:hAnsi="Times New Roman"/>
          <w:color w:val="000000" w:themeColor="text1"/>
          <w:sz w:val="24"/>
          <w:szCs w:val="24"/>
          <w:lang w:val="sk-SK"/>
        </w:rPr>
        <w:t xml:space="preserve">b) </w:t>
      </w:r>
      <w:r w:rsidR="0020334C" w:rsidRPr="00CE49C8">
        <w:rPr>
          <w:rFonts w:ascii="Times New Roman" w:hAnsi="Times New Roman"/>
          <w:color w:val="000000" w:themeColor="text1"/>
          <w:sz w:val="24"/>
          <w:szCs w:val="24"/>
          <w:lang w:val="sk-SK"/>
        </w:rPr>
        <w:t>Jadrová elektráreň Mochovce 1, 2</w:t>
      </w:r>
    </w:p>
    <w:p w14:paraId="0340762E" w14:textId="77777777" w:rsidR="00C76454" w:rsidRPr="00BA1052" w:rsidRDefault="00C76454" w:rsidP="003C1A66">
      <w:pPr>
        <w:jc w:val="both"/>
        <w:rPr>
          <w:color w:val="000000" w:themeColor="text1"/>
        </w:rPr>
      </w:pPr>
      <w:r w:rsidRPr="00BA1052">
        <w:rPr>
          <w:color w:val="000000" w:themeColor="text1"/>
        </w:rPr>
        <w:t xml:space="preserve">Na oboch prevádzkovaných blokoch JE Mochovce 1, 2 bol v roku 2023 uskutočňovaný štandardný výkon kontrolnej a hodnotiacej činnosti, spojený s každodennou prevádzkou. ÚJD SR v rámci svojej činnosti kontroloval plnenie úloh vyplývajúcich z programu riadenia starnutia, seizmického </w:t>
      </w:r>
      <w:proofErr w:type="spellStart"/>
      <w:r w:rsidRPr="00BA1052">
        <w:rPr>
          <w:color w:val="000000" w:themeColor="text1"/>
        </w:rPr>
        <w:t>zodolnenia</w:t>
      </w:r>
      <w:proofErr w:type="spellEnd"/>
      <w:r w:rsidRPr="00BA1052">
        <w:rPr>
          <w:color w:val="000000" w:themeColor="text1"/>
        </w:rPr>
        <w:t xml:space="preserve"> a bolo schválených viacero projektových zmien so zámerom zvýšenia úrovne bezpečnosti JZ.</w:t>
      </w:r>
    </w:p>
    <w:p w14:paraId="06A85632" w14:textId="77777777" w:rsidR="00C76454" w:rsidRPr="00C76454" w:rsidRDefault="00C76454" w:rsidP="00C76454">
      <w:pPr>
        <w:autoSpaceDE w:val="0"/>
        <w:autoSpaceDN w:val="0"/>
        <w:adjustRightInd w:val="0"/>
        <w:jc w:val="both"/>
        <w:rPr>
          <w:color w:val="000000" w:themeColor="text1"/>
          <w:szCs w:val="24"/>
        </w:rPr>
      </w:pPr>
      <w:r w:rsidRPr="00C76454">
        <w:rPr>
          <w:color w:val="000000" w:themeColor="text1"/>
          <w:szCs w:val="24"/>
        </w:rPr>
        <w:t>Na EMO1, 2 boli realizované plánované odstávky na výmenu paliva:</w:t>
      </w:r>
    </w:p>
    <w:p w14:paraId="02FF7364" w14:textId="2E815F45" w:rsidR="00C76454" w:rsidRPr="00C76454" w:rsidRDefault="00C76454" w:rsidP="00C76454">
      <w:pPr>
        <w:numPr>
          <w:ilvl w:val="0"/>
          <w:numId w:val="8"/>
        </w:numPr>
        <w:autoSpaceDE w:val="0"/>
        <w:autoSpaceDN w:val="0"/>
        <w:adjustRightInd w:val="0"/>
        <w:contextualSpacing/>
        <w:jc w:val="both"/>
        <w:rPr>
          <w:rFonts w:eastAsia="Calibri"/>
          <w:color w:val="000000" w:themeColor="text1"/>
          <w:szCs w:val="24"/>
          <w:lang w:eastAsia="en-US"/>
        </w:rPr>
      </w:pPr>
      <w:r w:rsidRPr="00C76454">
        <w:rPr>
          <w:rFonts w:eastAsia="Calibri"/>
          <w:color w:val="000000" w:themeColor="text1"/>
          <w:szCs w:val="24"/>
          <w:lang w:eastAsia="en-US"/>
        </w:rPr>
        <w:t>na 1. bloku od 8. 4. do 29.</w:t>
      </w:r>
      <w:r w:rsidR="00C17074">
        <w:rPr>
          <w:rFonts w:eastAsia="Calibri"/>
          <w:color w:val="000000" w:themeColor="text1"/>
          <w:szCs w:val="24"/>
          <w:lang w:eastAsia="en-US"/>
        </w:rPr>
        <w:t> </w:t>
      </w:r>
      <w:r w:rsidRPr="00C76454">
        <w:rPr>
          <w:rFonts w:eastAsia="Calibri"/>
          <w:color w:val="000000" w:themeColor="text1"/>
          <w:szCs w:val="24"/>
          <w:lang w:eastAsia="en-US"/>
        </w:rPr>
        <w:t>4. 2023 - odstávka trvala 21,04 dňa a bola predĺžená oproti plánu o 53,98 hod kvôli neúspešnej tlakovej skúške pri tlaku 13,7 MPa,</w:t>
      </w:r>
    </w:p>
    <w:p w14:paraId="1CFA71C9" w14:textId="08E2FA19" w:rsidR="00C76454" w:rsidRPr="00C76454" w:rsidRDefault="00C76454" w:rsidP="00C76454">
      <w:pPr>
        <w:numPr>
          <w:ilvl w:val="0"/>
          <w:numId w:val="8"/>
        </w:numPr>
        <w:autoSpaceDE w:val="0"/>
        <w:autoSpaceDN w:val="0"/>
        <w:adjustRightInd w:val="0"/>
        <w:contextualSpacing/>
        <w:jc w:val="both"/>
        <w:rPr>
          <w:rFonts w:ascii="Calibri" w:eastAsia="Calibri" w:hAnsi="Calibri"/>
          <w:color w:val="000000" w:themeColor="text1"/>
          <w:sz w:val="22"/>
          <w:szCs w:val="22"/>
          <w:lang w:eastAsia="en-US"/>
        </w:rPr>
      </w:pPr>
      <w:r w:rsidRPr="00C76454">
        <w:rPr>
          <w:rFonts w:eastAsia="Calibri"/>
          <w:color w:val="000000" w:themeColor="text1"/>
          <w:szCs w:val="24"/>
          <w:lang w:eastAsia="en-US"/>
        </w:rPr>
        <w:t>na 2. bloku od 9. 9. do 27.</w:t>
      </w:r>
      <w:r w:rsidR="00C17074">
        <w:rPr>
          <w:rFonts w:eastAsia="Calibri"/>
          <w:color w:val="000000" w:themeColor="text1"/>
          <w:szCs w:val="24"/>
          <w:lang w:eastAsia="en-US"/>
        </w:rPr>
        <w:t> </w:t>
      </w:r>
      <w:r w:rsidRPr="00C76454">
        <w:rPr>
          <w:rFonts w:eastAsia="Calibri"/>
          <w:color w:val="000000" w:themeColor="text1"/>
          <w:szCs w:val="24"/>
          <w:lang w:eastAsia="en-US"/>
        </w:rPr>
        <w:t>9.</w:t>
      </w:r>
      <w:r w:rsidR="00C17074">
        <w:rPr>
          <w:rFonts w:eastAsia="Calibri"/>
          <w:color w:val="000000" w:themeColor="text1"/>
          <w:szCs w:val="24"/>
          <w:lang w:eastAsia="en-US"/>
        </w:rPr>
        <w:t> </w:t>
      </w:r>
      <w:r w:rsidRPr="00C76454">
        <w:rPr>
          <w:rFonts w:eastAsia="Calibri"/>
          <w:color w:val="000000" w:themeColor="text1"/>
          <w:szCs w:val="24"/>
          <w:lang w:eastAsia="en-US"/>
        </w:rPr>
        <w:t>2023 - odstávka trvala 18,05 dňa, plán bol 17,7 dní a predĺženie oproti plánu bolo 7,35 hod. z dôvodu predĺženia údržbárskych prác.</w:t>
      </w:r>
    </w:p>
    <w:p w14:paraId="4D764AF2" w14:textId="77777777" w:rsidR="00C76454" w:rsidRPr="00C76454" w:rsidRDefault="00C76454" w:rsidP="00C76454">
      <w:pPr>
        <w:jc w:val="both"/>
        <w:rPr>
          <w:color w:val="000000" w:themeColor="text1"/>
        </w:rPr>
      </w:pPr>
      <w:r w:rsidRPr="00C76454">
        <w:rPr>
          <w:color w:val="000000" w:themeColor="text1"/>
        </w:rPr>
        <w:t xml:space="preserve">Úrad schválil viacero zmien dokumentácie kvality a projektových zmien súvisiacich so zvýšením úrovne bezpečnosti JZ a seizmickým </w:t>
      </w:r>
      <w:proofErr w:type="spellStart"/>
      <w:r w:rsidRPr="00C76454">
        <w:rPr>
          <w:color w:val="000000" w:themeColor="text1"/>
        </w:rPr>
        <w:t>zodolnením</w:t>
      </w:r>
      <w:proofErr w:type="spellEnd"/>
      <w:r w:rsidRPr="00C76454">
        <w:rPr>
          <w:color w:val="000000" w:themeColor="text1"/>
        </w:rPr>
        <w:t xml:space="preserve"> zariadení a konštrukcií JE.</w:t>
      </w:r>
      <w:r w:rsidRPr="00C76454">
        <w:rPr>
          <w:color w:val="000000" w:themeColor="text1"/>
        </w:rPr>
        <w:br/>
        <w:t>Na 1. a 2. bloku JE Mochovce boli vykonané prevádzkové kontroly, ktoré boli zrealizované v zmysle ročných plánov prevádzkových kontrol VZ, predkladaných prevádzkovateľom na ÚJD SR. Výsledky prevádzkových kontrol potvrdili vyhovujúci stav na obidvoch blokoch.</w:t>
      </w:r>
      <w:r w:rsidRPr="00C76454">
        <w:rPr>
          <w:color w:val="000000" w:themeColor="text1"/>
        </w:rPr>
        <w:br/>
        <w:t>V rámci GO blokov boli vykonané inšpekcie zamerané na vykonávanie kontrol zhody po opravách vybraných zariadení.</w:t>
      </w:r>
    </w:p>
    <w:p w14:paraId="4E25F856" w14:textId="77777777" w:rsidR="00C76454" w:rsidRPr="00C76454" w:rsidRDefault="00C76454" w:rsidP="00C76454">
      <w:pPr>
        <w:jc w:val="both"/>
        <w:rPr>
          <w:color w:val="000000" w:themeColor="text1"/>
        </w:rPr>
      </w:pPr>
      <w:r w:rsidRPr="00C76454">
        <w:rPr>
          <w:color w:val="000000" w:themeColor="text1"/>
        </w:rPr>
        <w:t>Prevádzkovateľ predkladá na ÚJD SR každoročne hodnotiace správy o čerpaní životnosti hlavných komponentov a vybraných dôležitých potrubných trás. Zo správ, ktoré prevádzkovateľ predložil, vyplýva, že sledované limity parametrov všetkých hodnotených VZ, ako aj stav materiálov tlakových nádob reaktora neboli prekročené.</w:t>
      </w:r>
    </w:p>
    <w:p w14:paraId="21B4CD97" w14:textId="77777777" w:rsidR="00C76454" w:rsidRPr="00C76454" w:rsidRDefault="00C76454" w:rsidP="00C76454">
      <w:pPr>
        <w:jc w:val="both"/>
        <w:rPr>
          <w:color w:val="000000" w:themeColor="text1"/>
        </w:rPr>
      </w:pPr>
      <w:r w:rsidRPr="00C76454">
        <w:rPr>
          <w:color w:val="000000" w:themeColor="text1"/>
        </w:rPr>
        <w:lastRenderedPageBreak/>
        <w:t xml:space="preserve">Realizované skúšky tesnosti hermetickej zóny preukázali, že tesnosť hermetických priestorov je v súlade s požiadavkami </w:t>
      </w:r>
      <w:proofErr w:type="spellStart"/>
      <w:r w:rsidRPr="00C76454">
        <w:rPr>
          <w:color w:val="000000" w:themeColor="text1"/>
        </w:rPr>
        <w:t>LaP</w:t>
      </w:r>
      <w:proofErr w:type="spellEnd"/>
      <w:r w:rsidRPr="00C76454">
        <w:rPr>
          <w:color w:val="000000" w:themeColor="text1"/>
        </w:rPr>
        <w:t xml:space="preserve"> a prevádzkových predpisov. </w:t>
      </w:r>
    </w:p>
    <w:p w14:paraId="27F320F8" w14:textId="77777777" w:rsidR="009B3B26" w:rsidRDefault="009B3B26" w:rsidP="002B1F61">
      <w:pPr>
        <w:jc w:val="both"/>
        <w:rPr>
          <w:color w:val="000000" w:themeColor="text1"/>
        </w:rPr>
      </w:pPr>
    </w:p>
    <w:p w14:paraId="5297B288" w14:textId="77777777" w:rsidR="009B3B26" w:rsidRPr="00C76454" w:rsidRDefault="009B3B26" w:rsidP="009B3B26">
      <w:pPr>
        <w:rPr>
          <w:b/>
          <w:color w:val="000000" w:themeColor="text1"/>
        </w:rPr>
      </w:pPr>
      <w:r w:rsidRPr="006F1170">
        <w:rPr>
          <w:b/>
          <w:color w:val="000000" w:themeColor="text1"/>
        </w:rPr>
        <w:t>Prevádzkové udalosti</w:t>
      </w:r>
    </w:p>
    <w:p w14:paraId="32DDF26E" w14:textId="20636071" w:rsidR="00C76454" w:rsidRPr="00C76454" w:rsidRDefault="00C76454" w:rsidP="00C76454">
      <w:pPr>
        <w:jc w:val="both"/>
        <w:rPr>
          <w:color w:val="000000" w:themeColor="text1"/>
        </w:rPr>
      </w:pPr>
      <w:r w:rsidRPr="00C76454">
        <w:rPr>
          <w:color w:val="000000" w:themeColor="text1"/>
        </w:rPr>
        <w:t xml:space="preserve">Počet a charakter </w:t>
      </w:r>
      <w:r w:rsidR="001A2168">
        <w:rPr>
          <w:color w:val="000000" w:themeColor="text1"/>
        </w:rPr>
        <w:t>PU</w:t>
      </w:r>
      <w:r w:rsidRPr="00C76454">
        <w:rPr>
          <w:color w:val="000000" w:themeColor="text1"/>
        </w:rPr>
        <w:t xml:space="preserve"> v roku 2023 na EMO1, 2 neprekročil obvyklú mieru prevádzkových porúch. ÚJD SR zaevidoval </w:t>
      </w:r>
      <w:r w:rsidR="001A2168">
        <w:rPr>
          <w:color w:val="000000" w:themeColor="text1"/>
        </w:rPr>
        <w:t>osem</w:t>
      </w:r>
      <w:r w:rsidRPr="00C76454">
        <w:rPr>
          <w:color w:val="000000" w:themeColor="text1"/>
        </w:rPr>
        <w:t xml:space="preserve"> udalostí podliehajúcich hláseniu dozornému orgánu, ktoré ale nemali významný vplyv na jadrovú bezpečnosť. Počas roka 2023 prišlo k automatickému odstaveniu reaktora pôsobením ochrany AO1 počas nábeh</w:t>
      </w:r>
      <w:r w:rsidR="006A2AF8">
        <w:rPr>
          <w:color w:val="000000" w:themeColor="text1"/>
        </w:rPr>
        <w:t>u</w:t>
      </w:r>
      <w:r w:rsidRPr="00C76454">
        <w:rPr>
          <w:color w:val="000000" w:themeColor="text1"/>
        </w:rPr>
        <w:t xml:space="preserve"> bloku kvôli predčasnému </w:t>
      </w:r>
      <w:r w:rsidRPr="00754300">
        <w:rPr>
          <w:color w:val="000000" w:themeColor="text1"/>
        </w:rPr>
        <w:t>zapôsobeniu ochrany od technologických príčin v</w:t>
      </w:r>
      <w:r w:rsidR="00754300" w:rsidRPr="00754300">
        <w:rPr>
          <w:color w:val="000000" w:themeColor="text1"/>
        </w:rPr>
        <w:t xml:space="preserve"> režime </w:t>
      </w:r>
      <w:r w:rsidRPr="00754300">
        <w:rPr>
          <w:color w:val="000000" w:themeColor="text1"/>
        </w:rPr>
        <w:t>5.</w:t>
      </w:r>
      <w:r w:rsidRPr="00C76454">
        <w:rPr>
          <w:color w:val="000000" w:themeColor="text1"/>
        </w:rPr>
        <w:t xml:space="preserve"> </w:t>
      </w:r>
    </w:p>
    <w:p w14:paraId="12A0416F" w14:textId="77777777" w:rsidR="002B1F61" w:rsidRPr="00C76454" w:rsidRDefault="002B1F61" w:rsidP="002B1F61">
      <w:pPr>
        <w:jc w:val="both"/>
        <w:rPr>
          <w:color w:val="000000" w:themeColor="text1"/>
        </w:rPr>
      </w:pPr>
    </w:p>
    <w:p w14:paraId="5DFFC7C3" w14:textId="77777777" w:rsidR="00160687" w:rsidRPr="00C76454" w:rsidRDefault="00160687" w:rsidP="00160687">
      <w:pPr>
        <w:jc w:val="both"/>
        <w:rPr>
          <w:b/>
          <w:i/>
          <w:color w:val="000000" w:themeColor="text1"/>
        </w:rPr>
      </w:pPr>
      <w:r w:rsidRPr="00C76454">
        <w:rPr>
          <w:b/>
          <w:i/>
          <w:color w:val="000000" w:themeColor="text1"/>
        </w:rPr>
        <w:t>Záver:</w:t>
      </w:r>
    </w:p>
    <w:p w14:paraId="2DF9FBA3" w14:textId="77777777" w:rsidR="00C76454" w:rsidRPr="00160687" w:rsidRDefault="00C76454" w:rsidP="00C76454">
      <w:pPr>
        <w:jc w:val="both"/>
        <w:rPr>
          <w:b/>
          <w:i/>
          <w:color w:val="000000" w:themeColor="text1"/>
        </w:rPr>
      </w:pPr>
      <w:r w:rsidRPr="00C76454">
        <w:rPr>
          <w:b/>
          <w:i/>
          <w:color w:val="000000" w:themeColor="text1"/>
        </w:rPr>
        <w:t>Na základe výsledkov kontrolnej a hodnotiacej činnosti ÚJD SR bola v roku 2023 prevádzka JE Mochovce 1, 2 vyhodnotená ako bezpečná. Identifikované prevádzkové poruchy boli z hľadiska jadrovej bezpečnosti bez osobitnej významnosti a boli prijaté také nápravné opatrenia, ktoré minimalizujú pravdepodobnosť ich opakovania.</w:t>
      </w:r>
    </w:p>
    <w:p w14:paraId="798E2FAE" w14:textId="77777777" w:rsidR="0020334C" w:rsidRPr="0020334C" w:rsidRDefault="0020334C" w:rsidP="0020334C">
      <w:pPr>
        <w:jc w:val="both"/>
        <w:rPr>
          <w:color w:val="000000" w:themeColor="text1"/>
        </w:rPr>
      </w:pPr>
    </w:p>
    <w:p w14:paraId="5EC821B1" w14:textId="081B541A" w:rsidR="0020334C" w:rsidRDefault="0020334C" w:rsidP="00D20844">
      <w:pPr>
        <w:pStyle w:val="Nadpis4"/>
        <w:ind w:hanging="1728"/>
        <w:rPr>
          <w:b w:val="0"/>
        </w:rPr>
      </w:pPr>
      <w:bookmarkStart w:id="28" w:name="_Toc161214314"/>
      <w:bookmarkStart w:id="29" w:name="_Hlk159515862"/>
      <w:r w:rsidRPr="00883101">
        <w:rPr>
          <w:b w:val="0"/>
        </w:rPr>
        <w:t>Jadrové elektrárne vo</w:t>
      </w:r>
      <w:r w:rsidR="00981BA3" w:rsidRPr="00BD6834">
        <w:rPr>
          <w:b w:val="0"/>
        </w:rPr>
        <w:t xml:space="preserve"> fáze uvádzania do prevádzky</w:t>
      </w:r>
      <w:bookmarkEnd w:id="28"/>
      <w:r w:rsidR="00981BA3" w:rsidRPr="00BD6834">
        <w:rPr>
          <w:b w:val="0"/>
        </w:rPr>
        <w:t xml:space="preserve"> </w:t>
      </w:r>
    </w:p>
    <w:bookmarkEnd w:id="29"/>
    <w:p w14:paraId="3EC16A54" w14:textId="77777777" w:rsidR="0020334C" w:rsidRPr="00B405F3" w:rsidRDefault="0020334C" w:rsidP="0020334C">
      <w:pPr>
        <w:rPr>
          <w:color w:val="000000" w:themeColor="text1"/>
          <w:highlight w:val="yellow"/>
          <w:lang w:val="x-none" w:eastAsia="x-none"/>
        </w:rPr>
      </w:pPr>
    </w:p>
    <w:p w14:paraId="7011299B" w14:textId="72083979" w:rsidR="00BA1052" w:rsidRPr="00883101" w:rsidRDefault="00BA1052" w:rsidP="00CE49C8">
      <w:pPr>
        <w:pStyle w:val="Nadpis5"/>
        <w:numPr>
          <w:ilvl w:val="4"/>
          <w:numId w:val="2"/>
        </w:numPr>
        <w:suppressLineNumbers/>
        <w:jc w:val="both"/>
        <w:rPr>
          <w:rFonts w:ascii="Times New Roman" w:hAnsi="Times New Roman"/>
          <w:color w:val="000000" w:themeColor="text1"/>
          <w:sz w:val="24"/>
          <w:szCs w:val="24"/>
          <w:lang w:val="sk-SK"/>
        </w:rPr>
      </w:pPr>
      <w:bookmarkStart w:id="30" w:name="_Hlk159485262"/>
      <w:r w:rsidRPr="00883101">
        <w:rPr>
          <w:rFonts w:ascii="Times New Roman" w:hAnsi="Times New Roman"/>
          <w:color w:val="000000" w:themeColor="text1"/>
          <w:sz w:val="24"/>
          <w:szCs w:val="24"/>
          <w:lang w:val="sk-SK"/>
        </w:rPr>
        <w:t>Jadrová elektráreň Mochovce 3</w:t>
      </w:r>
    </w:p>
    <w:bookmarkEnd w:id="30"/>
    <w:p w14:paraId="5D7605A9" w14:textId="5CB91C11" w:rsidR="00BA1052" w:rsidRPr="003C1A66" w:rsidRDefault="00BA1052" w:rsidP="00BA1052">
      <w:pPr>
        <w:jc w:val="both"/>
        <w:rPr>
          <w:color w:val="000000" w:themeColor="text1"/>
        </w:rPr>
      </w:pPr>
      <w:r w:rsidRPr="003C1A66">
        <w:rPr>
          <w:color w:val="000000" w:themeColor="text1"/>
        </w:rPr>
        <w:t>Na 3. bloku JE Mochovce</w:t>
      </w:r>
      <w:r w:rsidR="00981BA3">
        <w:rPr>
          <w:color w:val="000000" w:themeColor="text1"/>
        </w:rPr>
        <w:t>, ktorý sa nachádzal vo fáze uvádzania do prevádzky,</w:t>
      </w:r>
      <w:r w:rsidRPr="003C1A66">
        <w:rPr>
          <w:color w:val="000000" w:themeColor="text1"/>
        </w:rPr>
        <w:t xml:space="preserve"> boli v roku 2023 ukončené všetky testy podľa schváleného etapového programu fyzikálneho spúšťania. Po posúdení predbežného vyhodnotenia etapy fyzikálneho spúšťania vydal dňa 13.</w:t>
      </w:r>
      <w:r w:rsidR="00F8535B">
        <w:rPr>
          <w:color w:val="000000" w:themeColor="text1"/>
        </w:rPr>
        <w:t> </w:t>
      </w:r>
      <w:r w:rsidRPr="003C1A66">
        <w:rPr>
          <w:color w:val="000000" w:themeColor="text1"/>
        </w:rPr>
        <w:t>1.</w:t>
      </w:r>
      <w:r w:rsidR="00F8535B">
        <w:rPr>
          <w:color w:val="000000" w:themeColor="text1"/>
        </w:rPr>
        <w:t> </w:t>
      </w:r>
      <w:r w:rsidRPr="003C1A66">
        <w:rPr>
          <w:color w:val="000000" w:themeColor="text1"/>
        </w:rPr>
        <w:t xml:space="preserve">2023 ÚJD SR súhlas na prechod do etapy energetického spúšťania 3. bloku. </w:t>
      </w:r>
      <w:r w:rsidR="001645BC">
        <w:rPr>
          <w:color w:val="000000" w:themeColor="text1"/>
        </w:rPr>
        <w:t>P</w:t>
      </w:r>
      <w:r w:rsidRPr="003C1A66">
        <w:rPr>
          <w:color w:val="000000" w:themeColor="text1"/>
        </w:rPr>
        <w:t>ostupne</w:t>
      </w:r>
      <w:r w:rsidR="001645BC">
        <w:rPr>
          <w:color w:val="000000" w:themeColor="text1"/>
        </w:rPr>
        <w:t xml:space="preserve"> boli</w:t>
      </w:r>
      <w:r w:rsidRPr="003C1A66">
        <w:rPr>
          <w:color w:val="000000" w:themeColor="text1"/>
        </w:rPr>
        <w:t xml:space="preserve"> zrealizované všetky predpísané skúšky a testy na definovaných výkonových hladinách 5%, 20%, 35%, 55%, 75%, 90% a 100% </w:t>
      </w:r>
      <w:proofErr w:type="spellStart"/>
      <w:r w:rsidRPr="003C1A66">
        <w:rPr>
          <w:color w:val="000000" w:themeColor="text1"/>
        </w:rPr>
        <w:t>Nnom</w:t>
      </w:r>
      <w:proofErr w:type="spellEnd"/>
      <w:r w:rsidRPr="003C1A66">
        <w:rPr>
          <w:color w:val="000000" w:themeColor="text1"/>
        </w:rPr>
        <w:t>. Dosiahnuté výsledky potvrdili splnenie všetkých bezpečnostných a projektových požiadaviek. Bola vykonaná taktiež parametrizácia, odladenie regulátorov bloku a overená ich vzájomná spolupráca. Počas tejto etapy ÚJD SR sledoval vykonávané činnosti držiteľa povolenia a priebežne posudzoval predkladané protokoly a správy a v prípade zistenia nezrovnalostí alebo neúplností požadoval od držiteľa povolenia z</w:t>
      </w:r>
      <w:r w:rsidR="001645BC">
        <w:rPr>
          <w:color w:val="000000" w:themeColor="text1"/>
        </w:rPr>
        <w:t>abezpečiť</w:t>
      </w:r>
      <w:r w:rsidRPr="003C1A66">
        <w:rPr>
          <w:color w:val="000000" w:themeColor="text1"/>
        </w:rPr>
        <w:t xml:space="preserve"> nápravu. Energetické spúšťanie 3. bloku bolo dňa 14. </w:t>
      </w:r>
      <w:r w:rsidR="00F8535B">
        <w:rPr>
          <w:color w:val="000000" w:themeColor="text1"/>
        </w:rPr>
        <w:t>10. 2023</w:t>
      </w:r>
      <w:r w:rsidRPr="003C1A66">
        <w:rPr>
          <w:color w:val="000000" w:themeColor="text1"/>
        </w:rPr>
        <w:t xml:space="preserve"> ukončené 144</w:t>
      </w:r>
      <w:r w:rsidR="001645BC">
        <w:rPr>
          <w:color w:val="000000" w:themeColor="text1"/>
        </w:rPr>
        <w:t>-</w:t>
      </w:r>
      <w:r w:rsidRPr="003C1A66">
        <w:rPr>
          <w:color w:val="000000" w:themeColor="text1"/>
        </w:rPr>
        <w:t xml:space="preserve">hodinovým preukazným chodom a blok prešiel do fázy predprevádzkových testov. </w:t>
      </w:r>
      <w:r w:rsidR="009F60CE">
        <w:rPr>
          <w:color w:val="000000" w:themeColor="text1"/>
        </w:rPr>
        <w:t>V roku 2023</w:t>
      </w:r>
      <w:r w:rsidRPr="003C1A66">
        <w:rPr>
          <w:color w:val="000000" w:themeColor="text1"/>
        </w:rPr>
        <w:t xml:space="preserve"> držiteľ povolenia požiadal ÚJD SR o vydanie povolenia na prevádzku a súhlasu na skúšobnú prevádzku 3. bloku. </w:t>
      </w:r>
    </w:p>
    <w:p w14:paraId="13C40308" w14:textId="77777777" w:rsidR="00BA1052" w:rsidRPr="00BA1052" w:rsidRDefault="00BA1052" w:rsidP="00BA1052">
      <w:pPr>
        <w:jc w:val="both"/>
        <w:rPr>
          <w:bCs/>
          <w:color w:val="000000" w:themeColor="text1"/>
          <w:szCs w:val="24"/>
          <w:shd w:val="clear" w:color="auto" w:fill="FFFFFF"/>
        </w:rPr>
      </w:pPr>
    </w:p>
    <w:p w14:paraId="61B50D31" w14:textId="194C29D3" w:rsidR="00BA1052" w:rsidRPr="00BA1052" w:rsidRDefault="00BA1052" w:rsidP="00BA1052">
      <w:pPr>
        <w:jc w:val="both"/>
        <w:rPr>
          <w:b/>
          <w:bCs/>
          <w:color w:val="000000" w:themeColor="text1"/>
          <w:szCs w:val="24"/>
          <w:shd w:val="clear" w:color="auto" w:fill="FFFFFF"/>
        </w:rPr>
      </w:pPr>
      <w:r w:rsidRPr="00BA1052">
        <w:rPr>
          <w:b/>
          <w:bCs/>
          <w:color w:val="000000" w:themeColor="text1"/>
          <w:szCs w:val="24"/>
          <w:shd w:val="clear" w:color="auto" w:fill="FFFFFF"/>
        </w:rPr>
        <w:t>Prevádzkové udalosti</w:t>
      </w:r>
    </w:p>
    <w:p w14:paraId="79C7EEFC" w14:textId="03362974" w:rsidR="00BA1052" w:rsidRDefault="00BA1052" w:rsidP="00BA1052">
      <w:pPr>
        <w:jc w:val="both"/>
        <w:rPr>
          <w:color w:val="000000" w:themeColor="text1"/>
        </w:rPr>
      </w:pPr>
      <w:r w:rsidRPr="003C1A66">
        <w:rPr>
          <w:color w:val="000000" w:themeColor="text1"/>
        </w:rPr>
        <w:t xml:space="preserve">V roku 2023 ÚJD SR zaevidoval </w:t>
      </w:r>
      <w:r w:rsidR="00F8535B">
        <w:rPr>
          <w:color w:val="000000" w:themeColor="text1"/>
        </w:rPr>
        <w:t>jednu</w:t>
      </w:r>
      <w:r w:rsidRPr="003C1A66">
        <w:rPr>
          <w:color w:val="000000" w:themeColor="text1"/>
        </w:rPr>
        <w:t xml:space="preserve"> udalosť podliehajúcu hláseniu dozornému orgánu, ktorá mala vplyv na jadrovú bezpečnosť. Počas testov energetického spúšťania 3. bloku bolo identifikované, že riadiace prístroje ovládania poistných ventilov parogenerátorov sú odpojené od technológie, čo spôsobilo ich </w:t>
      </w:r>
      <w:proofErr w:type="spellStart"/>
      <w:r w:rsidRPr="003C1A66">
        <w:rPr>
          <w:color w:val="000000" w:themeColor="text1"/>
        </w:rPr>
        <w:t>neprevádzkyschopnosť</w:t>
      </w:r>
      <w:proofErr w:type="spellEnd"/>
      <w:r w:rsidRPr="003C1A66">
        <w:rPr>
          <w:color w:val="000000" w:themeColor="text1"/>
        </w:rPr>
        <w:t>. Udalosť bola vyhodnotená podľa medzinárodnej stupnice</w:t>
      </w:r>
      <w:r w:rsidR="003D50CC">
        <w:rPr>
          <w:color w:val="000000" w:themeColor="text1"/>
        </w:rPr>
        <w:t xml:space="preserve"> jadrových a radiačných udalostí (</w:t>
      </w:r>
      <w:r w:rsidRPr="003C1A66">
        <w:rPr>
          <w:color w:val="000000" w:themeColor="text1"/>
        </w:rPr>
        <w:t>INES</w:t>
      </w:r>
      <w:r w:rsidR="003D50CC">
        <w:rPr>
          <w:color w:val="000000" w:themeColor="text1"/>
        </w:rPr>
        <w:t>)</w:t>
      </w:r>
      <w:r w:rsidRPr="003C1A66">
        <w:rPr>
          <w:color w:val="000000" w:themeColor="text1"/>
        </w:rPr>
        <w:t xml:space="preserve"> ako stupeň 1, čo znamená odchýlka od normálnej prevádzky.</w:t>
      </w:r>
    </w:p>
    <w:p w14:paraId="7519CFD8" w14:textId="7A4799E9" w:rsidR="006A7DCF" w:rsidRDefault="006A7DCF" w:rsidP="00BA1052">
      <w:pPr>
        <w:jc w:val="both"/>
        <w:rPr>
          <w:color w:val="000000" w:themeColor="text1"/>
        </w:rPr>
      </w:pPr>
    </w:p>
    <w:p w14:paraId="368DB4CE" w14:textId="77777777" w:rsidR="006A7DCF" w:rsidRPr="006A7DCF" w:rsidRDefault="006A7DCF" w:rsidP="006A7DCF">
      <w:pPr>
        <w:jc w:val="both"/>
        <w:rPr>
          <w:b/>
          <w:i/>
          <w:color w:val="000000" w:themeColor="text1"/>
        </w:rPr>
      </w:pPr>
      <w:r w:rsidRPr="006A7DCF">
        <w:rPr>
          <w:b/>
          <w:i/>
          <w:color w:val="000000" w:themeColor="text1"/>
        </w:rPr>
        <w:t>Záver:</w:t>
      </w:r>
    </w:p>
    <w:p w14:paraId="27E87702" w14:textId="12AEAEE4" w:rsidR="006A7DCF" w:rsidRDefault="006A7DCF" w:rsidP="00BA1052">
      <w:pPr>
        <w:jc w:val="both"/>
        <w:rPr>
          <w:b/>
          <w:bCs/>
          <w:i/>
          <w:color w:val="000000" w:themeColor="text1"/>
          <w:szCs w:val="24"/>
          <w:shd w:val="clear" w:color="auto" w:fill="FFFFFF"/>
        </w:rPr>
      </w:pPr>
      <w:r w:rsidRPr="00BA1052">
        <w:rPr>
          <w:b/>
          <w:bCs/>
          <w:i/>
          <w:color w:val="000000" w:themeColor="text1"/>
          <w:szCs w:val="24"/>
          <w:shd w:val="clear" w:color="auto" w:fill="FFFFFF"/>
        </w:rPr>
        <w:t>Podľa predbežného vyhodnotenia ÚJD SR energetické spúšťanie 3. bloku overilo všetky bezpečnostné a projektové kritériá, čo bol nevyhnutný predpoklad pre bezpečnú a spoľahlivú prevádzku jadrového zariadenia.</w:t>
      </w:r>
      <w:r w:rsidRPr="00BA1052">
        <w:t xml:space="preserve"> </w:t>
      </w:r>
      <w:proofErr w:type="spellStart"/>
      <w:r w:rsidRPr="00BA1052">
        <w:rPr>
          <w:b/>
          <w:bCs/>
          <w:i/>
          <w:color w:val="000000" w:themeColor="text1"/>
          <w:szCs w:val="24"/>
          <w:shd w:val="clear" w:color="auto" w:fill="FFFFFF"/>
        </w:rPr>
        <w:t>Dozorovanie</w:t>
      </w:r>
      <w:proofErr w:type="spellEnd"/>
      <w:r w:rsidRPr="00BA1052">
        <w:rPr>
          <w:b/>
          <w:bCs/>
          <w:i/>
          <w:color w:val="000000" w:themeColor="text1"/>
          <w:szCs w:val="24"/>
          <w:shd w:val="clear" w:color="auto" w:fill="FFFFFF"/>
        </w:rPr>
        <w:t xml:space="preserve"> skúšok a testov spúšťania 3. bloku zo strany ÚJD SR bolo realizované nepretržite s významnou technickou podporo</w:t>
      </w:r>
      <w:r w:rsidR="001645BC">
        <w:rPr>
          <w:b/>
          <w:bCs/>
          <w:i/>
          <w:color w:val="000000" w:themeColor="text1"/>
          <w:szCs w:val="24"/>
          <w:shd w:val="clear" w:color="auto" w:fill="FFFFFF"/>
        </w:rPr>
        <w:t>u</w:t>
      </w:r>
      <w:r w:rsidRPr="00BA1052">
        <w:rPr>
          <w:b/>
          <w:bCs/>
          <w:i/>
          <w:color w:val="000000" w:themeColor="text1"/>
          <w:szCs w:val="24"/>
          <w:shd w:val="clear" w:color="auto" w:fill="FFFFFF"/>
        </w:rPr>
        <w:t xml:space="preserve"> externých špecialistov. Záverečné komplexné posúdenie uvádzani</w:t>
      </w:r>
      <w:r w:rsidR="000F6829">
        <w:rPr>
          <w:b/>
          <w:bCs/>
          <w:i/>
          <w:color w:val="000000" w:themeColor="text1"/>
          <w:szCs w:val="24"/>
          <w:shd w:val="clear" w:color="auto" w:fill="FFFFFF"/>
        </w:rPr>
        <w:t>a</w:t>
      </w:r>
      <w:r w:rsidRPr="00BA1052">
        <w:rPr>
          <w:b/>
          <w:bCs/>
          <w:i/>
          <w:color w:val="000000" w:themeColor="text1"/>
          <w:szCs w:val="24"/>
          <w:shd w:val="clear" w:color="auto" w:fill="FFFFFF"/>
        </w:rPr>
        <w:t xml:space="preserve"> 3. bloku do prevádzky zo strany ÚJD SR stále prebieha.</w:t>
      </w:r>
    </w:p>
    <w:p w14:paraId="52782383" w14:textId="77777777" w:rsidR="000F6829" w:rsidRDefault="000F6829" w:rsidP="00BA1052">
      <w:pPr>
        <w:jc w:val="both"/>
        <w:rPr>
          <w:b/>
          <w:bCs/>
          <w:i/>
          <w:color w:val="000000" w:themeColor="text1"/>
          <w:szCs w:val="24"/>
          <w:shd w:val="clear" w:color="auto" w:fill="FFFFFF"/>
        </w:rPr>
      </w:pPr>
    </w:p>
    <w:p w14:paraId="6060E59C" w14:textId="044882CD" w:rsidR="00BD6834" w:rsidRPr="00BD6834" w:rsidRDefault="00BD6834" w:rsidP="00BD6834">
      <w:pPr>
        <w:pStyle w:val="Nadpis4"/>
        <w:ind w:hanging="1728"/>
        <w:rPr>
          <w:b w:val="0"/>
        </w:rPr>
      </w:pPr>
      <w:bookmarkStart w:id="31" w:name="_Toc161214315"/>
      <w:r w:rsidRPr="00BD6834">
        <w:rPr>
          <w:b w:val="0"/>
        </w:rPr>
        <w:lastRenderedPageBreak/>
        <w:t>Jadrové elektrárne vo výstavbe</w:t>
      </w:r>
      <w:bookmarkEnd w:id="31"/>
    </w:p>
    <w:p w14:paraId="45A74B00" w14:textId="77777777" w:rsidR="00BD6834" w:rsidRDefault="00BD6834" w:rsidP="00BA1052">
      <w:pPr>
        <w:jc w:val="both"/>
        <w:rPr>
          <w:color w:val="000000" w:themeColor="text1"/>
        </w:rPr>
      </w:pPr>
    </w:p>
    <w:p w14:paraId="1510FE6D" w14:textId="7BD0F678" w:rsidR="007014B7" w:rsidRPr="00883101" w:rsidRDefault="007014B7" w:rsidP="007014B7">
      <w:pPr>
        <w:pStyle w:val="Nadpis5"/>
        <w:numPr>
          <w:ilvl w:val="4"/>
          <w:numId w:val="2"/>
        </w:numPr>
        <w:suppressLineNumbers/>
        <w:jc w:val="both"/>
        <w:rPr>
          <w:rFonts w:ascii="Times New Roman" w:hAnsi="Times New Roman"/>
          <w:color w:val="000000" w:themeColor="text1"/>
          <w:sz w:val="24"/>
          <w:szCs w:val="24"/>
          <w:lang w:val="sk-SK"/>
        </w:rPr>
      </w:pPr>
      <w:r w:rsidRPr="00883101">
        <w:rPr>
          <w:rFonts w:ascii="Times New Roman" w:hAnsi="Times New Roman"/>
          <w:color w:val="000000" w:themeColor="text1"/>
          <w:sz w:val="24"/>
          <w:szCs w:val="24"/>
          <w:lang w:val="sk-SK"/>
        </w:rPr>
        <w:t>Jadrová elektráreň Mochovce 4</w:t>
      </w:r>
    </w:p>
    <w:p w14:paraId="4C56D94C" w14:textId="7E85FE2D" w:rsidR="00BA1052" w:rsidRPr="00BA1052" w:rsidRDefault="006E4FB7" w:rsidP="00BA1052">
      <w:pPr>
        <w:jc w:val="both"/>
        <w:rPr>
          <w:bCs/>
          <w:color w:val="000000" w:themeColor="text1"/>
          <w:szCs w:val="24"/>
          <w:shd w:val="clear" w:color="auto" w:fill="FFFFFF"/>
        </w:rPr>
      </w:pPr>
      <w:r>
        <w:rPr>
          <w:bCs/>
          <w:color w:val="000000" w:themeColor="text1"/>
          <w:szCs w:val="24"/>
          <w:shd w:val="clear" w:color="auto" w:fill="FFFFFF"/>
        </w:rPr>
        <w:t xml:space="preserve">Výstavba </w:t>
      </w:r>
      <w:r w:rsidR="00BA1052" w:rsidRPr="008B0972">
        <w:rPr>
          <w:bCs/>
          <w:color w:val="000000" w:themeColor="text1"/>
          <w:szCs w:val="24"/>
          <w:shd w:val="clear" w:color="auto" w:fill="FFFFFF"/>
        </w:rPr>
        <w:t>4. blok</w:t>
      </w:r>
      <w:r>
        <w:rPr>
          <w:bCs/>
          <w:color w:val="000000" w:themeColor="text1"/>
          <w:szCs w:val="24"/>
          <w:shd w:val="clear" w:color="auto" w:fill="FFFFFF"/>
        </w:rPr>
        <w:t>u</w:t>
      </w:r>
      <w:r w:rsidR="00BA1052" w:rsidRPr="008B0972">
        <w:rPr>
          <w:bCs/>
          <w:color w:val="000000" w:themeColor="text1"/>
          <w:szCs w:val="24"/>
          <w:shd w:val="clear" w:color="auto" w:fill="FFFFFF"/>
        </w:rPr>
        <w:t xml:space="preserve"> JE Mochovce</w:t>
      </w:r>
      <w:r w:rsidR="00BA1052" w:rsidRPr="00BA1052">
        <w:rPr>
          <w:bCs/>
          <w:color w:val="000000" w:themeColor="text1"/>
          <w:szCs w:val="24"/>
          <w:shd w:val="clear" w:color="auto" w:fill="FFFFFF"/>
        </w:rPr>
        <w:t xml:space="preserve"> pokračoval</w:t>
      </w:r>
      <w:r>
        <w:rPr>
          <w:bCs/>
          <w:color w:val="000000" w:themeColor="text1"/>
          <w:szCs w:val="24"/>
          <w:shd w:val="clear" w:color="auto" w:fill="FFFFFF"/>
        </w:rPr>
        <w:t>a aj v roku 2023.</w:t>
      </w:r>
      <w:r w:rsidR="00BA1052" w:rsidRPr="00BA1052">
        <w:rPr>
          <w:bCs/>
          <w:color w:val="000000" w:themeColor="text1"/>
          <w:szCs w:val="24"/>
          <w:shd w:val="clear" w:color="auto" w:fill="FFFFFF"/>
        </w:rPr>
        <w:t xml:space="preserve"> Bola ukončená </w:t>
      </w:r>
      <w:proofErr w:type="spellStart"/>
      <w:r w:rsidR="00BA1052" w:rsidRPr="00BA1052">
        <w:rPr>
          <w:bCs/>
          <w:color w:val="000000" w:themeColor="text1"/>
          <w:szCs w:val="24"/>
          <w:shd w:val="clear" w:color="auto" w:fill="FFFFFF"/>
        </w:rPr>
        <w:t>energizácia</w:t>
      </w:r>
      <w:proofErr w:type="spellEnd"/>
      <w:r w:rsidR="00BA1052" w:rsidRPr="00BA1052">
        <w:rPr>
          <w:bCs/>
          <w:color w:val="000000" w:themeColor="text1"/>
          <w:szCs w:val="24"/>
          <w:shd w:val="clear" w:color="auto" w:fill="FFFFFF"/>
        </w:rPr>
        <w:t xml:space="preserve"> vlastných technologických zariadení. </w:t>
      </w:r>
      <w:r>
        <w:rPr>
          <w:bCs/>
          <w:color w:val="000000" w:themeColor="text1"/>
          <w:szCs w:val="24"/>
          <w:shd w:val="clear" w:color="auto" w:fill="FFFFFF"/>
        </w:rPr>
        <w:t>S</w:t>
      </w:r>
      <w:r w:rsidR="00BA1052" w:rsidRPr="00BA1052">
        <w:rPr>
          <w:bCs/>
          <w:color w:val="000000" w:themeColor="text1"/>
          <w:szCs w:val="24"/>
          <w:shd w:val="clear" w:color="auto" w:fill="FFFFFF"/>
        </w:rPr>
        <w:t>prevádzkované</w:t>
      </w:r>
      <w:r>
        <w:rPr>
          <w:bCs/>
          <w:color w:val="000000" w:themeColor="text1"/>
          <w:szCs w:val="24"/>
          <w:shd w:val="clear" w:color="auto" w:fill="FFFFFF"/>
        </w:rPr>
        <w:t xml:space="preserve"> boli</w:t>
      </w:r>
      <w:r w:rsidR="00BA1052" w:rsidRPr="00BA1052">
        <w:rPr>
          <w:bCs/>
          <w:color w:val="000000" w:themeColor="text1"/>
          <w:szCs w:val="24"/>
          <w:shd w:val="clear" w:color="auto" w:fill="FFFFFF"/>
        </w:rPr>
        <w:t xml:space="preserve"> viaceré vzduchotechnické systémy a elektrická požiarna signalizácia. Pokračovalo sa v </w:t>
      </w:r>
      <w:proofErr w:type="spellStart"/>
      <w:r w:rsidR="00BA1052" w:rsidRPr="00BA1052">
        <w:rPr>
          <w:bCs/>
          <w:color w:val="000000" w:themeColor="text1"/>
          <w:szCs w:val="24"/>
          <w:shd w:val="clear" w:color="auto" w:fill="FFFFFF"/>
        </w:rPr>
        <w:t>pomontážnych</w:t>
      </w:r>
      <w:proofErr w:type="spellEnd"/>
      <w:r w:rsidR="00BA1052" w:rsidRPr="00BA1052">
        <w:rPr>
          <w:bCs/>
          <w:color w:val="000000" w:themeColor="text1"/>
          <w:szCs w:val="24"/>
          <w:shd w:val="clear" w:color="auto" w:fill="FFFFFF"/>
        </w:rPr>
        <w:t xml:space="preserve"> čistiacich operáciách, tlakových skúškach a v odovzdávaní technologických systémov do neaktívnych skúšok. Prebiehali testovania prenosu signálu meracích reťazcov a prebiehali individuálne skúšky na zariadeniach. Bolo ukončené rozsiahle dodatočné overovanie zvarových spojov </w:t>
      </w:r>
      <w:proofErr w:type="spellStart"/>
      <w:r w:rsidR="00BA1052" w:rsidRPr="00BA1052">
        <w:rPr>
          <w:bCs/>
          <w:color w:val="000000" w:themeColor="text1"/>
          <w:szCs w:val="24"/>
          <w:shd w:val="clear" w:color="auto" w:fill="FFFFFF"/>
        </w:rPr>
        <w:t>austenitických</w:t>
      </w:r>
      <w:proofErr w:type="spellEnd"/>
      <w:r w:rsidR="00BA1052" w:rsidRPr="00BA1052">
        <w:rPr>
          <w:bCs/>
          <w:color w:val="000000" w:themeColor="text1"/>
          <w:szCs w:val="24"/>
          <w:shd w:val="clear" w:color="auto" w:fill="FFFFFF"/>
        </w:rPr>
        <w:t xml:space="preserve"> potrubí a kvality materiálov potrubných dielov. ÚJD SR pravidelne kontroloval a hodnotil stav JZ vo výstavbe, kvalitu montáže VZ, realizáciu </w:t>
      </w:r>
      <w:proofErr w:type="spellStart"/>
      <w:r w:rsidR="00BA1052" w:rsidRPr="00BA1052">
        <w:rPr>
          <w:bCs/>
          <w:color w:val="000000" w:themeColor="text1"/>
          <w:szCs w:val="24"/>
          <w:shd w:val="clear" w:color="auto" w:fill="FFFFFF"/>
        </w:rPr>
        <w:t>pomontážnych</w:t>
      </w:r>
      <w:proofErr w:type="spellEnd"/>
      <w:r w:rsidR="00BA1052" w:rsidRPr="00BA1052">
        <w:rPr>
          <w:bCs/>
          <w:color w:val="000000" w:themeColor="text1"/>
          <w:szCs w:val="24"/>
          <w:shd w:val="clear" w:color="auto" w:fill="FFFFFF"/>
        </w:rPr>
        <w:t xml:space="preserve"> kontrol zmontovaných technologických celkov a ich častí, ako aj priebeh a výsledky jednotlivých neaktívnych skúšok a testov. </w:t>
      </w:r>
    </w:p>
    <w:p w14:paraId="3ADB1C90" w14:textId="77777777" w:rsidR="00BA1052" w:rsidRPr="00BA1052" w:rsidRDefault="00BA1052" w:rsidP="00BA1052">
      <w:pPr>
        <w:jc w:val="both"/>
        <w:rPr>
          <w:b/>
          <w:bCs/>
          <w:color w:val="000000" w:themeColor="text1"/>
          <w:szCs w:val="24"/>
          <w:shd w:val="clear" w:color="auto" w:fill="FFFFFF"/>
        </w:rPr>
      </w:pPr>
    </w:p>
    <w:p w14:paraId="02E3A5FF" w14:textId="77777777" w:rsidR="00BA1052" w:rsidRPr="00E2054F" w:rsidRDefault="00BA1052" w:rsidP="00BA1052">
      <w:pPr>
        <w:jc w:val="both"/>
        <w:rPr>
          <w:b/>
          <w:i/>
          <w:color w:val="000000" w:themeColor="text1"/>
        </w:rPr>
      </w:pPr>
      <w:bookmarkStart w:id="32" w:name="_Hlk159485346"/>
      <w:r w:rsidRPr="00E2054F">
        <w:rPr>
          <w:b/>
          <w:i/>
          <w:color w:val="000000" w:themeColor="text1"/>
        </w:rPr>
        <w:t>Záver:</w:t>
      </w:r>
    </w:p>
    <w:bookmarkEnd w:id="32"/>
    <w:p w14:paraId="7263C767" w14:textId="40E90E6B" w:rsidR="00BA1052" w:rsidRDefault="00BA1052" w:rsidP="00BA1052">
      <w:pPr>
        <w:jc w:val="both"/>
        <w:rPr>
          <w:b/>
          <w:bCs/>
          <w:i/>
          <w:color w:val="000000" w:themeColor="text1"/>
          <w:szCs w:val="24"/>
          <w:shd w:val="clear" w:color="auto" w:fill="FFFFFF"/>
        </w:rPr>
      </w:pPr>
      <w:r w:rsidRPr="005E0D68">
        <w:rPr>
          <w:b/>
          <w:bCs/>
          <w:i/>
          <w:color w:val="000000" w:themeColor="text1"/>
          <w:szCs w:val="24"/>
          <w:shd w:val="clear" w:color="auto" w:fill="FFFFFF"/>
        </w:rPr>
        <w:t xml:space="preserve">Na 4. bloku EMO sa vykonávali činnosti smerujúce k integrálnej studenej </w:t>
      </w:r>
      <w:proofErr w:type="spellStart"/>
      <w:r w:rsidRPr="005E0D68">
        <w:rPr>
          <w:b/>
          <w:bCs/>
          <w:i/>
          <w:color w:val="000000" w:themeColor="text1"/>
          <w:szCs w:val="24"/>
          <w:shd w:val="clear" w:color="auto" w:fill="FFFFFF"/>
        </w:rPr>
        <w:t>hydroskúške</w:t>
      </w:r>
      <w:proofErr w:type="spellEnd"/>
      <w:r w:rsidRPr="005E0D68">
        <w:rPr>
          <w:b/>
          <w:bCs/>
          <w:i/>
          <w:color w:val="000000" w:themeColor="text1"/>
          <w:szCs w:val="24"/>
          <w:shd w:val="clear" w:color="auto" w:fill="FFFFFF"/>
        </w:rPr>
        <w:t>, ktorú držiteľ povolenia plánuje zahájiť v roku 2024. Inšpektori ÚJD SR vykonali kontroly podľa schváleného inšpekčného plánu. Na neočakávané udalosti a problematické oblasti boli vykonané špeciálne reaktívne inšpekcie.</w:t>
      </w:r>
      <w:r w:rsidRPr="00BA1052">
        <w:rPr>
          <w:b/>
          <w:bCs/>
          <w:i/>
          <w:color w:val="000000" w:themeColor="text1"/>
          <w:szCs w:val="24"/>
          <w:shd w:val="clear" w:color="auto" w:fill="FFFFFF"/>
        </w:rPr>
        <w:t xml:space="preserve"> </w:t>
      </w:r>
    </w:p>
    <w:p w14:paraId="4FFF2163" w14:textId="77777777" w:rsidR="00197F21" w:rsidRDefault="00197F21" w:rsidP="00160687">
      <w:pPr>
        <w:jc w:val="both"/>
        <w:rPr>
          <w:b/>
          <w:bCs/>
          <w:i/>
          <w:color w:val="000000" w:themeColor="text1"/>
          <w:szCs w:val="24"/>
          <w:shd w:val="clear" w:color="auto" w:fill="FFFFFF"/>
        </w:rPr>
      </w:pPr>
    </w:p>
    <w:p w14:paraId="37EF123F" w14:textId="77777777" w:rsidR="007F2381" w:rsidRPr="00783BDA" w:rsidRDefault="007F2381" w:rsidP="00D20844">
      <w:pPr>
        <w:pStyle w:val="Nadpis4"/>
        <w:ind w:hanging="1728"/>
        <w:rPr>
          <w:b w:val="0"/>
        </w:rPr>
      </w:pPr>
      <w:bookmarkStart w:id="33" w:name="_Toc161214316"/>
      <w:r w:rsidRPr="00783BDA">
        <w:rPr>
          <w:b w:val="0"/>
        </w:rPr>
        <w:t>Jadrové elektrárne vo vyraďovaní</w:t>
      </w:r>
      <w:bookmarkEnd w:id="33"/>
    </w:p>
    <w:p w14:paraId="699BC07E" w14:textId="77777777" w:rsidR="007F2381" w:rsidRPr="00AE0B6D" w:rsidRDefault="007F2381" w:rsidP="007F2381">
      <w:pPr>
        <w:rPr>
          <w:color w:val="000000" w:themeColor="text1"/>
          <w:lang w:eastAsia="x-none"/>
        </w:rPr>
      </w:pPr>
    </w:p>
    <w:p w14:paraId="1324A56C" w14:textId="77777777" w:rsidR="00783BDA" w:rsidRPr="006F1170" w:rsidRDefault="00783BDA" w:rsidP="00783BDA">
      <w:pPr>
        <w:pStyle w:val="Nadpis5"/>
        <w:numPr>
          <w:ilvl w:val="4"/>
          <w:numId w:val="2"/>
        </w:numPr>
        <w:suppressLineNumbers/>
        <w:jc w:val="both"/>
        <w:rPr>
          <w:rFonts w:ascii="Times New Roman" w:hAnsi="Times New Roman"/>
          <w:b w:val="0"/>
          <w:iCs w:val="0"/>
          <w:color w:val="000000" w:themeColor="text1"/>
          <w:sz w:val="24"/>
          <w:szCs w:val="24"/>
          <w:lang w:val="sk-SK"/>
        </w:rPr>
      </w:pPr>
      <w:r w:rsidRPr="006F1170">
        <w:rPr>
          <w:rFonts w:ascii="Times New Roman" w:hAnsi="Times New Roman"/>
          <w:color w:val="000000" w:themeColor="text1"/>
          <w:sz w:val="24"/>
          <w:szCs w:val="24"/>
          <w:lang w:val="sk-SK"/>
        </w:rPr>
        <w:t xml:space="preserve">a) Jadrová elektráreň Bohunice A-1 </w:t>
      </w:r>
    </w:p>
    <w:p w14:paraId="7FEAD282" w14:textId="77777777" w:rsidR="00783BDA" w:rsidRPr="00783BDA" w:rsidRDefault="00783BDA" w:rsidP="00783BDA">
      <w:pPr>
        <w:autoSpaceDE w:val="0"/>
        <w:autoSpaceDN w:val="0"/>
        <w:adjustRightInd w:val="0"/>
        <w:jc w:val="both"/>
        <w:rPr>
          <w:color w:val="000000"/>
          <w:szCs w:val="24"/>
        </w:rPr>
      </w:pPr>
      <w:bookmarkStart w:id="34" w:name="_Hlk157431817"/>
      <w:r w:rsidRPr="00783BDA">
        <w:rPr>
          <w:color w:val="000000"/>
          <w:szCs w:val="24"/>
        </w:rPr>
        <w:t xml:space="preserve">V roku 2023 naďalej pokračovala realizácia činností III. a IV. etapy vyraďovania v súlade s rozhodnutím ÚJD SR č. 369/2016, ktorým bolo vydané povolenie na obe etapy súčasne v jednom povoľovacom konaní. Práce spojené s uvedenými etapami vyraďovania sú plánované do konca roka 2024 a sú zamerané na pokračujúce spracovanie kvapalných RAO, kalov z dlhodobého skladu a puzdier dlhodobého skladovania VJP. Držiteľ povolenia pokračoval v realizácii činností súvisiacich s vyraďovaním pôvodných, nefunkčných a nepoužívaných technologických systémov vonkajších objektov a technologických zariadení objektov hlavného výrobného bloku </w:t>
      </w:r>
      <w:proofErr w:type="spellStart"/>
      <w:r w:rsidRPr="00783BDA">
        <w:rPr>
          <w:color w:val="000000"/>
          <w:szCs w:val="24"/>
        </w:rPr>
        <w:t>reaktorovne</w:t>
      </w:r>
      <w:proofErr w:type="spellEnd"/>
      <w:r w:rsidRPr="00783BDA">
        <w:rPr>
          <w:color w:val="000000"/>
          <w:szCs w:val="24"/>
        </w:rPr>
        <w:t xml:space="preserve"> a </w:t>
      </w:r>
      <w:proofErr w:type="spellStart"/>
      <w:r w:rsidRPr="00783BDA">
        <w:rPr>
          <w:color w:val="000000"/>
          <w:szCs w:val="24"/>
        </w:rPr>
        <w:t>medzistrojovne</w:t>
      </w:r>
      <w:proofErr w:type="spellEnd"/>
      <w:r w:rsidRPr="00783BDA">
        <w:rPr>
          <w:color w:val="000000"/>
          <w:szCs w:val="24"/>
        </w:rPr>
        <w:t>. Počas roka 2023 išlo najmä o vyraďovanie chladiacich slučiek a sekčných armatúr primárneho okruhu, vyraďovanie hlavného plynového potrubia, vyraďovanie turbokompresorov a parogenerátorov č. 3 a č. 4, vyraďovanie nádrží N1/1, N1/2 s N1/4, monitorovanie a triedenie kontaminovaných zemín a betónov. Po skončení prác bude bezprostredne nasledovať záverečná V. etapa vyraďovania, ktorej ukončenie je plánované na rok 2033.</w:t>
      </w:r>
    </w:p>
    <w:p w14:paraId="41E586AC" w14:textId="5676269D" w:rsidR="00783BDA" w:rsidRDefault="00783BDA" w:rsidP="00783BDA">
      <w:pPr>
        <w:autoSpaceDE w:val="0"/>
        <w:autoSpaceDN w:val="0"/>
        <w:adjustRightInd w:val="0"/>
        <w:jc w:val="both"/>
        <w:rPr>
          <w:color w:val="000000"/>
          <w:szCs w:val="24"/>
        </w:rPr>
      </w:pPr>
      <w:r w:rsidRPr="00783BDA">
        <w:t>Úrad v priebehu roka 2023 posudzoval dokumentáciu súvisiacu s uvádzaním do prevádzky a využívaním zariadení rekonštruovaného systému uhlíkovej kanalizácie v </w:t>
      </w:r>
      <w:proofErr w:type="spellStart"/>
      <w:r w:rsidRPr="00783BDA">
        <w:t>obj</w:t>
      </w:r>
      <w:proofErr w:type="spellEnd"/>
      <w:r w:rsidRPr="00783BDA">
        <w:t xml:space="preserve">. 30 a využívaním vzduchotechnických systémov P-12a a O-12a. Okrem toho úrad posudzoval zmeny v prevádzkových predpisoch pre </w:t>
      </w:r>
      <w:proofErr w:type="spellStart"/>
      <w:r w:rsidRPr="00783BDA">
        <w:t>vitrifikáciu</w:t>
      </w:r>
      <w:proofErr w:type="spellEnd"/>
      <w:r w:rsidRPr="00783BDA">
        <w:t xml:space="preserve"> </w:t>
      </w:r>
      <w:proofErr w:type="spellStart"/>
      <w:r w:rsidRPr="00783BDA">
        <w:t>chrompiku</w:t>
      </w:r>
      <w:proofErr w:type="spellEnd"/>
      <w:r w:rsidRPr="00783BDA">
        <w:t>, riešenie abnormálnych prevádzkových stavov v JE A-1, a Limity a podmienky bezpečného vyraďovania JE A-1.</w:t>
      </w:r>
      <w:r w:rsidR="002F1E63">
        <w:t xml:space="preserve"> </w:t>
      </w:r>
      <w:r w:rsidRPr="00783BDA">
        <w:rPr>
          <w:color w:val="000000"/>
          <w:szCs w:val="24"/>
        </w:rPr>
        <w:t xml:space="preserve">Plánované inšpekcie boli zamerané na kontrolu súladu vyraďovania so stavom opísaným v pláne III. a IV. etapy vyraďovania, na kontrolu dodržiavania podmienok jadrovej bezpečnosti a požiadaviek dozoru pri vyraďovaní elektrárne z prevádzky a pri nakladaní s RAO z vyraďovania. V rámci inšpekcie bola realizovaná kontrola opatrení na zabránenie/minimalizáciu vzniku požiaru počas realizácie projektu rekonštrukcia vzduchotechnického systému hlavného výrobného bloku JE A-1. </w:t>
      </w:r>
    </w:p>
    <w:p w14:paraId="08C83517" w14:textId="2FAC8322" w:rsidR="004C18D7" w:rsidRDefault="004C18D7" w:rsidP="00783BDA">
      <w:pPr>
        <w:autoSpaceDE w:val="0"/>
        <w:autoSpaceDN w:val="0"/>
        <w:adjustRightInd w:val="0"/>
        <w:jc w:val="both"/>
        <w:rPr>
          <w:color w:val="000000"/>
          <w:szCs w:val="24"/>
        </w:rPr>
      </w:pPr>
    </w:p>
    <w:bookmarkEnd w:id="34"/>
    <w:p w14:paraId="5E7B9E08" w14:textId="77777777" w:rsidR="00783BDA" w:rsidRPr="00783BDA" w:rsidRDefault="00783BDA" w:rsidP="00783BDA">
      <w:pPr>
        <w:autoSpaceDE w:val="0"/>
        <w:autoSpaceDN w:val="0"/>
        <w:adjustRightInd w:val="0"/>
        <w:jc w:val="both"/>
        <w:rPr>
          <w:b/>
          <w:i/>
          <w:iCs/>
        </w:rPr>
      </w:pPr>
      <w:r w:rsidRPr="00783BDA">
        <w:rPr>
          <w:b/>
          <w:i/>
          <w:iCs/>
        </w:rPr>
        <w:t>Záver:</w:t>
      </w:r>
    </w:p>
    <w:p w14:paraId="476A784A" w14:textId="77777777" w:rsidR="00783BDA" w:rsidRPr="00783BDA" w:rsidRDefault="00783BDA" w:rsidP="00783BDA">
      <w:pPr>
        <w:numPr>
          <w:ilvl w:val="0"/>
          <w:numId w:val="2"/>
        </w:numPr>
        <w:autoSpaceDE w:val="0"/>
        <w:autoSpaceDN w:val="0"/>
        <w:adjustRightInd w:val="0"/>
        <w:jc w:val="both"/>
        <w:rPr>
          <w:b/>
          <w:i/>
          <w:iCs/>
        </w:rPr>
      </w:pPr>
      <w:r w:rsidRPr="00783BDA">
        <w:rPr>
          <w:b/>
          <w:i/>
          <w:iCs/>
        </w:rPr>
        <w:t xml:space="preserve">Vyraďovanie JE A-1 sa v roku 2023 realizovalo podľa plánu III. a IV. etapy vyraďovania. Po zhrnutí výsledkov inšpekcií a na základe sumárneho hodnotenia bezpečnostných </w:t>
      </w:r>
      <w:r w:rsidRPr="00783BDA">
        <w:rPr>
          <w:b/>
          <w:i/>
          <w:iCs/>
        </w:rPr>
        <w:lastRenderedPageBreak/>
        <w:t>ukazovateľov ÚJD SR konštatuje, že činnosti na JE A-1 boli vykonávané bez závažných nedostatkov v oblasti jadrovej bezpečnosti.</w:t>
      </w:r>
    </w:p>
    <w:p w14:paraId="1D381FFD" w14:textId="77777777" w:rsidR="007F2381" w:rsidRPr="00903612" w:rsidRDefault="007F2381" w:rsidP="007F2381">
      <w:pPr>
        <w:pStyle w:val="hodnotenie"/>
        <w:spacing w:before="0" w:beforeAutospacing="0" w:after="0" w:afterAutospacing="0"/>
        <w:jc w:val="left"/>
        <w:rPr>
          <w:b w:val="0"/>
          <w:noProof w:val="0"/>
          <w:highlight w:val="yellow"/>
        </w:rPr>
      </w:pPr>
    </w:p>
    <w:p w14:paraId="0D2FFB24" w14:textId="77777777" w:rsidR="007F2381" w:rsidRPr="006F1170" w:rsidRDefault="007F2381" w:rsidP="007C21EA">
      <w:pPr>
        <w:pStyle w:val="Nadpis5"/>
        <w:numPr>
          <w:ilvl w:val="4"/>
          <w:numId w:val="2"/>
        </w:numPr>
        <w:suppressLineNumbers/>
        <w:jc w:val="left"/>
        <w:rPr>
          <w:rFonts w:ascii="Times New Roman" w:hAnsi="Times New Roman"/>
          <w:b w:val="0"/>
          <w:iCs w:val="0"/>
          <w:sz w:val="24"/>
          <w:szCs w:val="24"/>
        </w:rPr>
      </w:pPr>
      <w:r w:rsidRPr="006F1170">
        <w:rPr>
          <w:rFonts w:ascii="Times New Roman" w:hAnsi="Times New Roman"/>
          <w:sz w:val="24"/>
          <w:szCs w:val="24"/>
        </w:rPr>
        <w:t xml:space="preserve">b) </w:t>
      </w:r>
      <w:r w:rsidRPr="006F1170">
        <w:rPr>
          <w:rFonts w:ascii="Times New Roman" w:hAnsi="Times New Roman"/>
          <w:sz w:val="24"/>
          <w:szCs w:val="24"/>
          <w:lang w:val="sk-SK"/>
        </w:rPr>
        <w:t>Jadrová elektráreň</w:t>
      </w:r>
      <w:r w:rsidRPr="006F1170">
        <w:rPr>
          <w:rFonts w:ascii="Times New Roman" w:hAnsi="Times New Roman"/>
          <w:sz w:val="24"/>
          <w:szCs w:val="24"/>
        </w:rPr>
        <w:t xml:space="preserve"> Bohunice V-1</w:t>
      </w:r>
    </w:p>
    <w:p w14:paraId="4412A015" w14:textId="02FF0073" w:rsidR="00783BDA" w:rsidRPr="00783BDA" w:rsidRDefault="00783BDA" w:rsidP="00783BDA">
      <w:pPr>
        <w:autoSpaceDE w:val="0"/>
        <w:autoSpaceDN w:val="0"/>
        <w:adjustRightInd w:val="0"/>
        <w:jc w:val="both"/>
      </w:pPr>
      <w:bookmarkStart w:id="35" w:name="_Hlk157432724"/>
      <w:r w:rsidRPr="00783BDA">
        <w:rPr>
          <w:color w:val="000000"/>
          <w:szCs w:val="24"/>
        </w:rPr>
        <w:t>Rozhodnutím č. 900/2014 udelil úrad spoločnosti JAVYS, a. s., povolenie na II. etapu vyraďovania elektrárne z prevádzky a zároveň povolenie na nakladanie s RAO a na nakladanie s JM počas II. etapy vyraďovania. II. etapa zahŕňa hlavne vyradenie objektov hlavného výrobného bloku, budovy pomocných prevádzok a zostávajúcich pomocných objektov.</w:t>
      </w:r>
      <w:r w:rsidRPr="00783BDA">
        <w:t xml:space="preserve"> V roku 2023 prebiehali činnosti demobilizácie – demolácie stavebnej časti dočasných pracovísk mokrého rezania a odstraňovanie aktivovaných betónov zo šachty oboch reaktorov. Pokračovala demontáž a fragmentácia zariadení na pracoviskách v kontrolovanom pásme, ich dekontaminácia a radiačná kontrola. Realizovali sa činnosti nakladania s betónovými blokmi a s materiálmi z demontáže.</w:t>
      </w:r>
    </w:p>
    <w:p w14:paraId="199420E5" w14:textId="230F1EDC" w:rsidR="00783BDA" w:rsidRPr="00783BDA" w:rsidRDefault="00783BDA" w:rsidP="00783BDA">
      <w:pPr>
        <w:autoSpaceDE w:val="0"/>
        <w:autoSpaceDN w:val="0"/>
        <w:adjustRightInd w:val="0"/>
        <w:jc w:val="both"/>
      </w:pPr>
      <w:r w:rsidRPr="00783BDA">
        <w:t xml:space="preserve">Úrad v roku 2023 posudzoval dokumentáciu súvisiacu s uvádzaním do prevádzky a využívaním nového mobilného odparovacieho zariadenia potrebného pre spracovanie odpadovej vody z ukončovania vyraďovania JE V-1. </w:t>
      </w:r>
    </w:p>
    <w:p w14:paraId="62BEADCE" w14:textId="7787F152" w:rsidR="00783BDA" w:rsidRPr="00783BDA" w:rsidRDefault="00783BDA" w:rsidP="00783BDA">
      <w:pPr>
        <w:jc w:val="both"/>
        <w:rPr>
          <w:color w:val="000000"/>
          <w:spacing w:val="6"/>
          <w:szCs w:val="24"/>
        </w:rPr>
      </w:pPr>
      <w:r w:rsidRPr="00783BDA">
        <w:t xml:space="preserve">Úrad ďalej posudzoval zmeny v prevádzkových predpisoch </w:t>
      </w:r>
      <w:proofErr w:type="spellStart"/>
      <w:r w:rsidRPr="00783BDA">
        <w:t>L</w:t>
      </w:r>
      <w:r w:rsidR="001A2168">
        <w:t>aP</w:t>
      </w:r>
      <w:proofErr w:type="spellEnd"/>
      <w:r w:rsidRPr="00783BDA">
        <w:t xml:space="preserve"> bezpečného vyraďovania JZ JE V1, </w:t>
      </w:r>
      <w:r w:rsidR="005275D7">
        <w:t>p</w:t>
      </w:r>
      <w:r w:rsidRPr="00783BDA">
        <w:t xml:space="preserve">lán II. etapy vyraďovania, </w:t>
      </w:r>
      <w:r w:rsidR="005275D7">
        <w:t>p</w:t>
      </w:r>
      <w:r w:rsidRPr="00783BDA">
        <w:t>lán nakladania a prepravy RAO z II. etapy vyraďovania a </w:t>
      </w:r>
      <w:r w:rsidR="005275D7">
        <w:t>p</w:t>
      </w:r>
      <w:r w:rsidRPr="00783BDA">
        <w:t xml:space="preserve">lán nakladania s ostatným a nebezpečným odpadom. Dôvodom zmien v uvedených </w:t>
      </w:r>
      <w:r w:rsidRPr="00783BDA">
        <w:rPr>
          <w:color w:val="000000"/>
          <w:spacing w:val="6"/>
          <w:szCs w:val="24"/>
        </w:rPr>
        <w:t>dokumentoch je zmena koncového termínu vyradenia JE V-1 z pôvodne plánovaného decembra 2025 na koniec roka 2027 pre ukončenie demolačných činností a následné vyňatie spod administratívnej kontroly po roku 2027.</w:t>
      </w:r>
    </w:p>
    <w:p w14:paraId="5D398CCC" w14:textId="14ADED85" w:rsidR="00783BDA" w:rsidRPr="00783BDA" w:rsidRDefault="00783BDA" w:rsidP="00783BDA">
      <w:pPr>
        <w:autoSpaceDE w:val="0"/>
        <w:autoSpaceDN w:val="0"/>
        <w:adjustRightInd w:val="0"/>
        <w:jc w:val="both"/>
        <w:rPr>
          <w:color w:val="000000"/>
          <w:szCs w:val="24"/>
        </w:rPr>
      </w:pPr>
      <w:r w:rsidRPr="00783BDA">
        <w:t xml:space="preserve"> </w:t>
      </w:r>
      <w:r w:rsidRPr="00783BDA">
        <w:rPr>
          <w:color w:val="000000"/>
          <w:szCs w:val="24"/>
        </w:rPr>
        <w:t>Konečný stav areálu na konci II. etapy bude uvoľnenie lokality na obmedzené využitie. Po záverečnej kontrole dôjde k vyňatiu areálu spod pôsobnosti atómového zákona.</w:t>
      </w:r>
    </w:p>
    <w:p w14:paraId="03DB43AE" w14:textId="2EE0612F" w:rsidR="00783BDA" w:rsidRPr="00783BDA" w:rsidRDefault="00783BDA" w:rsidP="00783BDA">
      <w:pPr>
        <w:autoSpaceDE w:val="0"/>
        <w:autoSpaceDN w:val="0"/>
        <w:adjustRightInd w:val="0"/>
        <w:jc w:val="both"/>
        <w:rPr>
          <w:color w:val="000000"/>
          <w:szCs w:val="24"/>
        </w:rPr>
      </w:pPr>
      <w:r w:rsidRPr="00783BDA">
        <w:rPr>
          <w:color w:val="000000"/>
          <w:szCs w:val="24"/>
        </w:rPr>
        <w:t xml:space="preserve">Plánované inšpekcie boli zamerané na kontrolu súladu vyraďovania so stavom opísaným v pláne II. etapy vyraďovania, na kontrolu dodržiavania podmienok jadrovej bezpečnosti a požiadaviek dozoru </w:t>
      </w:r>
      <w:r w:rsidRPr="00783BDA">
        <w:t>pri činnostiach demontáže a fragmentácie zariadení v kontrolovanom pásme a pri činnostiach nakladania s materiálmi z vyraďovania.</w:t>
      </w:r>
    </w:p>
    <w:bookmarkEnd w:id="35"/>
    <w:p w14:paraId="0DC02E53" w14:textId="77777777" w:rsidR="00783BDA" w:rsidRPr="00783BDA" w:rsidRDefault="00783BDA" w:rsidP="00783BDA">
      <w:pPr>
        <w:autoSpaceDE w:val="0"/>
        <w:autoSpaceDN w:val="0"/>
        <w:adjustRightInd w:val="0"/>
        <w:jc w:val="both"/>
        <w:rPr>
          <w:color w:val="000000"/>
          <w:szCs w:val="24"/>
        </w:rPr>
      </w:pPr>
    </w:p>
    <w:p w14:paraId="20BDDDE7" w14:textId="77777777" w:rsidR="00783BDA" w:rsidRPr="00783BDA" w:rsidRDefault="00783BDA" w:rsidP="00783BDA">
      <w:pPr>
        <w:autoSpaceDE w:val="0"/>
        <w:autoSpaceDN w:val="0"/>
        <w:adjustRightInd w:val="0"/>
        <w:jc w:val="both"/>
        <w:rPr>
          <w:b/>
          <w:i/>
          <w:iCs/>
        </w:rPr>
      </w:pPr>
      <w:r w:rsidRPr="00783BDA">
        <w:rPr>
          <w:b/>
          <w:i/>
          <w:iCs/>
        </w:rPr>
        <w:t>Záver:</w:t>
      </w:r>
    </w:p>
    <w:p w14:paraId="2EF69FCA" w14:textId="77777777" w:rsidR="00783BDA" w:rsidRPr="00783BDA" w:rsidRDefault="00783BDA" w:rsidP="00783BDA">
      <w:pPr>
        <w:autoSpaceDE w:val="0"/>
        <w:autoSpaceDN w:val="0"/>
        <w:adjustRightInd w:val="0"/>
        <w:jc w:val="both"/>
        <w:rPr>
          <w:b/>
          <w:i/>
          <w:iCs/>
        </w:rPr>
      </w:pPr>
      <w:r w:rsidRPr="00783BDA">
        <w:rPr>
          <w:b/>
          <w:i/>
          <w:iCs/>
        </w:rPr>
        <w:t>Vyraďovanie JE V-1 sa v roku 2023 realizovalo podľa plánu II. etapy vyraďovania. ÚJD SR nezaznamenal žiadne prevádzkové udalosti s osobitným vplyvom na jadrovú bezpečnosť.</w:t>
      </w:r>
    </w:p>
    <w:p w14:paraId="05B84A8E" w14:textId="77777777" w:rsidR="007F2381" w:rsidRPr="00F35D55" w:rsidRDefault="007F2381" w:rsidP="007F2381">
      <w:pPr>
        <w:jc w:val="both"/>
        <w:rPr>
          <w:iCs/>
          <w:color w:val="333333"/>
          <w:szCs w:val="24"/>
          <w:highlight w:val="green"/>
        </w:rPr>
      </w:pPr>
    </w:p>
    <w:p w14:paraId="0A10E2C3" w14:textId="77777777" w:rsidR="007F2381" w:rsidRPr="00B16157" w:rsidRDefault="007F2381" w:rsidP="00B16157">
      <w:pPr>
        <w:pStyle w:val="Nadpis3"/>
        <w:tabs>
          <w:tab w:val="clear" w:pos="1440"/>
          <w:tab w:val="num" w:pos="709"/>
        </w:tabs>
        <w:ind w:left="357" w:hanging="357"/>
        <w:rPr>
          <w:color w:val="000000" w:themeColor="text1"/>
        </w:rPr>
      </w:pPr>
      <w:bookmarkStart w:id="36" w:name="_Toc161214317"/>
      <w:r w:rsidRPr="00B16157">
        <w:rPr>
          <w:color w:val="000000" w:themeColor="text1"/>
        </w:rPr>
        <w:t>Iné jadrové zariadenia</w:t>
      </w:r>
      <w:bookmarkEnd w:id="36"/>
    </w:p>
    <w:p w14:paraId="44D7F6A8" w14:textId="77777777" w:rsidR="007F2381" w:rsidRPr="00990F82" w:rsidRDefault="007F2381" w:rsidP="007F2381">
      <w:pPr>
        <w:rPr>
          <w:highlight w:val="red"/>
        </w:rPr>
      </w:pPr>
    </w:p>
    <w:p w14:paraId="2C1E5E21" w14:textId="77777777" w:rsidR="007F2381" w:rsidRPr="001C594E" w:rsidRDefault="007F2381" w:rsidP="007F2381">
      <w:pPr>
        <w:pStyle w:val="Nadpis5"/>
        <w:jc w:val="left"/>
        <w:rPr>
          <w:rFonts w:ascii="Times New Roman" w:hAnsi="Times New Roman"/>
          <w:b w:val="0"/>
          <w:iCs w:val="0"/>
          <w:sz w:val="24"/>
          <w:szCs w:val="24"/>
          <w:lang w:val="sk-SK"/>
        </w:rPr>
      </w:pPr>
      <w:r w:rsidRPr="006F1170">
        <w:rPr>
          <w:rFonts w:ascii="Times New Roman" w:hAnsi="Times New Roman"/>
          <w:sz w:val="24"/>
          <w:szCs w:val="24"/>
        </w:rPr>
        <w:t xml:space="preserve">a) </w:t>
      </w:r>
      <w:proofErr w:type="spellStart"/>
      <w:r w:rsidRPr="006F1170">
        <w:rPr>
          <w:rFonts w:ascii="Times New Roman" w:hAnsi="Times New Roman"/>
          <w:sz w:val="24"/>
          <w:szCs w:val="24"/>
          <w:lang w:val="sk-SK"/>
        </w:rPr>
        <w:t>Medzisklad</w:t>
      </w:r>
      <w:proofErr w:type="spellEnd"/>
      <w:r w:rsidRPr="006F1170">
        <w:rPr>
          <w:rFonts w:ascii="Times New Roman" w:hAnsi="Times New Roman"/>
          <w:sz w:val="24"/>
          <w:szCs w:val="24"/>
          <w:lang w:val="sk-SK"/>
        </w:rPr>
        <w:t xml:space="preserve"> vyhoretého jadrového paliva Bohunice</w:t>
      </w:r>
      <w:r w:rsidRPr="006F1170">
        <w:rPr>
          <w:rFonts w:ascii="Times New Roman" w:hAnsi="Times New Roman"/>
          <w:sz w:val="24"/>
          <w:szCs w:val="24"/>
        </w:rPr>
        <w:t xml:space="preserve"> </w:t>
      </w:r>
      <w:r w:rsidRPr="006F1170">
        <w:rPr>
          <w:rFonts w:ascii="Times New Roman" w:hAnsi="Times New Roman"/>
          <w:sz w:val="24"/>
          <w:szCs w:val="24"/>
          <w:lang w:val="sk-SK"/>
        </w:rPr>
        <w:t>(MSVP)</w:t>
      </w:r>
    </w:p>
    <w:p w14:paraId="0CF3EE6A" w14:textId="0EFE3CA9" w:rsidR="00FF48A0" w:rsidRPr="00FF48A0" w:rsidRDefault="00FF48A0" w:rsidP="00FF48A0">
      <w:pPr>
        <w:autoSpaceDE w:val="0"/>
        <w:autoSpaceDN w:val="0"/>
        <w:adjustRightInd w:val="0"/>
        <w:jc w:val="both"/>
        <w:rPr>
          <w:color w:val="000000"/>
          <w:szCs w:val="24"/>
        </w:rPr>
      </w:pPr>
      <w:r w:rsidRPr="00FF48A0">
        <w:rPr>
          <w:color w:val="000000"/>
          <w:szCs w:val="24"/>
        </w:rPr>
        <w:t>VJP z JE Bohunice V-1 (ukončená produkcia VJP), JE Bohunice V-2 a JE Mochovce 1, 2 sa dočasne skladuje v M</w:t>
      </w:r>
      <w:r w:rsidR="00267705">
        <w:rPr>
          <w:color w:val="000000"/>
          <w:szCs w:val="24"/>
        </w:rPr>
        <w:t>SVP</w:t>
      </w:r>
      <w:r w:rsidRPr="00FF48A0">
        <w:rPr>
          <w:color w:val="000000"/>
          <w:szCs w:val="24"/>
        </w:rPr>
        <w:t xml:space="preserve"> v </w:t>
      </w:r>
      <w:r w:rsidR="00B7117E">
        <w:rPr>
          <w:color w:val="000000"/>
          <w:szCs w:val="24"/>
        </w:rPr>
        <w:t>B</w:t>
      </w:r>
      <w:r w:rsidRPr="00FF48A0">
        <w:rPr>
          <w:color w:val="000000"/>
          <w:szCs w:val="24"/>
        </w:rPr>
        <w:t xml:space="preserve">ohuniciach. Palivo je skladované v bazénoch naplnených </w:t>
      </w:r>
      <w:proofErr w:type="spellStart"/>
      <w:r w:rsidRPr="00FF48A0">
        <w:rPr>
          <w:color w:val="000000"/>
          <w:szCs w:val="24"/>
        </w:rPr>
        <w:t>demineralizovanou</w:t>
      </w:r>
      <w:proofErr w:type="spellEnd"/>
      <w:r w:rsidRPr="00FF48A0">
        <w:rPr>
          <w:color w:val="000000"/>
          <w:szCs w:val="24"/>
        </w:rPr>
        <w:t xml:space="preserve"> vodou. K 31. 12. 2023 bol MSVP zaplnený na približne 95 % jeho celkovej kapacity. V roku 2021 sa začalo s výstavbou suchej časti</w:t>
      </w:r>
      <w:r w:rsidR="006B28FD">
        <w:rPr>
          <w:color w:val="000000"/>
          <w:szCs w:val="24"/>
        </w:rPr>
        <w:t xml:space="preserve"> MSVP</w:t>
      </w:r>
      <w:r w:rsidRPr="00FF48A0">
        <w:rPr>
          <w:color w:val="000000"/>
          <w:szCs w:val="24"/>
        </w:rPr>
        <w:t>, v ktorej bude možné suchou formou skladovať 10</w:t>
      </w:r>
      <w:r w:rsidR="00267705">
        <w:rPr>
          <w:color w:val="000000"/>
          <w:szCs w:val="24"/>
        </w:rPr>
        <w:t> </w:t>
      </w:r>
      <w:r w:rsidRPr="00FF48A0">
        <w:rPr>
          <w:color w:val="000000"/>
          <w:szCs w:val="24"/>
        </w:rPr>
        <w:t>115</w:t>
      </w:r>
      <w:r w:rsidR="00267705">
        <w:rPr>
          <w:color w:val="000000"/>
          <w:szCs w:val="24"/>
        </w:rPr>
        <w:t xml:space="preserve"> </w:t>
      </w:r>
      <w:r w:rsidRPr="00FF48A0">
        <w:rPr>
          <w:color w:val="000000"/>
          <w:szCs w:val="24"/>
        </w:rPr>
        <w:t>kaziet. Tieto kazety budú uložené v špeciálnych obalových súboroch chladené prirodzenou cirkuláciou vzduchu. Od j</w:t>
      </w:r>
      <w:r w:rsidR="00E32D34">
        <w:rPr>
          <w:color w:val="000000"/>
          <w:szCs w:val="24"/>
        </w:rPr>
        <w:t>úl</w:t>
      </w:r>
      <w:r w:rsidRPr="00FF48A0">
        <w:rPr>
          <w:color w:val="000000"/>
          <w:szCs w:val="24"/>
        </w:rPr>
        <w:t>a 2023 úrad viedol správne konanie vo veci zmeny na JZ MSVP v rozsahu uvádzania do prevádzky a prevádzku suchej časti MSVP. Koncom rok</w:t>
      </w:r>
      <w:r w:rsidR="00112F3A">
        <w:rPr>
          <w:color w:val="000000"/>
          <w:szCs w:val="24"/>
        </w:rPr>
        <w:t>a</w:t>
      </w:r>
      <w:r w:rsidRPr="00FF48A0">
        <w:rPr>
          <w:color w:val="000000"/>
          <w:szCs w:val="24"/>
        </w:rPr>
        <w:t xml:space="preserve"> 2023 vydal úrad návrh rozhodnutia.</w:t>
      </w:r>
    </w:p>
    <w:p w14:paraId="050DFFD9" w14:textId="72DCC742" w:rsidR="00FF48A0" w:rsidRPr="00FF48A0" w:rsidRDefault="00FF48A0" w:rsidP="00FF48A0">
      <w:pPr>
        <w:autoSpaceDE w:val="0"/>
        <w:autoSpaceDN w:val="0"/>
        <w:adjustRightInd w:val="0"/>
        <w:jc w:val="both"/>
        <w:rPr>
          <w:color w:val="000000"/>
          <w:szCs w:val="24"/>
        </w:rPr>
      </w:pPr>
      <w:r w:rsidRPr="00FF48A0">
        <w:rPr>
          <w:color w:val="000000"/>
          <w:szCs w:val="24"/>
        </w:rPr>
        <w:t>V priebehu rok</w:t>
      </w:r>
      <w:r w:rsidR="00112F3A">
        <w:rPr>
          <w:color w:val="000000"/>
          <w:szCs w:val="24"/>
        </w:rPr>
        <w:t>a</w:t>
      </w:r>
      <w:r w:rsidRPr="00FF48A0">
        <w:rPr>
          <w:color w:val="000000"/>
          <w:szCs w:val="24"/>
        </w:rPr>
        <w:t xml:space="preserve"> 2023 bola inšpekčná činnosť zameraná na vyhodnotenie stavu prevádzkových kontrol stavebných a technologických častí a systémov MSVP Bohunice a skladovaného VJP.</w:t>
      </w:r>
    </w:p>
    <w:p w14:paraId="191896A8" w14:textId="14565DD2" w:rsidR="00B06854" w:rsidRPr="00712B72" w:rsidRDefault="00FF48A0" w:rsidP="00FF48A0">
      <w:pPr>
        <w:autoSpaceDE w:val="0"/>
        <w:autoSpaceDN w:val="0"/>
        <w:adjustRightInd w:val="0"/>
        <w:jc w:val="both"/>
        <w:rPr>
          <w:color w:val="000000"/>
          <w:szCs w:val="24"/>
        </w:rPr>
      </w:pPr>
      <w:r w:rsidRPr="00FF48A0">
        <w:rPr>
          <w:color w:val="000000"/>
          <w:szCs w:val="24"/>
        </w:rPr>
        <w:t>V rámci inšpekčnej činnosti sa v MSVP Bohunice realizovali dve inšpekcie skladovania VJP. Cieľom inšpekcií bola kontrola dodržiavania limít a podmienok a prevádzkových predpisov pre obsluhu jednotlivých zariadení, ako aj pripravenosť obslužného personálu v prípade nežiad</w:t>
      </w:r>
      <w:r w:rsidR="00267705">
        <w:rPr>
          <w:color w:val="000000"/>
          <w:szCs w:val="24"/>
        </w:rPr>
        <w:t>ú</w:t>
      </w:r>
      <w:r w:rsidRPr="00FF48A0">
        <w:rPr>
          <w:color w:val="000000"/>
          <w:szCs w:val="24"/>
        </w:rPr>
        <w:t xml:space="preserve">cej udalosti. Ani v jednom prípade nebolo zistené porušenie podmienok jadrovej bezpečnosti a </w:t>
      </w:r>
      <w:r w:rsidRPr="00FF48A0">
        <w:rPr>
          <w:color w:val="000000"/>
          <w:szCs w:val="24"/>
        </w:rPr>
        <w:lastRenderedPageBreak/>
        <w:t xml:space="preserve">prevádzkových predpisov. Obslužný personál preukázal vysokú pripravenosť a úroveň znalostí </w:t>
      </w:r>
      <w:r w:rsidRPr="00712B72">
        <w:rPr>
          <w:color w:val="000000"/>
          <w:szCs w:val="24"/>
        </w:rPr>
        <w:t>a postupov pri abnormálnej prevádzke.</w:t>
      </w:r>
    </w:p>
    <w:p w14:paraId="49DFB562" w14:textId="77777777" w:rsidR="00424404" w:rsidRPr="00712B72" w:rsidRDefault="00424404" w:rsidP="00FF48A0">
      <w:pPr>
        <w:autoSpaceDE w:val="0"/>
        <w:autoSpaceDN w:val="0"/>
        <w:adjustRightInd w:val="0"/>
        <w:jc w:val="both"/>
        <w:rPr>
          <w:color w:val="000000"/>
          <w:szCs w:val="24"/>
        </w:rPr>
      </w:pPr>
    </w:p>
    <w:p w14:paraId="7373A828" w14:textId="77777777" w:rsidR="00F82221" w:rsidRPr="00712B72" w:rsidRDefault="00F82221" w:rsidP="00F82221">
      <w:pPr>
        <w:autoSpaceDE w:val="0"/>
        <w:autoSpaceDN w:val="0"/>
        <w:adjustRightInd w:val="0"/>
        <w:jc w:val="both"/>
        <w:rPr>
          <w:b/>
          <w:i/>
          <w:iCs/>
        </w:rPr>
      </w:pPr>
      <w:r w:rsidRPr="00712B72">
        <w:rPr>
          <w:b/>
          <w:i/>
          <w:iCs/>
        </w:rPr>
        <w:t>Záver:</w:t>
      </w:r>
    </w:p>
    <w:p w14:paraId="3707017D" w14:textId="5D5897F4" w:rsidR="00F82221" w:rsidRDefault="00F82221" w:rsidP="00F82221">
      <w:pPr>
        <w:autoSpaceDE w:val="0"/>
        <w:autoSpaceDN w:val="0"/>
        <w:adjustRightInd w:val="0"/>
        <w:jc w:val="both"/>
        <w:rPr>
          <w:b/>
          <w:i/>
          <w:iCs/>
        </w:rPr>
      </w:pPr>
      <w:r w:rsidRPr="00712B72">
        <w:rPr>
          <w:b/>
          <w:i/>
          <w:iCs/>
        </w:rPr>
        <w:t>Na základe výsledkov kontrolnej činnosti bola prevádzka MSVP v roku 202</w:t>
      </w:r>
      <w:r w:rsidR="00FF48A0" w:rsidRPr="00712B72">
        <w:rPr>
          <w:b/>
          <w:i/>
          <w:iCs/>
        </w:rPr>
        <w:t>3</w:t>
      </w:r>
      <w:r w:rsidRPr="00712B72">
        <w:rPr>
          <w:b/>
          <w:i/>
          <w:iCs/>
        </w:rPr>
        <w:t xml:space="preserve"> hodnotená ako bezpečná.</w:t>
      </w:r>
    </w:p>
    <w:p w14:paraId="45578E02" w14:textId="77777777" w:rsidR="00F82221" w:rsidRPr="00CB1D8F" w:rsidRDefault="00F82221" w:rsidP="00F82221">
      <w:pPr>
        <w:autoSpaceDE w:val="0"/>
        <w:autoSpaceDN w:val="0"/>
        <w:adjustRightInd w:val="0"/>
        <w:jc w:val="both"/>
        <w:rPr>
          <w:b/>
          <w:i/>
          <w:iCs/>
        </w:rPr>
      </w:pPr>
    </w:p>
    <w:p w14:paraId="542292DE" w14:textId="77777777" w:rsidR="007F2381" w:rsidRPr="006F1170" w:rsidRDefault="007F2381" w:rsidP="007C21EA">
      <w:pPr>
        <w:pStyle w:val="Nadpis5"/>
        <w:numPr>
          <w:ilvl w:val="4"/>
          <w:numId w:val="2"/>
        </w:numPr>
        <w:suppressLineNumbers/>
        <w:jc w:val="left"/>
        <w:rPr>
          <w:rFonts w:ascii="Times New Roman" w:hAnsi="Times New Roman"/>
          <w:b w:val="0"/>
          <w:iCs w:val="0"/>
          <w:sz w:val="24"/>
          <w:szCs w:val="24"/>
          <w:lang w:val="sk-SK"/>
        </w:rPr>
      </w:pPr>
      <w:r w:rsidRPr="006F1170">
        <w:rPr>
          <w:rFonts w:ascii="Times New Roman" w:hAnsi="Times New Roman"/>
          <w:sz w:val="24"/>
          <w:szCs w:val="24"/>
        </w:rPr>
        <w:t xml:space="preserve">b) </w:t>
      </w:r>
      <w:r w:rsidRPr="006F1170">
        <w:rPr>
          <w:rFonts w:ascii="Times New Roman" w:hAnsi="Times New Roman"/>
          <w:sz w:val="24"/>
          <w:szCs w:val="24"/>
          <w:lang w:val="sk-SK"/>
        </w:rPr>
        <w:t>Technológie na spracovanie a úpravu RAO (TSÚ RAO)</w:t>
      </w:r>
    </w:p>
    <w:p w14:paraId="7135A4D2" w14:textId="77777777" w:rsidR="00446944" w:rsidRPr="00446944" w:rsidRDefault="00446944" w:rsidP="00446944">
      <w:pPr>
        <w:autoSpaceDE w:val="0"/>
        <w:autoSpaceDN w:val="0"/>
        <w:adjustRightInd w:val="0"/>
        <w:jc w:val="both"/>
        <w:rPr>
          <w:color w:val="000000"/>
          <w:szCs w:val="24"/>
        </w:rPr>
      </w:pPr>
      <w:bookmarkStart w:id="37" w:name="_Hlk157433322"/>
      <w:r w:rsidRPr="00446944">
        <w:rPr>
          <w:color w:val="000000"/>
          <w:szCs w:val="24"/>
        </w:rPr>
        <w:t xml:space="preserve">TSÚ RAO zahŕňajú dve </w:t>
      </w:r>
      <w:proofErr w:type="spellStart"/>
      <w:r w:rsidRPr="00446944">
        <w:rPr>
          <w:color w:val="000000"/>
          <w:szCs w:val="24"/>
        </w:rPr>
        <w:t>bitúmenačné</w:t>
      </w:r>
      <w:proofErr w:type="spellEnd"/>
      <w:r w:rsidRPr="00446944">
        <w:rPr>
          <w:color w:val="000000"/>
          <w:szCs w:val="24"/>
        </w:rPr>
        <w:t xml:space="preserve"> linky, Bohunické spracovateľské centrum rádioaktívnych odpadov (</w:t>
      </w:r>
      <w:r w:rsidRPr="00143548">
        <w:rPr>
          <w:color w:val="000000"/>
          <w:szCs w:val="24"/>
        </w:rPr>
        <w:t>BSC RAO</w:t>
      </w:r>
      <w:r w:rsidRPr="00446944">
        <w:rPr>
          <w:color w:val="000000"/>
          <w:szCs w:val="24"/>
        </w:rPr>
        <w:t xml:space="preserve">), </w:t>
      </w:r>
      <w:proofErr w:type="spellStart"/>
      <w:r w:rsidRPr="00446944">
        <w:rPr>
          <w:color w:val="000000"/>
          <w:szCs w:val="24"/>
        </w:rPr>
        <w:t>fragmentačnú</w:t>
      </w:r>
      <w:proofErr w:type="spellEnd"/>
      <w:r w:rsidRPr="00446944">
        <w:rPr>
          <w:color w:val="000000"/>
          <w:szCs w:val="24"/>
        </w:rPr>
        <w:t xml:space="preserve"> linku, veľkokapacitnú dekontaminačnú linku, pracovisko spracovania použitých vzduchotechnických filtrov, čistiacu stanicu odpadových vôd a sklady RAO. BSC RAO slúži ako ťažiskové zariadenie pre konečnú úpravu RAO pred ich uložením v Republikovom úložisku rádioaktívnych odpadov v Mochovciach (</w:t>
      </w:r>
      <w:r w:rsidRPr="003C1A66">
        <w:rPr>
          <w:color w:val="000000"/>
          <w:szCs w:val="24"/>
        </w:rPr>
        <w:t>RÚ RAO</w:t>
      </w:r>
      <w:r w:rsidRPr="00446944">
        <w:rPr>
          <w:color w:val="000000"/>
          <w:szCs w:val="24"/>
        </w:rPr>
        <w:t>).</w:t>
      </w:r>
    </w:p>
    <w:p w14:paraId="320111AA" w14:textId="77777777" w:rsidR="00446944" w:rsidRPr="00446944" w:rsidRDefault="00446944" w:rsidP="00446944">
      <w:pPr>
        <w:autoSpaceDE w:val="0"/>
        <w:autoSpaceDN w:val="0"/>
        <w:adjustRightInd w:val="0"/>
        <w:jc w:val="both"/>
        <w:rPr>
          <w:color w:val="000000"/>
          <w:szCs w:val="24"/>
        </w:rPr>
      </w:pPr>
      <w:r w:rsidRPr="00446944">
        <w:rPr>
          <w:color w:val="000000"/>
          <w:szCs w:val="24"/>
        </w:rPr>
        <w:t xml:space="preserve">Na spracovanie a úpravu RAO sa okrem cementácie využíva aj spaľovanie, fragmentácia, vysokotlakové lisovanie a zvyšovanie koncentrácie odparovaním. Výsledné produkty spracovania a úpravy RAO sa vkladajú do </w:t>
      </w:r>
      <w:proofErr w:type="spellStart"/>
      <w:r w:rsidRPr="00446944">
        <w:rPr>
          <w:color w:val="000000"/>
          <w:szCs w:val="24"/>
        </w:rPr>
        <w:t>vláknobetónového</w:t>
      </w:r>
      <w:proofErr w:type="spellEnd"/>
      <w:r w:rsidRPr="00446944">
        <w:rPr>
          <w:color w:val="000000"/>
          <w:szCs w:val="24"/>
        </w:rPr>
        <w:t xml:space="preserve"> kontajnera (VBK) tak, aby vyhovovali podmienkam uloženia v RÚ RAO.</w:t>
      </w:r>
    </w:p>
    <w:p w14:paraId="5FDCEC42" w14:textId="6B0544E4" w:rsidR="00446944" w:rsidRPr="00446944" w:rsidRDefault="00446944" w:rsidP="00446944">
      <w:pPr>
        <w:autoSpaceDE w:val="0"/>
        <w:autoSpaceDN w:val="0"/>
        <w:adjustRightInd w:val="0"/>
        <w:jc w:val="both"/>
        <w:rPr>
          <w:color w:val="000000"/>
          <w:szCs w:val="24"/>
        </w:rPr>
      </w:pPr>
      <w:r w:rsidRPr="00446944">
        <w:rPr>
          <w:color w:val="000000"/>
          <w:szCs w:val="24"/>
        </w:rPr>
        <w:t>V roku 2023 pokračovala</w:t>
      </w:r>
      <w:r w:rsidRPr="003C1A66">
        <w:rPr>
          <w:color w:val="000000"/>
          <w:szCs w:val="24"/>
        </w:rPr>
        <w:t xml:space="preserve"> trvalá prevádzka zariadení spaľovne PS45 a</w:t>
      </w:r>
      <w:r w:rsidR="00225574">
        <w:rPr>
          <w:color w:val="000000"/>
          <w:szCs w:val="24"/>
        </w:rPr>
        <w:t xml:space="preserve"> </w:t>
      </w:r>
      <w:r w:rsidRPr="00446944">
        <w:rPr>
          <w:color w:val="000000"/>
          <w:szCs w:val="24"/>
        </w:rPr>
        <w:t xml:space="preserve">zariadenia na pretavovanie kovových RAO pochádzajúcich z vyraďovania JE A-1 a JE V-1. </w:t>
      </w:r>
    </w:p>
    <w:p w14:paraId="39608834" w14:textId="161FA7E1" w:rsidR="00446944" w:rsidRPr="00446944" w:rsidRDefault="00446944" w:rsidP="00446944">
      <w:pPr>
        <w:autoSpaceDE w:val="0"/>
        <w:autoSpaceDN w:val="0"/>
        <w:adjustRightInd w:val="0"/>
        <w:jc w:val="both"/>
        <w:rPr>
          <w:color w:val="000000"/>
          <w:szCs w:val="24"/>
        </w:rPr>
      </w:pPr>
      <w:r w:rsidRPr="00446944">
        <w:rPr>
          <w:color w:val="000000"/>
          <w:szCs w:val="24"/>
        </w:rPr>
        <w:t xml:space="preserve">Do trvalej prevádzky bol uvedený systém pre skladovanie bazénových vôd a prečerpávanie kontaminovaných vôd z MSVP. </w:t>
      </w:r>
    </w:p>
    <w:p w14:paraId="4755FFC4" w14:textId="77777777" w:rsidR="00446944" w:rsidRPr="00446944" w:rsidRDefault="00446944" w:rsidP="00446944">
      <w:pPr>
        <w:autoSpaceDE w:val="0"/>
        <w:autoSpaceDN w:val="0"/>
        <w:adjustRightInd w:val="0"/>
        <w:jc w:val="both"/>
        <w:rPr>
          <w:color w:val="000000"/>
          <w:szCs w:val="24"/>
        </w:rPr>
      </w:pPr>
      <w:r w:rsidRPr="00446944">
        <w:rPr>
          <w:color w:val="000000"/>
          <w:szCs w:val="24"/>
        </w:rPr>
        <w:t>Inšpektori priebežne preverovali aktuálny stav uvedených zariadení a kontrolovali plnenie podmienok právnych predpisov tak, aby realizované činnosti smerovali k zabezpečeniu ich ďalšej bezpečnej prevádzky.</w:t>
      </w:r>
    </w:p>
    <w:bookmarkEnd w:id="37"/>
    <w:p w14:paraId="4941E9FB" w14:textId="77777777" w:rsidR="00446944" w:rsidRPr="00446944" w:rsidRDefault="00446944" w:rsidP="00446944">
      <w:pPr>
        <w:autoSpaceDE w:val="0"/>
        <w:autoSpaceDN w:val="0"/>
        <w:adjustRightInd w:val="0"/>
        <w:jc w:val="both"/>
        <w:rPr>
          <w:color w:val="000000"/>
          <w:szCs w:val="24"/>
        </w:rPr>
      </w:pPr>
    </w:p>
    <w:p w14:paraId="00BA0B9E" w14:textId="77777777" w:rsidR="00446944" w:rsidRPr="00446944" w:rsidRDefault="00446944" w:rsidP="00446944">
      <w:pPr>
        <w:autoSpaceDE w:val="0"/>
        <w:autoSpaceDN w:val="0"/>
        <w:adjustRightInd w:val="0"/>
        <w:jc w:val="both"/>
        <w:rPr>
          <w:b/>
          <w:i/>
          <w:iCs/>
        </w:rPr>
      </w:pPr>
      <w:r w:rsidRPr="00446944">
        <w:rPr>
          <w:b/>
          <w:i/>
          <w:iCs/>
        </w:rPr>
        <w:t>Záver:</w:t>
      </w:r>
    </w:p>
    <w:p w14:paraId="7EE26587" w14:textId="0C5DF53F" w:rsidR="00446944" w:rsidRPr="00903612" w:rsidRDefault="00446944" w:rsidP="00446944">
      <w:pPr>
        <w:autoSpaceDE w:val="0"/>
        <w:autoSpaceDN w:val="0"/>
        <w:adjustRightInd w:val="0"/>
        <w:jc w:val="both"/>
        <w:rPr>
          <w:b/>
          <w:i/>
          <w:szCs w:val="24"/>
          <w:highlight w:val="yellow"/>
        </w:rPr>
      </w:pPr>
      <w:r w:rsidRPr="00446944">
        <w:rPr>
          <w:b/>
          <w:i/>
          <w:iCs/>
        </w:rPr>
        <w:t>Na základe výsledkov kontrolnej činnosti bola v roku 2023 prevádzka TSÚ RAO hodnotená ako bezpečná.</w:t>
      </w:r>
    </w:p>
    <w:p w14:paraId="39175CAA" w14:textId="77777777" w:rsidR="007F2381" w:rsidRPr="00903612" w:rsidRDefault="007F2381" w:rsidP="007C21EA">
      <w:pPr>
        <w:pStyle w:val="slovanzoznam"/>
        <w:numPr>
          <w:ilvl w:val="0"/>
          <w:numId w:val="2"/>
        </w:numPr>
        <w:tabs>
          <w:tab w:val="num" w:pos="567"/>
        </w:tabs>
        <w:spacing w:before="0"/>
        <w:ind w:left="0" w:firstLine="0"/>
        <w:jc w:val="both"/>
        <w:rPr>
          <w:b/>
          <w:i/>
          <w:szCs w:val="24"/>
          <w:highlight w:val="yellow"/>
        </w:rPr>
      </w:pPr>
    </w:p>
    <w:p w14:paraId="4DB630BA" w14:textId="77777777" w:rsidR="00446944" w:rsidRPr="0085387C" w:rsidRDefault="00446944" w:rsidP="00446944">
      <w:pPr>
        <w:pStyle w:val="Nadpis5"/>
        <w:jc w:val="left"/>
        <w:rPr>
          <w:rFonts w:ascii="Times New Roman" w:hAnsi="Times New Roman"/>
          <w:b w:val="0"/>
          <w:szCs w:val="24"/>
          <w:lang w:val="sk-SK"/>
        </w:rPr>
      </w:pPr>
      <w:r w:rsidRPr="0085387C">
        <w:rPr>
          <w:rFonts w:ascii="Times New Roman" w:hAnsi="Times New Roman"/>
          <w:szCs w:val="24"/>
        </w:rPr>
        <w:t xml:space="preserve">c) </w:t>
      </w:r>
      <w:r w:rsidRPr="0085387C">
        <w:rPr>
          <w:rFonts w:ascii="Times New Roman" w:hAnsi="Times New Roman"/>
          <w:sz w:val="24"/>
          <w:szCs w:val="22"/>
        </w:rPr>
        <w:t xml:space="preserve">Republikové úložisko RAO Mochovce </w:t>
      </w:r>
      <w:r w:rsidRPr="0085387C">
        <w:rPr>
          <w:rFonts w:ascii="Times New Roman" w:hAnsi="Times New Roman"/>
          <w:sz w:val="24"/>
          <w:szCs w:val="22"/>
          <w:lang w:val="sk-SK"/>
        </w:rPr>
        <w:t>(RÚ RAO)</w:t>
      </w:r>
    </w:p>
    <w:p w14:paraId="61782237" w14:textId="44F24E50" w:rsidR="00446944" w:rsidRPr="00446944" w:rsidRDefault="00446944" w:rsidP="00446944">
      <w:pPr>
        <w:autoSpaceDE w:val="0"/>
        <w:autoSpaceDN w:val="0"/>
        <w:adjustRightInd w:val="0"/>
        <w:jc w:val="both"/>
        <w:rPr>
          <w:color w:val="000000"/>
          <w:szCs w:val="24"/>
        </w:rPr>
      </w:pPr>
      <w:r w:rsidRPr="0085387C">
        <w:rPr>
          <w:color w:val="000000"/>
          <w:szCs w:val="24"/>
        </w:rPr>
        <w:t xml:space="preserve">RÚ RAO je určené na ukladanie nízkoaktívnych (NRAO) a veľmi nízkoaktívnych rádioaktívnych odpadov (VNRAO) z prevádzky a vyraďovania JZ. Činnosti ukladania NRAO </w:t>
      </w:r>
      <w:r w:rsidRPr="00865D60">
        <w:rPr>
          <w:szCs w:val="24"/>
        </w:rPr>
        <w:t xml:space="preserve">a VNRAO sa uskutočňovali štandardne. V roku 2023 bolo uložených 392 ks VBK s NAO </w:t>
      </w:r>
      <w:r w:rsidRPr="00865D60">
        <w:rPr>
          <w:color w:val="000000" w:themeColor="text1"/>
          <w:szCs w:val="24"/>
        </w:rPr>
        <w:t>a</w:t>
      </w:r>
      <w:r w:rsidR="00865D60" w:rsidRPr="00865D60">
        <w:rPr>
          <w:color w:val="000000" w:themeColor="text1"/>
          <w:szCs w:val="24"/>
        </w:rPr>
        <w:t> </w:t>
      </w:r>
      <w:r w:rsidRPr="00865D60">
        <w:rPr>
          <w:color w:val="000000" w:themeColor="text1"/>
          <w:szCs w:val="24"/>
        </w:rPr>
        <w:t>3</w:t>
      </w:r>
      <w:r w:rsidR="00865D60" w:rsidRPr="00865D60">
        <w:rPr>
          <w:color w:val="000000" w:themeColor="text1"/>
          <w:szCs w:val="24"/>
        </w:rPr>
        <w:t> </w:t>
      </w:r>
      <w:r w:rsidRPr="00865D60">
        <w:rPr>
          <w:color w:val="000000" w:themeColor="text1"/>
          <w:szCs w:val="24"/>
        </w:rPr>
        <w:t>224,33 m</w:t>
      </w:r>
      <w:r w:rsidRPr="00865D60">
        <w:rPr>
          <w:color w:val="000000" w:themeColor="text1"/>
          <w:szCs w:val="24"/>
          <w:vertAlign w:val="superscript"/>
        </w:rPr>
        <w:t>3</w:t>
      </w:r>
      <w:r w:rsidRPr="00865D60">
        <w:rPr>
          <w:color w:val="000000" w:themeColor="text1"/>
          <w:szCs w:val="24"/>
        </w:rPr>
        <w:t xml:space="preserve"> </w:t>
      </w:r>
      <w:r w:rsidRPr="00865D60">
        <w:rPr>
          <w:szCs w:val="24"/>
        </w:rPr>
        <w:t xml:space="preserve">VNRAO. Úrad ku koncu roka 2022 vydal združené rozhodnutie – stavebné </w:t>
      </w:r>
      <w:r w:rsidRPr="00865D60">
        <w:rPr>
          <w:color w:val="000000"/>
          <w:szCs w:val="24"/>
        </w:rPr>
        <w:t>povolenie pre vybudovanie 4. dvojradu ako aj súhlas s realizáciou zmien v dokumentácii</w:t>
      </w:r>
      <w:r w:rsidRPr="00446944">
        <w:rPr>
          <w:color w:val="000000"/>
          <w:szCs w:val="24"/>
        </w:rPr>
        <w:t xml:space="preserve"> posúdenej alebo schválenej úradom, ktorá bola vybudovaním tohto 4. dvojradu dotknutá a výstavba 4. dvojradu pokračovala aj počas celého roka 2023. </w:t>
      </w:r>
    </w:p>
    <w:p w14:paraId="58C57F3B" w14:textId="77777777" w:rsidR="00446944" w:rsidRPr="00446944" w:rsidRDefault="00446944" w:rsidP="00446944">
      <w:pPr>
        <w:autoSpaceDE w:val="0"/>
        <w:autoSpaceDN w:val="0"/>
        <w:adjustRightInd w:val="0"/>
        <w:jc w:val="both"/>
        <w:rPr>
          <w:color w:val="000000"/>
          <w:szCs w:val="24"/>
        </w:rPr>
      </w:pPr>
      <w:r w:rsidRPr="00446944">
        <w:rPr>
          <w:color w:val="000000"/>
          <w:szCs w:val="24"/>
        </w:rPr>
        <w:t>Inšpekčná činnosť bola zameraná na prebiehajúce činnosti ukladania RAO a kontrolu realizácie nápravných opatrení a bezpečnostných zlepšení, ktoré vyplývajú z periodického hodnotenia jadrovej bezpečnosti (PHJB) vykonaného v predchádzajúcom období.</w:t>
      </w:r>
    </w:p>
    <w:p w14:paraId="2BAEDFD0" w14:textId="77777777" w:rsidR="00446944" w:rsidRPr="00446944" w:rsidRDefault="00446944" w:rsidP="00446944">
      <w:pPr>
        <w:autoSpaceDE w:val="0"/>
        <w:autoSpaceDN w:val="0"/>
        <w:adjustRightInd w:val="0"/>
        <w:jc w:val="both"/>
        <w:rPr>
          <w:color w:val="000000"/>
          <w:szCs w:val="24"/>
        </w:rPr>
      </w:pPr>
    </w:p>
    <w:p w14:paraId="6ECCFF2F" w14:textId="77777777" w:rsidR="00446944" w:rsidRPr="00446944" w:rsidRDefault="00446944" w:rsidP="00446944">
      <w:pPr>
        <w:autoSpaceDE w:val="0"/>
        <w:autoSpaceDN w:val="0"/>
        <w:adjustRightInd w:val="0"/>
        <w:jc w:val="both"/>
        <w:rPr>
          <w:b/>
          <w:i/>
          <w:iCs/>
        </w:rPr>
      </w:pPr>
      <w:r w:rsidRPr="00446944">
        <w:rPr>
          <w:b/>
          <w:i/>
          <w:iCs/>
        </w:rPr>
        <w:t>Záver:</w:t>
      </w:r>
    </w:p>
    <w:p w14:paraId="496698FF" w14:textId="5CA709EE" w:rsidR="00446944" w:rsidRDefault="00446944" w:rsidP="00446944">
      <w:pPr>
        <w:autoSpaceDE w:val="0"/>
        <w:autoSpaceDN w:val="0"/>
        <w:adjustRightInd w:val="0"/>
        <w:jc w:val="both"/>
        <w:rPr>
          <w:b/>
          <w:i/>
          <w:iCs/>
        </w:rPr>
      </w:pPr>
      <w:r w:rsidRPr="00446944">
        <w:rPr>
          <w:b/>
          <w:i/>
          <w:iCs/>
        </w:rPr>
        <w:t>Na základe kontrolných činností v roku 2023 je možné hodnotiť doterajšiu prevádzku RÚ RAO ako bezpečnú, so zanedbateľným vplyvom na životné prostredie.</w:t>
      </w:r>
    </w:p>
    <w:p w14:paraId="0F34D1B2" w14:textId="77777777" w:rsidR="004C18D7" w:rsidRPr="00446944" w:rsidRDefault="004C18D7" w:rsidP="00446944">
      <w:pPr>
        <w:autoSpaceDE w:val="0"/>
        <w:autoSpaceDN w:val="0"/>
        <w:adjustRightInd w:val="0"/>
        <w:jc w:val="both"/>
        <w:rPr>
          <w:b/>
          <w:i/>
          <w:iCs/>
        </w:rPr>
      </w:pPr>
    </w:p>
    <w:p w14:paraId="59FC348A" w14:textId="77777777" w:rsidR="00446944" w:rsidRPr="00446944" w:rsidRDefault="00446944" w:rsidP="00446944">
      <w:pPr>
        <w:rPr>
          <w:b/>
          <w:i/>
          <w:iCs/>
          <w:szCs w:val="24"/>
        </w:rPr>
      </w:pPr>
      <w:r w:rsidRPr="00446944">
        <w:rPr>
          <w:b/>
          <w:i/>
          <w:iCs/>
          <w:szCs w:val="24"/>
        </w:rPr>
        <w:t>d) Finálne spracovanie kvapalných RAO Mochovce (FS KRAO)</w:t>
      </w:r>
    </w:p>
    <w:p w14:paraId="3B788B4B" w14:textId="35114FDD" w:rsidR="00446944" w:rsidRPr="00446944" w:rsidRDefault="00446944" w:rsidP="00446944">
      <w:pPr>
        <w:autoSpaceDE w:val="0"/>
        <w:autoSpaceDN w:val="0"/>
        <w:adjustRightInd w:val="0"/>
        <w:jc w:val="both"/>
        <w:rPr>
          <w:color w:val="000000"/>
          <w:szCs w:val="24"/>
        </w:rPr>
      </w:pPr>
      <w:r w:rsidRPr="00446944">
        <w:rPr>
          <w:color w:val="000000"/>
          <w:szCs w:val="24"/>
        </w:rPr>
        <w:t xml:space="preserve">Účelom objektu FS KRAO je finálne spracovanie a úprava kvapalných RAO (rádioaktívne koncentráty, </w:t>
      </w:r>
      <w:proofErr w:type="spellStart"/>
      <w:r w:rsidRPr="00446944">
        <w:rPr>
          <w:color w:val="000000"/>
          <w:szCs w:val="24"/>
        </w:rPr>
        <w:t>vysýtené</w:t>
      </w:r>
      <w:proofErr w:type="spellEnd"/>
      <w:r w:rsidRPr="00446944">
        <w:rPr>
          <w:color w:val="000000"/>
          <w:szCs w:val="24"/>
        </w:rPr>
        <w:t xml:space="preserve"> </w:t>
      </w:r>
      <w:proofErr w:type="spellStart"/>
      <w:r w:rsidRPr="00446944">
        <w:rPr>
          <w:color w:val="000000"/>
          <w:szCs w:val="24"/>
        </w:rPr>
        <w:t>sorbenty</w:t>
      </w:r>
      <w:proofErr w:type="spellEnd"/>
      <w:r w:rsidRPr="00446944">
        <w:rPr>
          <w:color w:val="000000"/>
          <w:szCs w:val="24"/>
        </w:rPr>
        <w:t xml:space="preserve"> a kaly) produkovaných v EMO1, 2, niektorých druhov pevných RAO z prevádzky blokov uvedenej elektrárne a úprava spracovaných pevných RAO z iných JZ. Kapacita technologických liniek vysoko prekračuje tvorbu RAO z mochovských jadrových </w:t>
      </w:r>
      <w:r w:rsidRPr="00446944">
        <w:rPr>
          <w:color w:val="000000"/>
          <w:szCs w:val="24"/>
        </w:rPr>
        <w:lastRenderedPageBreak/>
        <w:t>blokov. Vo</w:t>
      </w:r>
      <w:r w:rsidR="009F4563">
        <w:rPr>
          <w:color w:val="000000"/>
          <w:szCs w:val="24"/>
        </w:rPr>
        <w:t xml:space="preserve"> </w:t>
      </w:r>
      <w:r w:rsidRPr="00446944">
        <w:rPr>
          <w:color w:val="000000"/>
          <w:szCs w:val="24"/>
        </w:rPr>
        <w:t xml:space="preserve">FS KRAO sú prevádzkované technológie na spracovanie rádioaktívnych koncentrátov </w:t>
      </w:r>
      <w:proofErr w:type="spellStart"/>
      <w:r w:rsidRPr="00446944">
        <w:rPr>
          <w:color w:val="000000"/>
          <w:szCs w:val="24"/>
        </w:rPr>
        <w:t>bitúmenáciou</w:t>
      </w:r>
      <w:proofErr w:type="spellEnd"/>
      <w:r w:rsidRPr="00446944">
        <w:rPr>
          <w:color w:val="000000"/>
          <w:szCs w:val="24"/>
        </w:rPr>
        <w:t xml:space="preserve"> vo filmovej rotorovej </w:t>
      </w:r>
      <w:proofErr w:type="spellStart"/>
      <w:r w:rsidRPr="00446944">
        <w:rPr>
          <w:color w:val="000000"/>
          <w:szCs w:val="24"/>
        </w:rPr>
        <w:t>odparke</w:t>
      </w:r>
      <w:proofErr w:type="spellEnd"/>
      <w:r w:rsidRPr="00446944">
        <w:rPr>
          <w:color w:val="000000"/>
          <w:szCs w:val="24"/>
        </w:rPr>
        <w:t xml:space="preserve"> a zahusťovaním na koncentračnej </w:t>
      </w:r>
      <w:proofErr w:type="spellStart"/>
      <w:r w:rsidRPr="00446944">
        <w:rPr>
          <w:color w:val="000000"/>
          <w:szCs w:val="24"/>
        </w:rPr>
        <w:t>odparke</w:t>
      </w:r>
      <w:proofErr w:type="spellEnd"/>
      <w:r w:rsidRPr="00446944">
        <w:rPr>
          <w:color w:val="000000"/>
          <w:szCs w:val="24"/>
        </w:rPr>
        <w:t xml:space="preserve">. Diskontinuálna </w:t>
      </w:r>
      <w:proofErr w:type="spellStart"/>
      <w:r w:rsidRPr="00446944">
        <w:rPr>
          <w:color w:val="000000"/>
          <w:szCs w:val="24"/>
        </w:rPr>
        <w:t>bitúmenačná</w:t>
      </w:r>
      <w:proofErr w:type="spellEnd"/>
      <w:r w:rsidRPr="00446944">
        <w:rPr>
          <w:color w:val="000000"/>
          <w:szCs w:val="24"/>
        </w:rPr>
        <w:t xml:space="preserve"> linka (DBL) slúži na fixáciu rádioaktívnych </w:t>
      </w:r>
      <w:proofErr w:type="spellStart"/>
      <w:r w:rsidRPr="00446944">
        <w:rPr>
          <w:color w:val="000000"/>
          <w:szCs w:val="24"/>
        </w:rPr>
        <w:t>sorbentov</w:t>
      </w:r>
      <w:proofErr w:type="spellEnd"/>
      <w:r w:rsidRPr="00446944">
        <w:rPr>
          <w:color w:val="000000"/>
          <w:szCs w:val="24"/>
        </w:rPr>
        <w:t>. Na cementačnej linke sa následne takto spracované RAO vkladajú do VBK, ktoré sú potom uložené v RÚ RAO.</w:t>
      </w:r>
    </w:p>
    <w:p w14:paraId="1A8498B6" w14:textId="77777777" w:rsidR="00446944" w:rsidRPr="00446944" w:rsidRDefault="00446944" w:rsidP="00446944">
      <w:pPr>
        <w:autoSpaceDE w:val="0"/>
        <w:autoSpaceDN w:val="0"/>
        <w:adjustRightInd w:val="0"/>
        <w:jc w:val="both"/>
        <w:rPr>
          <w:color w:val="000000"/>
          <w:szCs w:val="24"/>
        </w:rPr>
      </w:pPr>
      <w:r w:rsidRPr="00446944">
        <w:rPr>
          <w:color w:val="000000"/>
          <w:szCs w:val="24"/>
        </w:rPr>
        <w:t xml:space="preserve">Prevádzka FS KRAO v roku 2023 pozostávala najmä z úpravy RAO cementáciou do VBK. </w:t>
      </w:r>
    </w:p>
    <w:p w14:paraId="6BE33723" w14:textId="77777777" w:rsidR="00446944" w:rsidRPr="00446944" w:rsidRDefault="00446944" w:rsidP="00446944">
      <w:pPr>
        <w:autoSpaceDE w:val="0"/>
        <w:autoSpaceDN w:val="0"/>
        <w:adjustRightInd w:val="0"/>
        <w:jc w:val="both"/>
        <w:rPr>
          <w:color w:val="000000"/>
          <w:szCs w:val="24"/>
        </w:rPr>
      </w:pPr>
      <w:r w:rsidRPr="00446944">
        <w:rPr>
          <w:color w:val="000000"/>
          <w:szCs w:val="24"/>
        </w:rPr>
        <w:t>Inšpekčná činnosť na FS KRAO bola zameraná na kontrolu dodržiavania podmienok jadrovej bezpečnosti pri nakladaní s RAO, kontrolu úplnosti údajov uvedených v sprievodných listoch a </w:t>
      </w:r>
      <w:r w:rsidRPr="00446944">
        <w:rPr>
          <w:szCs w:val="24"/>
        </w:rPr>
        <w:t xml:space="preserve">dodržiavanie </w:t>
      </w:r>
      <w:proofErr w:type="spellStart"/>
      <w:r w:rsidRPr="00446944">
        <w:rPr>
          <w:szCs w:val="24"/>
        </w:rPr>
        <w:t>LaP</w:t>
      </w:r>
      <w:proofErr w:type="spellEnd"/>
      <w:r w:rsidRPr="00446944">
        <w:rPr>
          <w:szCs w:val="24"/>
        </w:rPr>
        <w:t xml:space="preserve"> bezpečnej prevádzky FS KRAO a prevádzkových predpisov určených úradom pri skladovaní RAO.</w:t>
      </w:r>
    </w:p>
    <w:p w14:paraId="06C71C53" w14:textId="77777777" w:rsidR="00446944" w:rsidRPr="00446944" w:rsidRDefault="00446944" w:rsidP="00446944">
      <w:pPr>
        <w:autoSpaceDE w:val="0"/>
        <w:autoSpaceDN w:val="0"/>
        <w:adjustRightInd w:val="0"/>
        <w:jc w:val="both"/>
        <w:rPr>
          <w:color w:val="000000"/>
          <w:szCs w:val="24"/>
        </w:rPr>
      </w:pPr>
    </w:p>
    <w:p w14:paraId="1F965121" w14:textId="77777777" w:rsidR="00446944" w:rsidRPr="00446944" w:rsidRDefault="00446944" w:rsidP="00446944">
      <w:pPr>
        <w:autoSpaceDE w:val="0"/>
        <w:autoSpaceDN w:val="0"/>
        <w:adjustRightInd w:val="0"/>
        <w:jc w:val="both"/>
        <w:rPr>
          <w:b/>
          <w:i/>
          <w:iCs/>
        </w:rPr>
      </w:pPr>
      <w:r w:rsidRPr="00446944">
        <w:rPr>
          <w:b/>
          <w:i/>
          <w:iCs/>
        </w:rPr>
        <w:t>Záver:</w:t>
      </w:r>
    </w:p>
    <w:p w14:paraId="64B32292" w14:textId="77777777" w:rsidR="00446944" w:rsidRPr="00446944" w:rsidRDefault="00446944" w:rsidP="00446944">
      <w:pPr>
        <w:autoSpaceDE w:val="0"/>
        <w:autoSpaceDN w:val="0"/>
        <w:adjustRightInd w:val="0"/>
        <w:jc w:val="both"/>
        <w:rPr>
          <w:b/>
          <w:i/>
          <w:iCs/>
        </w:rPr>
      </w:pPr>
      <w:r w:rsidRPr="00446944">
        <w:rPr>
          <w:b/>
          <w:i/>
          <w:iCs/>
        </w:rPr>
        <w:t>Na základe výsledkov inšpekčnej činnosti bola v roku 2023 prevádzka FS KRAO hodnotená ako bezpečná.</w:t>
      </w:r>
    </w:p>
    <w:p w14:paraId="47423519" w14:textId="77777777" w:rsidR="00446944" w:rsidRPr="00446944" w:rsidRDefault="00446944" w:rsidP="00446944">
      <w:pPr>
        <w:autoSpaceDE w:val="0"/>
        <w:autoSpaceDN w:val="0"/>
        <w:adjustRightInd w:val="0"/>
        <w:jc w:val="both"/>
        <w:rPr>
          <w:iCs/>
          <w:szCs w:val="24"/>
        </w:rPr>
      </w:pPr>
    </w:p>
    <w:p w14:paraId="51FBD5CD" w14:textId="77777777" w:rsidR="00446944" w:rsidRPr="00446944" w:rsidRDefault="00446944" w:rsidP="00446944">
      <w:pPr>
        <w:rPr>
          <w:b/>
        </w:rPr>
      </w:pPr>
      <w:r w:rsidRPr="003C1A66">
        <w:rPr>
          <w:b/>
        </w:rPr>
        <w:t xml:space="preserve">e) </w:t>
      </w:r>
      <w:r w:rsidRPr="003C1A66">
        <w:rPr>
          <w:b/>
          <w:i/>
          <w:iCs/>
          <w:szCs w:val="24"/>
        </w:rPr>
        <w:t>Integrálny sklad RAO (IS RAO)</w:t>
      </w:r>
    </w:p>
    <w:p w14:paraId="4545EB85" w14:textId="2952D36F" w:rsidR="00446944" w:rsidRPr="00446944" w:rsidRDefault="00446944" w:rsidP="00446944">
      <w:pPr>
        <w:autoSpaceDE w:val="0"/>
        <w:autoSpaceDN w:val="0"/>
        <w:adjustRightInd w:val="0"/>
        <w:jc w:val="both"/>
        <w:rPr>
          <w:color w:val="000000"/>
          <w:szCs w:val="24"/>
        </w:rPr>
      </w:pPr>
      <w:r w:rsidRPr="00446944">
        <w:rPr>
          <w:color w:val="000000"/>
          <w:szCs w:val="24"/>
        </w:rPr>
        <w:t xml:space="preserve">Zariadenie je určené na dlhodobé skladovanie RAO z vyraďovania JE. Okrem toho slúži na dočasné skladovanie prechodných RAO, pokiaľ pokles rádioaktivity v čase neumožní ich uvoľnenie do životného prostredia. ÚJD SR vydal rozhodnutím č. 423/2017 povolenie na prevádzku IS RAO. V roku 2020 bolo úradom vydané rozhodnutie č. 330/2020, ktorým sa povolila zmena v užívaní stavby IS RAO. Táto zmena spočívala v zmene pôvodne schváleného </w:t>
      </w:r>
      <w:proofErr w:type="spellStart"/>
      <w:r w:rsidRPr="00446944">
        <w:rPr>
          <w:color w:val="000000"/>
          <w:szCs w:val="24"/>
        </w:rPr>
        <w:t>aktivitného</w:t>
      </w:r>
      <w:proofErr w:type="spellEnd"/>
      <w:r w:rsidRPr="00446944">
        <w:rPr>
          <w:color w:val="000000"/>
          <w:szCs w:val="24"/>
        </w:rPr>
        <w:t xml:space="preserve"> inventára 8,41x10</w:t>
      </w:r>
      <w:r w:rsidRPr="00446944">
        <w:rPr>
          <w:color w:val="000000"/>
          <w:szCs w:val="24"/>
          <w:vertAlign w:val="superscript"/>
        </w:rPr>
        <w:t>14</w:t>
      </w:r>
      <w:r w:rsidRPr="00446944">
        <w:rPr>
          <w:color w:val="000000"/>
          <w:szCs w:val="24"/>
        </w:rPr>
        <w:t xml:space="preserve"> </w:t>
      </w:r>
      <w:proofErr w:type="spellStart"/>
      <w:r w:rsidRPr="00446944">
        <w:rPr>
          <w:color w:val="000000"/>
          <w:szCs w:val="24"/>
        </w:rPr>
        <w:t>Bq</w:t>
      </w:r>
      <w:proofErr w:type="spellEnd"/>
      <w:r w:rsidRPr="00446944">
        <w:rPr>
          <w:color w:val="000000"/>
          <w:szCs w:val="24"/>
        </w:rPr>
        <w:t xml:space="preserve"> na projektovaný inventár 1x10</w:t>
      </w:r>
      <w:r w:rsidRPr="00446944">
        <w:rPr>
          <w:color w:val="000000"/>
          <w:szCs w:val="24"/>
          <w:vertAlign w:val="superscript"/>
        </w:rPr>
        <w:t>18</w:t>
      </w:r>
      <w:r w:rsidRPr="00446944">
        <w:rPr>
          <w:color w:val="000000"/>
          <w:szCs w:val="24"/>
        </w:rPr>
        <w:t xml:space="preserve"> </w:t>
      </w:r>
      <w:proofErr w:type="spellStart"/>
      <w:r w:rsidRPr="00446944">
        <w:rPr>
          <w:color w:val="000000"/>
          <w:szCs w:val="24"/>
        </w:rPr>
        <w:t>Bq</w:t>
      </w:r>
      <w:proofErr w:type="spellEnd"/>
      <w:r w:rsidRPr="00446944">
        <w:rPr>
          <w:color w:val="000000"/>
          <w:szCs w:val="24"/>
        </w:rPr>
        <w:t xml:space="preserve">. Počas roka 2023 boli do zariadenia postupne prijímané RAO z realizácie projektov vyraďovania JE V-1 a JE A- 1 v </w:t>
      </w:r>
      <w:r w:rsidRPr="007E7A62">
        <w:rPr>
          <w:color w:val="000000"/>
          <w:szCs w:val="24"/>
        </w:rPr>
        <w:t>celkovej aktivite 1,78</w:t>
      </w:r>
      <w:r w:rsidR="007E7A62" w:rsidRPr="007E7A62">
        <w:rPr>
          <w:color w:val="000000"/>
          <w:szCs w:val="24"/>
        </w:rPr>
        <w:t>x10</w:t>
      </w:r>
      <w:r w:rsidR="007E7A62" w:rsidRPr="007E7A62">
        <w:rPr>
          <w:color w:val="000000"/>
          <w:szCs w:val="24"/>
          <w:vertAlign w:val="superscript"/>
        </w:rPr>
        <w:t>16</w:t>
      </w:r>
      <w:r w:rsidR="007E7A62" w:rsidRPr="007E7A62">
        <w:rPr>
          <w:color w:val="000000"/>
          <w:szCs w:val="24"/>
        </w:rPr>
        <w:t xml:space="preserve"> </w:t>
      </w:r>
      <w:proofErr w:type="spellStart"/>
      <w:r w:rsidR="006A2AF8" w:rsidRPr="007E7A62">
        <w:rPr>
          <w:color w:val="000000"/>
          <w:szCs w:val="24"/>
        </w:rPr>
        <w:t>Bq</w:t>
      </w:r>
      <w:proofErr w:type="spellEnd"/>
      <w:r w:rsidRPr="007E7A62">
        <w:rPr>
          <w:color w:val="000000"/>
          <w:szCs w:val="24"/>
        </w:rPr>
        <w:t>.</w:t>
      </w:r>
      <w:r w:rsidRPr="00446944">
        <w:rPr>
          <w:color w:val="000000"/>
          <w:szCs w:val="24"/>
        </w:rPr>
        <w:t xml:space="preserve"> </w:t>
      </w:r>
    </w:p>
    <w:p w14:paraId="26692330" w14:textId="77777777" w:rsidR="00446944" w:rsidRPr="00446944" w:rsidRDefault="00446944" w:rsidP="00446944">
      <w:pPr>
        <w:autoSpaceDE w:val="0"/>
        <w:autoSpaceDN w:val="0"/>
        <w:adjustRightInd w:val="0"/>
        <w:jc w:val="both"/>
        <w:rPr>
          <w:color w:val="000000"/>
          <w:szCs w:val="24"/>
        </w:rPr>
      </w:pPr>
      <w:r w:rsidRPr="00446944">
        <w:rPr>
          <w:color w:val="000000"/>
          <w:szCs w:val="24"/>
        </w:rPr>
        <w:t>Inšpekčná činnosť počas roka 2023 bola zameraná na kontrolu spôsobu preberania RAO na skladovanie, na kontrolu evidencie stavu RAO v IS RAO. Úrad sa taktiež zameral na kontrolu plnenia požiadaviek na bezpečnú prevádzku zariadení v súlade s prevádzkovou dokumentáciou.</w:t>
      </w:r>
    </w:p>
    <w:p w14:paraId="2A77A20F" w14:textId="77777777" w:rsidR="00446944" w:rsidRPr="00446944" w:rsidRDefault="00446944" w:rsidP="00446944">
      <w:pPr>
        <w:jc w:val="both"/>
        <w:rPr>
          <w:color w:val="000000"/>
          <w:szCs w:val="24"/>
        </w:rPr>
      </w:pPr>
    </w:p>
    <w:p w14:paraId="4A90E713" w14:textId="77777777" w:rsidR="00446944" w:rsidRPr="00446944" w:rsidRDefault="00446944" w:rsidP="00446944">
      <w:pPr>
        <w:jc w:val="both"/>
        <w:rPr>
          <w:b/>
          <w:bCs/>
          <w:i/>
          <w:iCs/>
          <w:color w:val="000000"/>
          <w:szCs w:val="24"/>
        </w:rPr>
      </w:pPr>
      <w:r w:rsidRPr="00446944">
        <w:rPr>
          <w:b/>
          <w:bCs/>
          <w:i/>
          <w:iCs/>
          <w:color w:val="000000"/>
          <w:szCs w:val="24"/>
        </w:rPr>
        <w:t>Záver:</w:t>
      </w:r>
    </w:p>
    <w:p w14:paraId="33FDA4A3" w14:textId="77777777" w:rsidR="00446944" w:rsidRPr="00446944" w:rsidRDefault="00446944" w:rsidP="00446944">
      <w:pPr>
        <w:autoSpaceDE w:val="0"/>
        <w:autoSpaceDN w:val="0"/>
        <w:adjustRightInd w:val="0"/>
        <w:jc w:val="both"/>
        <w:rPr>
          <w:b/>
          <w:i/>
          <w:iCs/>
        </w:rPr>
      </w:pPr>
      <w:r w:rsidRPr="00446944">
        <w:rPr>
          <w:b/>
          <w:i/>
          <w:iCs/>
        </w:rPr>
        <w:t>Na základe výsledkov inšpekčnej činnosti bola v roku 2023 prevádzka IS RAO hodnotená ako bezpečná.</w:t>
      </w:r>
    </w:p>
    <w:p w14:paraId="162FC9FD" w14:textId="77777777" w:rsidR="00FF48A0" w:rsidRDefault="00FF48A0" w:rsidP="00DE59BD">
      <w:pPr>
        <w:jc w:val="both"/>
        <w:rPr>
          <w:b/>
          <w:bCs/>
          <w:i/>
          <w:iCs/>
          <w:color w:val="000000"/>
          <w:szCs w:val="24"/>
        </w:rPr>
      </w:pPr>
    </w:p>
    <w:p w14:paraId="457600BA" w14:textId="77777777" w:rsidR="007F2381" w:rsidRPr="00132A7D" w:rsidRDefault="007F2381" w:rsidP="007F2381">
      <w:pPr>
        <w:jc w:val="both"/>
        <w:rPr>
          <w:b/>
          <w:i/>
          <w:iCs/>
        </w:rPr>
      </w:pPr>
      <w:r w:rsidRPr="00446944">
        <w:rPr>
          <w:b/>
          <w:i/>
          <w:iCs/>
        </w:rPr>
        <w:t>f) Prepravy rádioaktívnych odpadov</w:t>
      </w:r>
    </w:p>
    <w:p w14:paraId="08CCC975" w14:textId="494D8591" w:rsidR="00446944" w:rsidRPr="00446944" w:rsidRDefault="00446944" w:rsidP="00446944">
      <w:pPr>
        <w:autoSpaceDE w:val="0"/>
        <w:autoSpaceDN w:val="0"/>
        <w:adjustRightInd w:val="0"/>
        <w:jc w:val="both"/>
        <w:rPr>
          <w:color w:val="000000"/>
          <w:szCs w:val="24"/>
        </w:rPr>
      </w:pPr>
      <w:bookmarkStart w:id="38" w:name="_Hlk157433922"/>
      <w:r w:rsidRPr="00446944">
        <w:rPr>
          <w:color w:val="000000"/>
          <w:szCs w:val="24"/>
        </w:rPr>
        <w:t>ÚJD SR priebežným typovým schvaľovaním prepravných zariadení, vydávaním povolení na prepravu a schvaľovaním medzinárodných prepráv v zmysle smernice Rady 2006/117/</w:t>
      </w:r>
      <w:r w:rsidR="00C642CD">
        <w:rPr>
          <w:color w:val="000000"/>
          <w:szCs w:val="24"/>
        </w:rPr>
        <w:t xml:space="preserve">  </w:t>
      </w:r>
      <w:r w:rsidRPr="00446944">
        <w:rPr>
          <w:color w:val="000000"/>
          <w:szCs w:val="24"/>
        </w:rPr>
        <w:t xml:space="preserve"> o dozore a kontrole pri preprave RAO a VJP vytváral podmienky na udržanie fungujúceho a bezpečného systému za účelom zabezpečenia potrebných prepráv RAO medzi jednotlivými technológiami a JZ, ako aj dovozmi RAO za účelom ich spracovania na spracovateľských linkách TSÚ RAO a spätnými prepravami produktov spracovania do krajín pôvodu RAO.</w:t>
      </w:r>
    </w:p>
    <w:p w14:paraId="3359343E" w14:textId="0F4DD2C7" w:rsidR="00446944" w:rsidRPr="00446944" w:rsidRDefault="00446944" w:rsidP="00446944">
      <w:pPr>
        <w:autoSpaceDE w:val="0"/>
        <w:autoSpaceDN w:val="0"/>
        <w:adjustRightInd w:val="0"/>
        <w:jc w:val="both"/>
        <w:rPr>
          <w:color w:val="000000"/>
          <w:szCs w:val="24"/>
        </w:rPr>
      </w:pPr>
      <w:r w:rsidRPr="00446944">
        <w:rPr>
          <w:color w:val="000000"/>
          <w:szCs w:val="24"/>
        </w:rPr>
        <w:t>Konkrétne v roku 2023 ÚJD SR vydal na základe žiadostí a po posúdení predloženej dokumentácie spoločnosti JAVYS, a. s., povolenie na cestnú prepravu RAM v prepravnom zariadení PK/SK 2, povolenie na cestnú a železničnú prepravu RAM v prepravnom zariadení typu 200 dm</w:t>
      </w:r>
      <w:r w:rsidRPr="00446944">
        <w:rPr>
          <w:color w:val="000000"/>
          <w:szCs w:val="24"/>
          <w:vertAlign w:val="superscript"/>
        </w:rPr>
        <w:t>3</w:t>
      </w:r>
      <w:r w:rsidRPr="00446944">
        <w:rPr>
          <w:color w:val="000000"/>
          <w:szCs w:val="24"/>
        </w:rPr>
        <w:t xml:space="preserve"> sud MEVA 0488 pre podmienky priemyselnej zásielky typu 2 (</w:t>
      </w:r>
      <w:r w:rsidRPr="00256D03">
        <w:rPr>
          <w:color w:val="000000"/>
          <w:szCs w:val="24"/>
        </w:rPr>
        <w:t>PZ</w:t>
      </w:r>
      <w:r w:rsidRPr="00446944">
        <w:rPr>
          <w:color w:val="000000"/>
          <w:szCs w:val="24"/>
        </w:rPr>
        <w:t xml:space="preserve">-2), povolenie na cestnú prepravu v prepravnom zariadení typu </w:t>
      </w:r>
      <w:proofErr w:type="spellStart"/>
      <w:r w:rsidRPr="00446944">
        <w:rPr>
          <w:color w:val="000000"/>
          <w:szCs w:val="24"/>
        </w:rPr>
        <w:t>vláknobetónový</w:t>
      </w:r>
      <w:proofErr w:type="spellEnd"/>
      <w:r w:rsidRPr="00446944">
        <w:rPr>
          <w:color w:val="000000"/>
          <w:szCs w:val="24"/>
        </w:rPr>
        <w:t xml:space="preserve"> kontajner FRC AS IP 2 pre podmienky priemyselnej zásielky typu A, povolenie na cestnú prepravu RAM v prepravnom zariadení typu kontajner PK90 pre podmienky priemyselnej zásielky typu B (U).</w:t>
      </w:r>
    </w:p>
    <w:p w14:paraId="003604D8" w14:textId="1FD886A2" w:rsidR="00446944" w:rsidRPr="00446944" w:rsidRDefault="00446944" w:rsidP="00446944">
      <w:pPr>
        <w:autoSpaceDE w:val="0"/>
        <w:autoSpaceDN w:val="0"/>
        <w:adjustRightInd w:val="0"/>
        <w:jc w:val="both"/>
        <w:rPr>
          <w:color w:val="000000"/>
          <w:szCs w:val="24"/>
        </w:rPr>
      </w:pPr>
      <w:r w:rsidRPr="00446944">
        <w:rPr>
          <w:color w:val="000000"/>
          <w:szCs w:val="24"/>
        </w:rPr>
        <w:t>Zároveň bolo typovo schválené prepravné zariadenie PKII/KALY na prepravu RAM pre podmienky priemyselnej zásielky typu B (U) a prepravné zariadenie kontajner ISO 20ʹ 1CC (22U1) pre podmienky priemyselnej zásielky typu 2 (PZ-2).</w:t>
      </w:r>
    </w:p>
    <w:p w14:paraId="33648F89" w14:textId="36941B29" w:rsidR="00446944" w:rsidRPr="00446944" w:rsidRDefault="00446944" w:rsidP="00446944">
      <w:pPr>
        <w:autoSpaceDE w:val="0"/>
        <w:autoSpaceDN w:val="0"/>
        <w:adjustRightInd w:val="0"/>
        <w:jc w:val="both"/>
        <w:rPr>
          <w:color w:val="000000"/>
          <w:szCs w:val="24"/>
        </w:rPr>
      </w:pPr>
      <w:r w:rsidRPr="00446944">
        <w:rPr>
          <w:color w:val="000000"/>
          <w:szCs w:val="24"/>
        </w:rPr>
        <w:lastRenderedPageBreak/>
        <w:t>V oblasti medzinárodných prepráv úrad oddielom A-4a štandardného dokumentu schválil realizáciu medzinárodnej prepravy – spätného odvozu produktov spracovania RAO do Talianska.</w:t>
      </w:r>
    </w:p>
    <w:p w14:paraId="33E35609" w14:textId="77777777" w:rsidR="00446944" w:rsidRPr="00446944" w:rsidRDefault="00446944" w:rsidP="00446944">
      <w:pPr>
        <w:autoSpaceDE w:val="0"/>
        <w:autoSpaceDN w:val="0"/>
        <w:adjustRightInd w:val="0"/>
        <w:jc w:val="both"/>
        <w:rPr>
          <w:color w:val="000000"/>
          <w:szCs w:val="24"/>
        </w:rPr>
      </w:pPr>
      <w:r w:rsidRPr="00446944">
        <w:rPr>
          <w:color w:val="000000"/>
          <w:szCs w:val="24"/>
        </w:rPr>
        <w:t xml:space="preserve">V roku 2023 úrad vydal na základe žiadosti a po posúdení predloženej dokumentácie spoločnosti JAVYS, a. s. povolenie na dovoz českých RAO za účelom ich spracovania </w:t>
      </w:r>
      <w:proofErr w:type="spellStart"/>
      <w:r w:rsidRPr="00446944">
        <w:rPr>
          <w:color w:val="000000"/>
          <w:szCs w:val="24"/>
        </w:rPr>
        <w:t>vysokotlakým</w:t>
      </w:r>
      <w:proofErr w:type="spellEnd"/>
      <w:r w:rsidRPr="00446944">
        <w:rPr>
          <w:color w:val="000000"/>
          <w:szCs w:val="24"/>
        </w:rPr>
        <w:t xml:space="preserve"> lisovaním na JZ TSÚ RAO a spoločnosti DMS, s. r. o. vydal povolenie na cestnú prepravu.</w:t>
      </w:r>
    </w:p>
    <w:p w14:paraId="33686246" w14:textId="77777777" w:rsidR="00446944" w:rsidRPr="00446944" w:rsidRDefault="00446944" w:rsidP="00446944">
      <w:pPr>
        <w:autoSpaceDE w:val="0"/>
        <w:autoSpaceDN w:val="0"/>
        <w:adjustRightInd w:val="0"/>
        <w:jc w:val="both"/>
        <w:rPr>
          <w:color w:val="000000"/>
          <w:szCs w:val="24"/>
        </w:rPr>
      </w:pPr>
      <w:r w:rsidRPr="00446944">
        <w:rPr>
          <w:color w:val="000000"/>
          <w:szCs w:val="24"/>
        </w:rPr>
        <w:t>Inšpekčná činnosť v oblasti prepráv RAO a dovozov RAO bola zameraná na kontrolu platnosti povolení, správnosti sprievodnej dokumentácie, evidencie prepravovaných RAO a spôsobu plnenia limitných hodnôt pre vybrané bezpečnostné parametre prepravy.</w:t>
      </w:r>
    </w:p>
    <w:bookmarkEnd w:id="38"/>
    <w:p w14:paraId="468EEA73" w14:textId="77777777" w:rsidR="00446944" w:rsidRPr="00446944" w:rsidRDefault="00446944" w:rsidP="00446944">
      <w:pPr>
        <w:autoSpaceDE w:val="0"/>
        <w:autoSpaceDN w:val="0"/>
        <w:adjustRightInd w:val="0"/>
        <w:jc w:val="both"/>
        <w:rPr>
          <w:b/>
          <w:i/>
          <w:iCs/>
          <w:color w:val="000000"/>
          <w:szCs w:val="24"/>
        </w:rPr>
      </w:pPr>
    </w:p>
    <w:p w14:paraId="73C52181" w14:textId="77777777" w:rsidR="00446944" w:rsidRPr="00446944" w:rsidRDefault="00446944" w:rsidP="00446944">
      <w:pPr>
        <w:autoSpaceDE w:val="0"/>
        <w:autoSpaceDN w:val="0"/>
        <w:adjustRightInd w:val="0"/>
        <w:jc w:val="both"/>
        <w:rPr>
          <w:b/>
          <w:i/>
          <w:iCs/>
          <w:color w:val="000000"/>
          <w:szCs w:val="24"/>
        </w:rPr>
      </w:pPr>
      <w:r w:rsidRPr="00446944">
        <w:rPr>
          <w:b/>
          <w:i/>
          <w:iCs/>
          <w:color w:val="000000"/>
          <w:szCs w:val="24"/>
        </w:rPr>
        <w:t>Záver:</w:t>
      </w:r>
    </w:p>
    <w:p w14:paraId="6CA348FF" w14:textId="77777777" w:rsidR="00446944" w:rsidRPr="00446944" w:rsidRDefault="00446944" w:rsidP="00446944">
      <w:pPr>
        <w:autoSpaceDE w:val="0"/>
        <w:autoSpaceDN w:val="0"/>
        <w:adjustRightInd w:val="0"/>
        <w:jc w:val="both"/>
        <w:rPr>
          <w:b/>
          <w:i/>
          <w:iCs/>
          <w:color w:val="000000"/>
          <w:szCs w:val="24"/>
        </w:rPr>
      </w:pPr>
      <w:r w:rsidRPr="00446944">
        <w:rPr>
          <w:b/>
          <w:i/>
          <w:iCs/>
          <w:color w:val="000000"/>
          <w:szCs w:val="24"/>
        </w:rPr>
        <w:t>Na základe výsledkov kontrolnej činnosti úradu bola v roku 2023 oblasť prepráv RAO hodnotená ako bezpečná. Prepravy RAO sa uskutočnili v súlade s plánmi prepráv a v zmysle vyhlášky ÚJD SR č. 57/2006 Z. z. Všetky prepravy RAO boli pred realizáciou oznámené a následne vyhodnotené.</w:t>
      </w:r>
    </w:p>
    <w:p w14:paraId="10A29FA6" w14:textId="77777777" w:rsidR="00D85417" w:rsidRPr="004B7B1C" w:rsidRDefault="00D85417" w:rsidP="007F2381">
      <w:pPr>
        <w:autoSpaceDE w:val="0"/>
        <w:autoSpaceDN w:val="0"/>
        <w:adjustRightInd w:val="0"/>
        <w:jc w:val="both"/>
        <w:rPr>
          <w:b/>
          <w:i/>
          <w:iCs/>
        </w:rPr>
      </w:pPr>
    </w:p>
    <w:p w14:paraId="61323118" w14:textId="53464F81" w:rsidR="002F57D7" w:rsidRPr="006F1170" w:rsidRDefault="002F57D7" w:rsidP="005B072A">
      <w:pPr>
        <w:pStyle w:val="Nadpis1"/>
        <w:numPr>
          <w:ilvl w:val="0"/>
          <w:numId w:val="1"/>
        </w:numPr>
        <w:tabs>
          <w:tab w:val="clear" w:pos="360"/>
          <w:tab w:val="num" w:pos="567"/>
        </w:tabs>
        <w:ind w:left="2771" w:hanging="2771"/>
        <w:jc w:val="both"/>
      </w:pPr>
      <w:bookmarkStart w:id="39" w:name="_Toc161214318"/>
      <w:r w:rsidRPr="006F1170">
        <w:t>PÔSOBNOSŤ STAVEBNÉHO ÚRADU</w:t>
      </w:r>
      <w:bookmarkEnd w:id="39"/>
    </w:p>
    <w:p w14:paraId="4B64DBA2" w14:textId="6D13A0F9" w:rsidR="005F27B4" w:rsidRPr="00AA3C70" w:rsidRDefault="005F27B4" w:rsidP="005B072A">
      <w:pPr>
        <w:jc w:val="both"/>
        <w:rPr>
          <w:lang w:val="x-none" w:eastAsia="cs-CZ"/>
        </w:rPr>
      </w:pPr>
    </w:p>
    <w:p w14:paraId="72AD9E0D" w14:textId="77777777" w:rsidR="00BE2EB0" w:rsidRPr="00BE2EB0" w:rsidRDefault="00BE2EB0" w:rsidP="00BE2EB0">
      <w:pPr>
        <w:jc w:val="both"/>
        <w:rPr>
          <w:color w:val="000000"/>
          <w:szCs w:val="24"/>
        </w:rPr>
      </w:pPr>
      <w:r w:rsidRPr="00BE2EB0">
        <w:rPr>
          <w:color w:val="000000"/>
          <w:szCs w:val="24"/>
        </w:rPr>
        <w:t>ÚJD SR vykonáva pôsobnosť stavebného úradu podľa zákona č. 50/1976 Zb. o územnom plánovaní a stavebnom poriadku (stavebný zákon) pri stavbách JZ a stavbách súvisiacich s JZ nachádzajúcich sa v areáli ohraničenom hranicami JZ. To znamená povoľovanie stavieb, zmien stavieb, udržiavacích prác, vydávanie rozhodnutí o užívaní stavieb a odstraňovaní stavieb.</w:t>
      </w:r>
    </w:p>
    <w:p w14:paraId="09955808" w14:textId="1B16AD50" w:rsidR="00BE2EB0" w:rsidRPr="00DB05ED" w:rsidRDefault="00BE2EB0" w:rsidP="00BE2EB0">
      <w:pPr>
        <w:jc w:val="both"/>
        <w:rPr>
          <w:color w:val="000000"/>
          <w:szCs w:val="24"/>
        </w:rPr>
      </w:pPr>
      <w:r w:rsidRPr="00BE2EB0">
        <w:rPr>
          <w:color w:val="000000"/>
          <w:szCs w:val="24"/>
        </w:rPr>
        <w:t xml:space="preserve">Najvýznamnejšími činnosťami v pôsobnosti stavebného úradu bolo v roku 2023 </w:t>
      </w:r>
      <w:r w:rsidRPr="00BE2EB0">
        <w:rPr>
          <w:szCs w:val="24"/>
        </w:rPr>
        <w:t xml:space="preserve">vydávanie stavebných a kolaudačných povolení súvisiacich so zvyšovaním jadrovej bezpečnosti prevádzkovaných blokov </w:t>
      </w:r>
      <w:r w:rsidR="00D83124">
        <w:rPr>
          <w:szCs w:val="24"/>
        </w:rPr>
        <w:t>JE</w:t>
      </w:r>
      <w:r w:rsidRPr="00BE2EB0">
        <w:rPr>
          <w:szCs w:val="24"/>
        </w:rPr>
        <w:t>, úpravou technológií na spracovanie RAO, vyraďovaním jadrových elektrární A-1 a V-1, ako aj zvyšovaním skladovacej kapacity RAO a VJP pre JAVYS, a. s.</w:t>
      </w:r>
      <w:r w:rsidRPr="00DB05ED">
        <w:rPr>
          <w:color w:val="000000"/>
          <w:szCs w:val="24"/>
        </w:rPr>
        <w:t xml:space="preserve"> </w:t>
      </w:r>
    </w:p>
    <w:p w14:paraId="43636C19" w14:textId="7944340D" w:rsidR="004E522B" w:rsidRDefault="004E522B" w:rsidP="005B072A">
      <w:pPr>
        <w:jc w:val="both"/>
        <w:rPr>
          <w:highlight w:val="green"/>
          <w:lang w:val="x-none" w:eastAsia="cs-CZ"/>
        </w:rPr>
      </w:pPr>
    </w:p>
    <w:p w14:paraId="25CDC972" w14:textId="175BEFF5" w:rsidR="00EF29D3" w:rsidRPr="00B06854" w:rsidRDefault="00EF29D3" w:rsidP="005B072A">
      <w:pPr>
        <w:pStyle w:val="Nadpis1"/>
        <w:numPr>
          <w:ilvl w:val="0"/>
          <w:numId w:val="1"/>
        </w:numPr>
        <w:tabs>
          <w:tab w:val="clear" w:pos="360"/>
          <w:tab w:val="left" w:pos="567"/>
          <w:tab w:val="num" w:pos="2411"/>
        </w:tabs>
        <w:ind w:left="1353" w:hanging="1353"/>
        <w:jc w:val="both"/>
      </w:pPr>
      <w:bookmarkStart w:id="40" w:name="_Toc161214319"/>
      <w:r w:rsidRPr="00B06854">
        <w:t>jadrovÉ materiálY</w:t>
      </w:r>
      <w:bookmarkEnd w:id="40"/>
    </w:p>
    <w:p w14:paraId="24A3E984" w14:textId="3F422E97" w:rsidR="00074CBC" w:rsidRPr="00203415" w:rsidRDefault="00074CBC" w:rsidP="005B072A">
      <w:pPr>
        <w:jc w:val="both"/>
        <w:rPr>
          <w:lang w:val="x-none" w:eastAsia="cs-CZ"/>
        </w:rPr>
      </w:pPr>
    </w:p>
    <w:p w14:paraId="360CCB7F" w14:textId="7CAE98E9" w:rsidR="00534B1D" w:rsidRPr="006F1170" w:rsidRDefault="00534B1D" w:rsidP="006F1170">
      <w:pPr>
        <w:pStyle w:val="Nadpis2"/>
        <w:ind w:hanging="556"/>
        <w:rPr>
          <w:rFonts w:eastAsia="Calibri"/>
          <w:lang w:eastAsia="en-US"/>
        </w:rPr>
      </w:pPr>
      <w:bookmarkStart w:id="41" w:name="_Toc158112597"/>
      <w:bookmarkStart w:id="42" w:name="_Toc162317364"/>
      <w:bookmarkStart w:id="43" w:name="_Toc224458822"/>
      <w:bookmarkStart w:id="44" w:name="_Toc259021396"/>
      <w:bookmarkStart w:id="45" w:name="_Toc161214320"/>
      <w:r w:rsidRPr="006F1170">
        <w:rPr>
          <w:rFonts w:eastAsia="Calibri"/>
          <w:lang w:eastAsia="en-US"/>
        </w:rPr>
        <w:t>Evidencia a</w:t>
      </w:r>
      <w:r w:rsidR="00720B50" w:rsidRPr="006F1170">
        <w:rPr>
          <w:rFonts w:eastAsia="Calibri"/>
          <w:lang w:eastAsia="en-US"/>
        </w:rPr>
        <w:t> </w:t>
      </w:r>
      <w:r w:rsidRPr="006F1170">
        <w:rPr>
          <w:rFonts w:eastAsia="Calibri"/>
          <w:lang w:eastAsia="en-US"/>
        </w:rPr>
        <w:t>kontrola</w:t>
      </w:r>
      <w:r w:rsidR="00720B50" w:rsidRPr="006F1170">
        <w:rPr>
          <w:rFonts w:eastAsia="Calibri"/>
          <w:lang w:eastAsia="en-US"/>
        </w:rPr>
        <w:t xml:space="preserve"> jadrových materiálov</w:t>
      </w:r>
      <w:bookmarkEnd w:id="41"/>
      <w:bookmarkEnd w:id="42"/>
      <w:bookmarkEnd w:id="43"/>
      <w:bookmarkEnd w:id="44"/>
      <w:bookmarkEnd w:id="45"/>
    </w:p>
    <w:p w14:paraId="51813677" w14:textId="77777777" w:rsidR="008B79D6" w:rsidRPr="00903612" w:rsidRDefault="008B79D6" w:rsidP="005B072A">
      <w:pPr>
        <w:jc w:val="both"/>
        <w:rPr>
          <w:rFonts w:eastAsia="Calibri"/>
          <w:highlight w:val="yellow"/>
          <w:lang w:eastAsia="en-US"/>
        </w:rPr>
      </w:pPr>
    </w:p>
    <w:p w14:paraId="372B1039" w14:textId="602CC379" w:rsidR="002A762C" w:rsidRPr="002A762C" w:rsidRDefault="002A762C" w:rsidP="003C1A66">
      <w:pPr>
        <w:jc w:val="both"/>
        <w:rPr>
          <w:color w:val="000000"/>
          <w:szCs w:val="24"/>
        </w:rPr>
      </w:pPr>
      <w:r w:rsidRPr="002A762C">
        <w:rPr>
          <w:color w:val="000000"/>
          <w:szCs w:val="24"/>
        </w:rPr>
        <w:t>Štátnym orgánom zodpovedným za výkon dozorných činností v oblasti mierového využívania jadrovej energie v S</w:t>
      </w:r>
      <w:r w:rsidR="00243CB8">
        <w:rPr>
          <w:color w:val="000000"/>
          <w:szCs w:val="24"/>
        </w:rPr>
        <w:t>R</w:t>
      </w:r>
      <w:r w:rsidRPr="002A762C">
        <w:rPr>
          <w:color w:val="000000"/>
          <w:szCs w:val="24"/>
        </w:rPr>
        <w:t xml:space="preserve"> je ÚJD SR. JM sa v S</w:t>
      </w:r>
      <w:r w:rsidR="00243CB8">
        <w:rPr>
          <w:color w:val="000000"/>
          <w:szCs w:val="24"/>
        </w:rPr>
        <w:t>R</w:t>
      </w:r>
      <w:r w:rsidRPr="002A762C">
        <w:rPr>
          <w:color w:val="000000"/>
          <w:szCs w:val="24"/>
        </w:rPr>
        <w:t xml:space="preserve"> môžu používať výlučne iba na mierové účely a v súlade s povolením na činnosti, ktoré ÚJD SR vydáva len tým žiadateľom, ktorí preukážu schopnosť nakladať s JM v zmysle platných právnych predpisov a medzinárodných záväzkov SR.</w:t>
      </w:r>
    </w:p>
    <w:p w14:paraId="0A1A29FC" w14:textId="6AE2BF6C" w:rsidR="002A762C" w:rsidRPr="002A762C" w:rsidRDefault="002A762C" w:rsidP="003C1A66">
      <w:pPr>
        <w:jc w:val="both"/>
        <w:rPr>
          <w:color w:val="000000"/>
          <w:szCs w:val="24"/>
        </w:rPr>
      </w:pPr>
      <w:r w:rsidRPr="002A762C">
        <w:rPr>
          <w:color w:val="000000"/>
          <w:szCs w:val="24"/>
        </w:rPr>
        <w:t>Medzinárodnými aktami, ktoré zaväzujú S</w:t>
      </w:r>
      <w:r w:rsidR="00243CB8">
        <w:rPr>
          <w:color w:val="000000"/>
          <w:szCs w:val="24"/>
        </w:rPr>
        <w:t>R</w:t>
      </w:r>
      <w:r w:rsidRPr="002A762C">
        <w:rPr>
          <w:color w:val="000000"/>
          <w:szCs w:val="24"/>
        </w:rPr>
        <w:t xml:space="preserve"> prijať záruky na JM je Zmluva o nešírení jadrových zbraní a z nej vyplývajúca Dohoda o implementácii článku III. ods. 1 a 4 Zmluvy o nešírení jadrových zbraní a jej Dodatkový protokol. Zároveň je prijatie záruk na JM prvým základným krokom umožňujúcim mierové využívanie jadrovej energie. V oblasti záruk na JM je dôležitým nástrojom štátny systém evidencie a kontroly JM, ktorý vedie ÚJD SR v zmysle atómového zákona. </w:t>
      </w:r>
    </w:p>
    <w:p w14:paraId="28C962C5" w14:textId="34E9220A" w:rsidR="002A762C" w:rsidRPr="002A762C" w:rsidRDefault="002A762C" w:rsidP="003C1A66">
      <w:pPr>
        <w:jc w:val="both"/>
        <w:rPr>
          <w:color w:val="000000"/>
          <w:szCs w:val="24"/>
        </w:rPr>
      </w:pPr>
      <w:r w:rsidRPr="002A762C">
        <w:rPr>
          <w:color w:val="000000"/>
          <w:szCs w:val="24"/>
        </w:rPr>
        <w:t>Okrem požiadaviek Dohody o implementácii záruk na JM a jej Dodatkového protokolu je SR viazaná aj požiadavkami legislatívy EÚ vyplývajúcimi zo Zmluvy</w:t>
      </w:r>
      <w:r w:rsidR="00540917">
        <w:rPr>
          <w:color w:val="000000"/>
          <w:szCs w:val="24"/>
        </w:rPr>
        <w:t xml:space="preserve"> Európskeho spoločenstva pre atómovú energiu (</w:t>
      </w:r>
      <w:proofErr w:type="spellStart"/>
      <w:r w:rsidRPr="002A762C">
        <w:rPr>
          <w:color w:val="000000"/>
          <w:szCs w:val="24"/>
        </w:rPr>
        <w:t>Euratom</w:t>
      </w:r>
      <w:proofErr w:type="spellEnd"/>
      <w:r w:rsidR="00540917">
        <w:rPr>
          <w:color w:val="000000"/>
          <w:szCs w:val="24"/>
        </w:rPr>
        <w:t>)</w:t>
      </w:r>
      <w:r w:rsidRPr="002A762C">
        <w:rPr>
          <w:color w:val="000000"/>
          <w:szCs w:val="24"/>
        </w:rPr>
        <w:t xml:space="preserve"> a s ňou súvisiacimi právnymi predpismi ako je Nariadenie Komisie (</w:t>
      </w:r>
      <w:proofErr w:type="spellStart"/>
      <w:r w:rsidRPr="002A762C">
        <w:rPr>
          <w:color w:val="000000"/>
          <w:szCs w:val="24"/>
        </w:rPr>
        <w:t>Euratom</w:t>
      </w:r>
      <w:proofErr w:type="spellEnd"/>
      <w:r w:rsidRPr="002A762C">
        <w:rPr>
          <w:color w:val="000000"/>
          <w:szCs w:val="24"/>
        </w:rPr>
        <w:t>) č. 302/2005 o uplatňovaní systému záruk Euratomu. Taktiež Rezolúcia bezpečnostnej rady</w:t>
      </w:r>
      <w:r w:rsidR="00243CB8">
        <w:rPr>
          <w:color w:val="000000"/>
          <w:szCs w:val="24"/>
        </w:rPr>
        <w:t xml:space="preserve"> Organizácie spojených národov (</w:t>
      </w:r>
      <w:r w:rsidRPr="003C1A66">
        <w:rPr>
          <w:color w:val="000000"/>
          <w:szCs w:val="24"/>
        </w:rPr>
        <w:t>OSN</w:t>
      </w:r>
      <w:r w:rsidR="00243CB8">
        <w:rPr>
          <w:color w:val="000000"/>
          <w:szCs w:val="24"/>
        </w:rPr>
        <w:t>)</w:t>
      </w:r>
      <w:r w:rsidRPr="002A762C">
        <w:rPr>
          <w:color w:val="000000"/>
          <w:szCs w:val="24"/>
        </w:rPr>
        <w:t xml:space="preserve"> č. 1540/2004 zaväzuje v oblasti využívania jadrovej energie členské štáty OSN k prijatiu transparentných opatrení na zvýšenie </w:t>
      </w:r>
      <w:r w:rsidRPr="002A762C">
        <w:rPr>
          <w:color w:val="000000"/>
          <w:szCs w:val="24"/>
        </w:rPr>
        <w:lastRenderedPageBreak/>
        <w:t xml:space="preserve">kontroly nešírenia jadrových zbraní. Cieľom týchto opatrení je zabrániť nezákonnému obchodovaniu s JM a ďalšími jadrovými položkami. </w:t>
      </w:r>
    </w:p>
    <w:p w14:paraId="50DED836" w14:textId="17D66FAC" w:rsidR="002A762C" w:rsidRPr="002A762C" w:rsidRDefault="002A762C" w:rsidP="003C1A66">
      <w:pPr>
        <w:jc w:val="both"/>
        <w:rPr>
          <w:color w:val="000000"/>
          <w:szCs w:val="24"/>
        </w:rPr>
      </w:pPr>
      <w:r w:rsidRPr="002A762C">
        <w:rPr>
          <w:color w:val="000000"/>
          <w:szCs w:val="24"/>
        </w:rPr>
        <w:t xml:space="preserve">Účelom štátneho systému evidencie a kontroly JM v SR je vedením evidencie všetkých JM deklarovaných na území SR potvrdzovať súlad medzi deklarovanými údajmi a skutočným stavom, odhaľovať straty JM, poskytnúť informácie, ktoré by mohli viesť k opätovnému získaniu chýbajúcich JM, predchádzať neoprávnenému využívaniu JM, spolupracovať pri odhaľovaní neoprávneného využívania JM a poskytnúť aktuálne informácie o počte a umiestnení JM v SR. Správnosť údajov vedených v štátnom systéme evidencie JM je overovaná inšpekčnou činnosťou. </w:t>
      </w:r>
    </w:p>
    <w:p w14:paraId="101975BF" w14:textId="4D3AE126" w:rsidR="002A762C" w:rsidRPr="002A762C" w:rsidRDefault="002A762C" w:rsidP="003C1A66">
      <w:pPr>
        <w:jc w:val="both"/>
        <w:rPr>
          <w:color w:val="000000"/>
          <w:szCs w:val="24"/>
        </w:rPr>
      </w:pPr>
      <w:r w:rsidRPr="002A762C">
        <w:rPr>
          <w:color w:val="000000"/>
          <w:szCs w:val="24"/>
        </w:rPr>
        <w:t>Efektívny systém evidencie a kontroly JM je základom pre nezávislé overenie JM na území SR inšpektormi ÚJD SR, MAAE a Euratomu. Toto overenie potvrdzuje, že JM sa používajú ako bolo deklarované a zároveň nedošlo k ich diverzii na iné ako mierové účely.</w:t>
      </w:r>
    </w:p>
    <w:p w14:paraId="3BC6E9F8" w14:textId="10020F63" w:rsidR="002A762C" w:rsidRPr="002A762C" w:rsidRDefault="002A762C" w:rsidP="003C1A66">
      <w:pPr>
        <w:jc w:val="both"/>
        <w:rPr>
          <w:color w:val="000000"/>
          <w:szCs w:val="24"/>
        </w:rPr>
      </w:pPr>
      <w:r w:rsidRPr="002A762C">
        <w:rPr>
          <w:color w:val="000000"/>
          <w:szCs w:val="24"/>
        </w:rPr>
        <w:t>Výkon inšpekčnej činnosti v oblasti evidencie a kontroly JM prebieha od 1.</w:t>
      </w:r>
      <w:r w:rsidR="009575A2">
        <w:rPr>
          <w:color w:val="000000"/>
          <w:szCs w:val="24"/>
        </w:rPr>
        <w:t> </w:t>
      </w:r>
      <w:r w:rsidRPr="002A762C">
        <w:rPr>
          <w:color w:val="000000"/>
          <w:szCs w:val="24"/>
        </w:rPr>
        <w:t>9.</w:t>
      </w:r>
      <w:r w:rsidR="009575A2">
        <w:rPr>
          <w:color w:val="000000"/>
          <w:szCs w:val="24"/>
        </w:rPr>
        <w:t> </w:t>
      </w:r>
      <w:r w:rsidRPr="002A762C">
        <w:rPr>
          <w:color w:val="000000"/>
          <w:szCs w:val="24"/>
        </w:rPr>
        <w:t xml:space="preserve">2009 v režime Integrovaných záruk, ktoré sú optimálnou a efektívnou kombináciou všetkých </w:t>
      </w:r>
      <w:proofErr w:type="spellStart"/>
      <w:r w:rsidRPr="002A762C">
        <w:rPr>
          <w:color w:val="000000"/>
          <w:szCs w:val="24"/>
        </w:rPr>
        <w:t>zárukových</w:t>
      </w:r>
      <w:proofErr w:type="spellEnd"/>
      <w:r w:rsidRPr="002A762C">
        <w:rPr>
          <w:color w:val="000000"/>
          <w:szCs w:val="24"/>
        </w:rPr>
        <w:t xml:space="preserve"> aktivít vykonávaných v súlade s právnym rámcom. </w:t>
      </w:r>
    </w:p>
    <w:p w14:paraId="590A90CE" w14:textId="767EB38A" w:rsidR="002A762C" w:rsidRPr="002A762C" w:rsidRDefault="002A762C" w:rsidP="003C1A66">
      <w:pPr>
        <w:jc w:val="both"/>
        <w:rPr>
          <w:color w:val="000000"/>
          <w:szCs w:val="24"/>
        </w:rPr>
      </w:pPr>
      <w:r w:rsidRPr="002A762C">
        <w:rPr>
          <w:color w:val="000000"/>
          <w:szCs w:val="24"/>
        </w:rPr>
        <w:t xml:space="preserve">V roku 2020 bola schválená koncepcia „State Level </w:t>
      </w:r>
      <w:proofErr w:type="spellStart"/>
      <w:r w:rsidRPr="002A762C">
        <w:rPr>
          <w:color w:val="000000"/>
          <w:szCs w:val="24"/>
        </w:rPr>
        <w:t>Approach</w:t>
      </w:r>
      <w:proofErr w:type="spellEnd"/>
      <w:r w:rsidRPr="002A762C">
        <w:rPr>
          <w:color w:val="000000"/>
          <w:szCs w:val="24"/>
        </w:rPr>
        <w:t>“ pre S</w:t>
      </w:r>
      <w:r w:rsidR="009575A2">
        <w:rPr>
          <w:color w:val="000000"/>
          <w:szCs w:val="24"/>
        </w:rPr>
        <w:t>R</w:t>
      </w:r>
      <w:r w:rsidRPr="002A762C">
        <w:rPr>
          <w:color w:val="000000"/>
          <w:szCs w:val="24"/>
        </w:rPr>
        <w:t xml:space="preserve">. Koncepcia „SLA“ je ďalšia úroveň prístupu </w:t>
      </w:r>
      <w:r w:rsidRPr="003C1A66">
        <w:rPr>
          <w:color w:val="000000"/>
          <w:szCs w:val="24"/>
        </w:rPr>
        <w:t>MAAE</w:t>
      </w:r>
      <w:r w:rsidRPr="002A762C">
        <w:rPr>
          <w:color w:val="000000"/>
          <w:szCs w:val="24"/>
        </w:rPr>
        <w:t xml:space="preserve">, v ktorom MAAE zvažuje a hodnotí širokú škálu informácií o jadrových kapacitách štátu a výsledkom daného hodnotenia prispôsobuje </w:t>
      </w:r>
      <w:proofErr w:type="spellStart"/>
      <w:r w:rsidRPr="002A762C">
        <w:rPr>
          <w:color w:val="000000"/>
          <w:szCs w:val="24"/>
        </w:rPr>
        <w:t>zárukové</w:t>
      </w:r>
      <w:proofErr w:type="spellEnd"/>
      <w:r w:rsidRPr="002A762C">
        <w:rPr>
          <w:color w:val="000000"/>
          <w:szCs w:val="24"/>
        </w:rPr>
        <w:t xml:space="preserve"> postupy aplikované v danom štáte. Implementácia tohto prístupu umožní MAAE lepšie alokovať zdroje a zamerať svoje úsilie na štáty s akýmkoľvek podozrením týkajúcim sa záruk na </w:t>
      </w:r>
      <w:r w:rsidR="008C02EF">
        <w:rPr>
          <w:color w:val="000000"/>
          <w:szCs w:val="24"/>
        </w:rPr>
        <w:t>JM</w:t>
      </w:r>
      <w:r w:rsidRPr="002A762C">
        <w:rPr>
          <w:color w:val="000000"/>
          <w:szCs w:val="24"/>
        </w:rPr>
        <w:t>.</w:t>
      </w:r>
    </w:p>
    <w:p w14:paraId="05621425" w14:textId="095D296B" w:rsidR="002A762C" w:rsidRPr="002A762C" w:rsidRDefault="002A762C" w:rsidP="003C1A66">
      <w:pPr>
        <w:jc w:val="both"/>
        <w:rPr>
          <w:color w:val="000000"/>
          <w:szCs w:val="24"/>
        </w:rPr>
      </w:pPr>
      <w:r w:rsidRPr="002A762C">
        <w:rPr>
          <w:color w:val="000000"/>
          <w:szCs w:val="24"/>
        </w:rPr>
        <w:t>V rámci výkonu inšpekčnej činnosti v oblasti evidencie a kontroly JM ÚJD SR vykonal v roku 2023 47 inšpekcií. Z toho za prítomnosti medzinárodných inšpektorov bolo v lokalite Bohunice vykonaných 17 inšpekcií a v lokalite Mochovce 8 inšpekcií. U držiteľov povolení na nakladanie s JM mimo JZ bolo za prítomnosti medzinárodných inšpektorov vykonaných 8 inšpekcií. Ostatné inšpekcie boli vykonané ako samostatné inšpekcie ÚJD SR.</w:t>
      </w:r>
    </w:p>
    <w:p w14:paraId="1EAB72BC" w14:textId="77777777" w:rsidR="002A762C" w:rsidRPr="002A762C" w:rsidRDefault="002A762C" w:rsidP="003C1A66">
      <w:pPr>
        <w:jc w:val="both"/>
        <w:rPr>
          <w:color w:val="000000"/>
          <w:szCs w:val="24"/>
        </w:rPr>
      </w:pPr>
      <w:r w:rsidRPr="002A762C">
        <w:rPr>
          <w:color w:val="000000"/>
          <w:szCs w:val="24"/>
        </w:rPr>
        <w:t>Činnosť ÚJD SR zahŕňa aj kontrolu a spracovanie evidenčných hlásení zaslaných na ÚJD SR držiteľmi povolení. Tieto sú vkladané do štátneho systému evidencie JM, pričom je vykonaná aj kontrola správnosti údajov. Za danú oblasť materiálovej bilancie ÚJD SR každý mesiac zasiela evidenčné správy Euratomu.</w:t>
      </w:r>
    </w:p>
    <w:p w14:paraId="325D5EFA" w14:textId="0243EE47" w:rsidR="002A762C" w:rsidRPr="002A762C" w:rsidRDefault="002A762C" w:rsidP="003C1A66">
      <w:pPr>
        <w:jc w:val="both"/>
        <w:rPr>
          <w:color w:val="000000"/>
          <w:szCs w:val="24"/>
        </w:rPr>
      </w:pPr>
      <w:r w:rsidRPr="002A762C">
        <w:rPr>
          <w:color w:val="000000"/>
          <w:szCs w:val="24"/>
        </w:rPr>
        <w:t xml:space="preserve">V roku 2023 sa ÚJD SR v rámci projektu dobudovania skladovacích kapacít </w:t>
      </w:r>
      <w:r w:rsidR="00FB5E72">
        <w:rPr>
          <w:color w:val="000000"/>
          <w:szCs w:val="24"/>
        </w:rPr>
        <w:t>VJP</w:t>
      </w:r>
      <w:r w:rsidRPr="002A762C">
        <w:rPr>
          <w:color w:val="000000"/>
          <w:szCs w:val="24"/>
        </w:rPr>
        <w:t xml:space="preserve"> aktívne zúčastňoval procesu budúcej implementácie záruk na </w:t>
      </w:r>
      <w:r w:rsidR="008C02EF">
        <w:rPr>
          <w:color w:val="000000"/>
          <w:szCs w:val="24"/>
        </w:rPr>
        <w:t>JM</w:t>
      </w:r>
      <w:r w:rsidRPr="002A762C">
        <w:rPr>
          <w:color w:val="000000"/>
          <w:szCs w:val="24"/>
        </w:rPr>
        <w:t xml:space="preserve">. </w:t>
      </w:r>
    </w:p>
    <w:p w14:paraId="43117E01" w14:textId="77777777" w:rsidR="002A762C" w:rsidRPr="002A762C" w:rsidRDefault="002A762C" w:rsidP="003C1A66">
      <w:pPr>
        <w:jc w:val="both"/>
        <w:rPr>
          <w:color w:val="000000"/>
          <w:szCs w:val="24"/>
        </w:rPr>
      </w:pPr>
      <w:r w:rsidRPr="002A762C">
        <w:rPr>
          <w:color w:val="000000"/>
          <w:szCs w:val="24"/>
        </w:rPr>
        <w:t xml:space="preserve">ÚJD SR ďalej v rámci svojich kompetencií zodpovedá aj za včasné zasielanie hlásení vypracovávaných na základe požiadaviek článku 2 Dodatkového protokolu k </w:t>
      </w:r>
      <w:proofErr w:type="spellStart"/>
      <w:r w:rsidRPr="002A762C">
        <w:rPr>
          <w:color w:val="000000"/>
          <w:szCs w:val="24"/>
        </w:rPr>
        <w:t>trilaterálnej</w:t>
      </w:r>
      <w:proofErr w:type="spellEnd"/>
      <w:r w:rsidRPr="002A762C">
        <w:rPr>
          <w:color w:val="000000"/>
          <w:szCs w:val="24"/>
        </w:rPr>
        <w:t xml:space="preserve"> </w:t>
      </w:r>
      <w:proofErr w:type="spellStart"/>
      <w:r w:rsidRPr="002A762C">
        <w:rPr>
          <w:color w:val="000000"/>
          <w:szCs w:val="24"/>
        </w:rPr>
        <w:t>zárukovej</w:t>
      </w:r>
      <w:proofErr w:type="spellEnd"/>
      <w:r w:rsidRPr="002A762C">
        <w:rPr>
          <w:color w:val="000000"/>
          <w:szCs w:val="24"/>
        </w:rPr>
        <w:t xml:space="preserve"> dohode do Euratomu a MAAE. V roku 2023 ÚJD SR zaslal 10 takýchto hlásení.</w:t>
      </w:r>
    </w:p>
    <w:p w14:paraId="111BB665" w14:textId="77777777" w:rsidR="002A762C" w:rsidRPr="002A762C" w:rsidRDefault="002A762C" w:rsidP="003C1A66">
      <w:pPr>
        <w:jc w:val="both"/>
        <w:rPr>
          <w:color w:val="000000"/>
          <w:szCs w:val="24"/>
        </w:rPr>
      </w:pPr>
      <w:r w:rsidRPr="002A762C">
        <w:rPr>
          <w:color w:val="000000"/>
          <w:szCs w:val="24"/>
        </w:rPr>
        <w:t>Tieto hlásenia sú ďalším potvrdením skutočnosti, že na celom území SR sa vykonávajú iba činnosti súvisiace s mierovým využitím jadrovej energie a dodržiavajú sa záväzky v oblasti nešírenia jadrových zbraní.</w:t>
      </w:r>
    </w:p>
    <w:p w14:paraId="6F3105D9" w14:textId="663666D7" w:rsidR="002A762C" w:rsidRPr="002A762C" w:rsidRDefault="002A762C" w:rsidP="003C1A66">
      <w:pPr>
        <w:jc w:val="both"/>
        <w:rPr>
          <w:color w:val="000000"/>
          <w:szCs w:val="24"/>
        </w:rPr>
      </w:pPr>
      <w:r w:rsidRPr="002A762C">
        <w:rPr>
          <w:color w:val="000000"/>
          <w:szCs w:val="24"/>
        </w:rPr>
        <w:t xml:space="preserve">Podľa §5 ods. 2 písm. n) zákona č. 541/2004 Z. z. o mierovom využívaní jadrovej energie a o zmene a doplnení niektorých zákonov v znení neskorších predpisov ÚJD SR vydáva povolenia na nakladanie s JM mimo </w:t>
      </w:r>
      <w:r w:rsidR="00123458">
        <w:rPr>
          <w:color w:val="000000"/>
          <w:szCs w:val="24"/>
        </w:rPr>
        <w:t>JZ</w:t>
      </w:r>
      <w:r w:rsidRPr="002A762C">
        <w:rPr>
          <w:color w:val="000000"/>
          <w:szCs w:val="24"/>
        </w:rPr>
        <w:t>. V roku 2023 bolo vydaných 11 takýchto povolení.</w:t>
      </w:r>
    </w:p>
    <w:p w14:paraId="46BA48C6" w14:textId="77777777" w:rsidR="002A762C" w:rsidRPr="002A762C" w:rsidRDefault="002A762C" w:rsidP="002A762C">
      <w:pPr>
        <w:autoSpaceDE w:val="0"/>
        <w:autoSpaceDN w:val="0"/>
        <w:adjustRightInd w:val="0"/>
        <w:jc w:val="both"/>
        <w:rPr>
          <w:color w:val="000000"/>
          <w:szCs w:val="24"/>
        </w:rPr>
      </w:pPr>
    </w:p>
    <w:p w14:paraId="0DB5B029" w14:textId="77777777" w:rsidR="002A762C" w:rsidRDefault="002A762C" w:rsidP="002A762C">
      <w:pPr>
        <w:autoSpaceDE w:val="0"/>
        <w:autoSpaceDN w:val="0"/>
        <w:adjustRightInd w:val="0"/>
        <w:jc w:val="both"/>
        <w:rPr>
          <w:b/>
          <w:i/>
          <w:iCs/>
        </w:rPr>
      </w:pPr>
      <w:r w:rsidRPr="002A762C">
        <w:rPr>
          <w:b/>
          <w:i/>
          <w:iCs/>
        </w:rPr>
        <w:t>Záver:</w:t>
      </w:r>
    </w:p>
    <w:p w14:paraId="1F1D50E8" w14:textId="765816A0" w:rsidR="00F82221" w:rsidRDefault="002A762C" w:rsidP="002A762C">
      <w:pPr>
        <w:autoSpaceDE w:val="0"/>
        <w:autoSpaceDN w:val="0"/>
        <w:adjustRightInd w:val="0"/>
        <w:jc w:val="both"/>
        <w:rPr>
          <w:b/>
          <w:i/>
          <w:iCs/>
        </w:rPr>
      </w:pPr>
      <w:r w:rsidRPr="002A762C">
        <w:rPr>
          <w:b/>
          <w:i/>
          <w:iCs/>
        </w:rPr>
        <w:t>Na základe výsledkov vykonaných inšpekcií a kontrol evidenčných a prevádzkových záznamov držiteľov povolení je možné jednoznačne skonštatovať, že v roku 2023 boli jadrové materiály v SR využívané iba na mierové účely, SR v plnom rozsahu napĺňa svoje medzinárodné záväzky v oblasti záruk na jadrové materiály a údaje v štátnom systéme evidencie a kontroly jadrových materiálov sú v plnej zhode s údajmi Euratomu a MAAE.</w:t>
      </w:r>
    </w:p>
    <w:p w14:paraId="2C68EFC9" w14:textId="0DB43998" w:rsidR="002A762C" w:rsidRDefault="002A762C" w:rsidP="002A762C">
      <w:pPr>
        <w:autoSpaceDE w:val="0"/>
        <w:autoSpaceDN w:val="0"/>
        <w:adjustRightInd w:val="0"/>
        <w:jc w:val="both"/>
        <w:rPr>
          <w:b/>
          <w:i/>
          <w:iCs/>
        </w:rPr>
      </w:pPr>
    </w:p>
    <w:p w14:paraId="5612268D" w14:textId="77777777" w:rsidR="002F1E63" w:rsidRPr="002163F2" w:rsidRDefault="002F1E63" w:rsidP="002A762C">
      <w:pPr>
        <w:autoSpaceDE w:val="0"/>
        <w:autoSpaceDN w:val="0"/>
        <w:adjustRightInd w:val="0"/>
        <w:jc w:val="both"/>
        <w:rPr>
          <w:b/>
          <w:i/>
          <w:iCs/>
        </w:rPr>
      </w:pPr>
    </w:p>
    <w:p w14:paraId="1A8F7A7D" w14:textId="77777777" w:rsidR="004E2925" w:rsidRPr="006F1170" w:rsidRDefault="004E2925" w:rsidP="006F1170">
      <w:pPr>
        <w:pStyle w:val="Nadpis2"/>
        <w:ind w:hanging="556"/>
        <w:rPr>
          <w:rFonts w:eastAsia="Calibri"/>
          <w:lang w:eastAsia="en-US"/>
        </w:rPr>
      </w:pPr>
      <w:bookmarkStart w:id="46" w:name="_Toc161214321"/>
      <w:r w:rsidRPr="006F1170">
        <w:rPr>
          <w:rFonts w:eastAsia="Calibri"/>
          <w:lang w:eastAsia="en-US"/>
        </w:rPr>
        <w:lastRenderedPageBreak/>
        <w:t>Preprava jadrových materiálov</w:t>
      </w:r>
      <w:bookmarkEnd w:id="46"/>
    </w:p>
    <w:p w14:paraId="0D5ADE7C" w14:textId="77777777" w:rsidR="004E2925" w:rsidRPr="004E2925" w:rsidRDefault="004E2925" w:rsidP="004E2925">
      <w:pPr>
        <w:autoSpaceDE w:val="0"/>
        <w:autoSpaceDN w:val="0"/>
        <w:adjustRightInd w:val="0"/>
        <w:jc w:val="both"/>
        <w:rPr>
          <w:color w:val="000000"/>
          <w:szCs w:val="24"/>
        </w:rPr>
      </w:pPr>
    </w:p>
    <w:p w14:paraId="7216030D" w14:textId="6CFA316B" w:rsidR="004E2925" w:rsidRPr="004E2925" w:rsidRDefault="004E2925" w:rsidP="004E2925">
      <w:pPr>
        <w:autoSpaceDE w:val="0"/>
        <w:autoSpaceDN w:val="0"/>
        <w:adjustRightInd w:val="0"/>
        <w:jc w:val="both"/>
        <w:rPr>
          <w:color w:val="000000"/>
          <w:szCs w:val="24"/>
        </w:rPr>
      </w:pPr>
      <w:r w:rsidRPr="004E2925">
        <w:rPr>
          <w:color w:val="000000"/>
          <w:szCs w:val="24"/>
        </w:rPr>
        <w:t>Dozorná činnosť pri zaistení jadrovej bezpečnosti počas prepráv JM sa vykonávala v zmysle atómového zákona, vyhlášky č. 57/2006 Z. z., ktorá bola novelizovaná vyhláškou č. 105/2016 Z. z., a v zmysle medzinárodných štandardov a odporúčaní. Za hodnotené obdobie sa uskutočnili prepravy čerstvého jadrového paliva (</w:t>
      </w:r>
      <w:r w:rsidRPr="00380089">
        <w:rPr>
          <w:color w:val="000000"/>
          <w:szCs w:val="24"/>
        </w:rPr>
        <w:t>ČJP)</w:t>
      </w:r>
      <w:r w:rsidRPr="004E2925">
        <w:rPr>
          <w:color w:val="000000"/>
          <w:szCs w:val="24"/>
        </w:rPr>
        <w:t xml:space="preserve"> z Ruskej federácie do JE Bohunice a JE Mochovce. Prepravy ČJP boli realizované železničnou a kombinovanou (leteckou a cestnou) dopravou cez prekládkové letisko. V roku 2023 sa uskutočnili aj prepravy VJP z blokov EBO V-2, ako aj preprava VJP z EMO1, 2 do MSVP. Do prepravy boli okrem držiteľov povolení a úradu zapojené aj ďalšie inštitúcie, napr. Policajný zbor SR, Úrad civilnej ochrany M</w:t>
      </w:r>
      <w:r w:rsidR="009575A2">
        <w:rPr>
          <w:color w:val="000000"/>
          <w:szCs w:val="24"/>
        </w:rPr>
        <w:t>V SR</w:t>
      </w:r>
      <w:r w:rsidRPr="004E2925">
        <w:rPr>
          <w:color w:val="000000"/>
          <w:szCs w:val="24"/>
        </w:rPr>
        <w:t xml:space="preserve">, Hasičský a záchranný zbor, Železnice SR a ďalší. Jadrová bezpečnosť a fyzická ochrana boli počas prepravy zabezpečené podľa platnej legislatívy. </w:t>
      </w:r>
    </w:p>
    <w:p w14:paraId="517FF8EA" w14:textId="77777777" w:rsidR="004E2925" w:rsidRPr="004E2925" w:rsidRDefault="004E2925" w:rsidP="004E2925">
      <w:pPr>
        <w:autoSpaceDE w:val="0"/>
        <w:autoSpaceDN w:val="0"/>
        <w:adjustRightInd w:val="0"/>
        <w:jc w:val="both"/>
        <w:rPr>
          <w:color w:val="000000"/>
          <w:szCs w:val="24"/>
        </w:rPr>
      </w:pPr>
    </w:p>
    <w:p w14:paraId="20DA8567" w14:textId="77777777" w:rsidR="004E2925" w:rsidRDefault="004E2925" w:rsidP="004E2925">
      <w:pPr>
        <w:autoSpaceDE w:val="0"/>
        <w:autoSpaceDN w:val="0"/>
        <w:adjustRightInd w:val="0"/>
        <w:jc w:val="both"/>
        <w:rPr>
          <w:b/>
          <w:i/>
          <w:iCs/>
        </w:rPr>
      </w:pPr>
      <w:r>
        <w:rPr>
          <w:b/>
          <w:i/>
          <w:iCs/>
        </w:rPr>
        <w:t>Záver:</w:t>
      </w:r>
    </w:p>
    <w:p w14:paraId="357D1821" w14:textId="1D5D56E0" w:rsidR="004E2925" w:rsidRPr="004E2925" w:rsidRDefault="004E2925" w:rsidP="004E2925">
      <w:pPr>
        <w:autoSpaceDE w:val="0"/>
        <w:autoSpaceDN w:val="0"/>
        <w:adjustRightInd w:val="0"/>
        <w:jc w:val="both"/>
        <w:rPr>
          <w:b/>
          <w:i/>
          <w:iCs/>
        </w:rPr>
      </w:pPr>
      <w:r w:rsidRPr="004E2925">
        <w:rPr>
          <w:b/>
          <w:i/>
          <w:iCs/>
        </w:rPr>
        <w:t>V roku 2023 vykonali inšpektori úradu celkovo 17 inšpekcií prepráv ČJP a VJP. Inšpektori pri inšpekciách prepravy nezistili žiadne závažné nedostatky.</w:t>
      </w:r>
    </w:p>
    <w:p w14:paraId="5191AC23" w14:textId="77777777" w:rsidR="001402AE" w:rsidRPr="004E2925" w:rsidRDefault="001402AE" w:rsidP="004E2925">
      <w:pPr>
        <w:autoSpaceDE w:val="0"/>
        <w:autoSpaceDN w:val="0"/>
        <w:adjustRightInd w:val="0"/>
        <w:jc w:val="both"/>
        <w:rPr>
          <w:b/>
          <w:i/>
          <w:iCs/>
        </w:rPr>
      </w:pPr>
    </w:p>
    <w:p w14:paraId="182886DA" w14:textId="20996EDA" w:rsidR="00003695" w:rsidRPr="006F1170" w:rsidRDefault="00003695" w:rsidP="006F1170">
      <w:pPr>
        <w:pStyle w:val="Nadpis2"/>
        <w:ind w:hanging="556"/>
        <w:rPr>
          <w:szCs w:val="24"/>
        </w:rPr>
      </w:pPr>
      <w:bookmarkStart w:id="47" w:name="_Toc507863990"/>
      <w:bookmarkStart w:id="48" w:name="_Toc161214322"/>
      <w:r w:rsidRPr="006F1170">
        <w:rPr>
          <w:szCs w:val="24"/>
        </w:rPr>
        <w:t>Nezákonné nakladanie s jadrovými a rádioaktívnymi materiálmi</w:t>
      </w:r>
      <w:bookmarkEnd w:id="47"/>
      <w:bookmarkEnd w:id="48"/>
    </w:p>
    <w:p w14:paraId="393E60F6" w14:textId="77777777" w:rsidR="00B748A8" w:rsidRPr="00446BA0" w:rsidRDefault="00B748A8" w:rsidP="005B072A">
      <w:pPr>
        <w:jc w:val="both"/>
        <w:rPr>
          <w:highlight w:val="green"/>
        </w:rPr>
      </w:pPr>
    </w:p>
    <w:p w14:paraId="03752A42" w14:textId="77777777" w:rsidR="004E2925" w:rsidRPr="003C1A66" w:rsidRDefault="004E2925" w:rsidP="003C1A66">
      <w:pPr>
        <w:autoSpaceDE w:val="0"/>
        <w:autoSpaceDN w:val="0"/>
        <w:adjustRightInd w:val="0"/>
        <w:jc w:val="both"/>
        <w:rPr>
          <w:color w:val="000000"/>
          <w:szCs w:val="24"/>
        </w:rPr>
      </w:pPr>
      <w:r w:rsidRPr="003C1A66">
        <w:rPr>
          <w:color w:val="000000"/>
          <w:szCs w:val="24"/>
        </w:rPr>
        <w:t xml:space="preserve">Boj proti nezákonnému nakladaniu s JM má medzinárodný charakter a rôzne štátne orgány koordinujú svoju činnosť zameranú na prevenciu a odhaľovanie nezákonného obchodovania s JM nielen navzájom, ale zapájajú sa aj do spolupráce s medzinárodnými organizáciami. Nezákonné obchodovanie s JM je medzinárodný zločin a medzinárodná spolupráca umožňuje jeho skoré a úspešné odhalenie. </w:t>
      </w:r>
    </w:p>
    <w:p w14:paraId="146366BF" w14:textId="5C6C09E7" w:rsidR="00AD7EB0" w:rsidRPr="003C1A66" w:rsidRDefault="004E2925" w:rsidP="003C1A66">
      <w:pPr>
        <w:autoSpaceDE w:val="0"/>
        <w:autoSpaceDN w:val="0"/>
        <w:adjustRightInd w:val="0"/>
        <w:jc w:val="both"/>
        <w:rPr>
          <w:color w:val="000000"/>
          <w:szCs w:val="24"/>
        </w:rPr>
      </w:pPr>
      <w:r w:rsidRPr="003C1A66">
        <w:rPr>
          <w:color w:val="000000"/>
          <w:szCs w:val="24"/>
        </w:rPr>
        <w:t xml:space="preserve">Spolupráca s USA v rámci Spoločného akčného plánu vlády SR a vlády USA na boj proti nelegálnemu nakladaniu s JM, RAM a súvisiacimi technológiami pokračuje. V rámci tejto spolupráce sa experti ÚJD SR zúčastňujú na konferenciách, pracovných stretnutiach, kurzoch a organizujú sa spoločné cvičenia. Dôležitou súčasťou spolupráce je výmena informácií. Úrad na medzinárodnej úrovni zabezpečuje výmenu informácií v Incident and </w:t>
      </w:r>
      <w:proofErr w:type="spellStart"/>
      <w:r w:rsidRPr="003C1A66">
        <w:rPr>
          <w:color w:val="000000"/>
          <w:szCs w:val="24"/>
        </w:rPr>
        <w:t>Trafficking</w:t>
      </w:r>
      <w:proofErr w:type="spellEnd"/>
      <w:r w:rsidRPr="003C1A66">
        <w:rPr>
          <w:color w:val="000000"/>
          <w:szCs w:val="24"/>
        </w:rPr>
        <w:t xml:space="preserve"> </w:t>
      </w:r>
      <w:proofErr w:type="spellStart"/>
      <w:r w:rsidRPr="003C1A66">
        <w:rPr>
          <w:color w:val="000000"/>
          <w:szCs w:val="24"/>
        </w:rPr>
        <w:t>Database</w:t>
      </w:r>
      <w:proofErr w:type="spellEnd"/>
      <w:r w:rsidRPr="003C1A66">
        <w:rPr>
          <w:color w:val="000000"/>
          <w:szCs w:val="24"/>
        </w:rPr>
        <w:t>, ktorú prevádzkuje MAAE. V súčasnosti do tejto databázy prispieva 145 štátov z celého sveta vrátane SR. Včasná výmena informácií prispieva k zvyšovaniu efektivity boja proti nezákonnému obchodovaniu s JM.</w:t>
      </w:r>
    </w:p>
    <w:p w14:paraId="37C4C8D2" w14:textId="77777777" w:rsidR="004E2925" w:rsidRPr="003C1A66" w:rsidRDefault="004E2925" w:rsidP="003C1A66">
      <w:pPr>
        <w:autoSpaceDE w:val="0"/>
        <w:autoSpaceDN w:val="0"/>
        <w:adjustRightInd w:val="0"/>
        <w:jc w:val="both"/>
        <w:rPr>
          <w:color w:val="000000"/>
          <w:szCs w:val="24"/>
        </w:rPr>
      </w:pPr>
    </w:p>
    <w:p w14:paraId="398C5DC6" w14:textId="508F1422" w:rsidR="00003695" w:rsidRPr="006F1170" w:rsidRDefault="00AD7EB0" w:rsidP="006F1170">
      <w:pPr>
        <w:pStyle w:val="Nadpis2"/>
        <w:ind w:hanging="556"/>
        <w:rPr>
          <w:rFonts w:eastAsia="Calibri"/>
          <w:iCs/>
          <w:szCs w:val="24"/>
          <w:lang w:eastAsia="en-US"/>
        </w:rPr>
      </w:pPr>
      <w:bookmarkStart w:id="49" w:name="_Toc161214323"/>
      <w:r w:rsidRPr="006F1170">
        <w:rPr>
          <w:szCs w:val="24"/>
        </w:rPr>
        <w:t>Kontrola skladovania čerstvého a vyhoretého jadrového paliva</w:t>
      </w:r>
      <w:bookmarkEnd w:id="49"/>
    </w:p>
    <w:p w14:paraId="4A064AC2" w14:textId="25FD3E38" w:rsidR="004A6AE6" w:rsidRPr="00446BA0" w:rsidRDefault="004A6AE6" w:rsidP="005B072A">
      <w:pPr>
        <w:jc w:val="both"/>
        <w:rPr>
          <w:highlight w:val="green"/>
          <w:lang w:val="x-none" w:eastAsia="cs-CZ"/>
        </w:rPr>
      </w:pPr>
    </w:p>
    <w:p w14:paraId="142E44FF" w14:textId="1F03AC9C" w:rsidR="004804F0" w:rsidRPr="004E2925" w:rsidRDefault="004E2925" w:rsidP="004E2925">
      <w:pPr>
        <w:autoSpaceDE w:val="0"/>
        <w:autoSpaceDN w:val="0"/>
        <w:adjustRightInd w:val="0"/>
        <w:jc w:val="both"/>
        <w:rPr>
          <w:color w:val="000000"/>
          <w:szCs w:val="24"/>
        </w:rPr>
      </w:pPr>
      <w:r w:rsidRPr="004E2925">
        <w:rPr>
          <w:color w:val="000000"/>
          <w:szCs w:val="24"/>
        </w:rPr>
        <w:t xml:space="preserve">V roku 2023 boli vykonané plánované inšpekcie zamerané na kontrolu skladovania ČJP a VJP v elektrárňach. ČJP sa skladuje v sklade čerstvého paliva v hlavnom výrobnom bloku elektrárne. VJP sa v elektrárňach skladuje v bazéne </w:t>
      </w:r>
      <w:r w:rsidR="00FB5E72">
        <w:rPr>
          <w:color w:val="000000"/>
          <w:szCs w:val="24"/>
        </w:rPr>
        <w:t>VJP</w:t>
      </w:r>
      <w:r w:rsidRPr="004E2925">
        <w:rPr>
          <w:color w:val="000000"/>
          <w:szCs w:val="24"/>
        </w:rPr>
        <w:t xml:space="preserve"> pri reaktore. Toto palivo sa v ňom skladuje pod dobu, kedy je možné ho transportovať do MSVP v lokalite Jaslovské Bohunice. Je to v rozmedzí 3 až 7 rokov. V lokalitách JE Bohunice V-2, JE Mochovce 1, 2</w:t>
      </w:r>
      <w:r w:rsidR="00501C2F">
        <w:rPr>
          <w:color w:val="000000"/>
          <w:szCs w:val="24"/>
        </w:rPr>
        <w:t xml:space="preserve"> </w:t>
      </w:r>
      <w:r w:rsidRPr="004E2925">
        <w:rPr>
          <w:color w:val="000000"/>
          <w:szCs w:val="24"/>
        </w:rPr>
        <w:t>a JE Mochovce 3, 4 bolo vykonaných celkovo 6 inšpekcií</w:t>
      </w:r>
      <w:r w:rsidR="00501C2F">
        <w:rPr>
          <w:color w:val="000000"/>
          <w:szCs w:val="24"/>
        </w:rPr>
        <w:t>, pričom</w:t>
      </w:r>
      <w:r w:rsidRPr="004E2925">
        <w:rPr>
          <w:color w:val="000000"/>
          <w:szCs w:val="24"/>
        </w:rPr>
        <w:t xml:space="preserve"> neboli zistené žiadne závažné nedostatky a prevádzka skladov ČJP a bazénov VJP bola vyhodnotená ako bezpečná v súlade s požiadavkami atómového zákona, limít a podmienok a príslušných predpisov. V</w:t>
      </w:r>
      <w:r w:rsidR="00FB5E72">
        <w:rPr>
          <w:color w:val="000000"/>
          <w:szCs w:val="24"/>
        </w:rPr>
        <w:t xml:space="preserve">JP sa </w:t>
      </w:r>
      <w:r w:rsidRPr="004E2925">
        <w:rPr>
          <w:color w:val="000000"/>
          <w:szCs w:val="24"/>
        </w:rPr>
        <w:t>v MO 34 zatiaľ v bazéne skladovania nenachádza.</w:t>
      </w:r>
    </w:p>
    <w:p w14:paraId="05076D69" w14:textId="77777777" w:rsidR="004E2925" w:rsidRDefault="004E2925" w:rsidP="005B072A">
      <w:pPr>
        <w:jc w:val="both"/>
        <w:rPr>
          <w:szCs w:val="24"/>
        </w:rPr>
      </w:pPr>
    </w:p>
    <w:p w14:paraId="575F1F38" w14:textId="44527C29" w:rsidR="00CB0219" w:rsidRPr="006F1170" w:rsidRDefault="00A46457" w:rsidP="005B072A">
      <w:pPr>
        <w:pStyle w:val="Nadpis1"/>
        <w:numPr>
          <w:ilvl w:val="0"/>
          <w:numId w:val="1"/>
        </w:numPr>
        <w:tabs>
          <w:tab w:val="clear" w:pos="360"/>
        </w:tabs>
        <w:ind w:left="425" w:hanging="425"/>
        <w:jc w:val="both"/>
      </w:pPr>
      <w:bookmarkStart w:id="50" w:name="_Toc161214324"/>
      <w:r w:rsidRPr="006F1170">
        <w:t xml:space="preserve">Fyzická BEZPEČNOSŤ </w:t>
      </w:r>
      <w:r w:rsidR="00535A74" w:rsidRPr="006F1170">
        <w:rPr>
          <w:lang w:val="sk-SK"/>
        </w:rPr>
        <w:t>JZ</w:t>
      </w:r>
      <w:r w:rsidRPr="006F1170">
        <w:t xml:space="preserve"> a</w:t>
      </w:r>
      <w:r w:rsidR="00880EE3" w:rsidRPr="006F1170">
        <w:rPr>
          <w:szCs w:val="24"/>
        </w:rPr>
        <w:t xml:space="preserve"> </w:t>
      </w:r>
      <w:r w:rsidR="00880EE3" w:rsidRPr="006F1170">
        <w:rPr>
          <w:szCs w:val="24"/>
          <w:lang w:val="sk-SK"/>
        </w:rPr>
        <w:t>J</w:t>
      </w:r>
      <w:r w:rsidR="00535A74" w:rsidRPr="006F1170">
        <w:rPr>
          <w:szCs w:val="24"/>
          <w:lang w:val="sk-SK"/>
        </w:rPr>
        <w:t>M</w:t>
      </w:r>
      <w:r w:rsidR="00CB0219" w:rsidRPr="006F1170">
        <w:rPr>
          <w:lang w:val="sk-SK"/>
        </w:rPr>
        <w:t xml:space="preserve"> (</w:t>
      </w:r>
      <w:r w:rsidR="00CB0219" w:rsidRPr="006F1170">
        <w:rPr>
          <w:rFonts w:eastAsia="SimSun"/>
          <w:szCs w:val="28"/>
        </w:rPr>
        <w:t>Fyzická ochrana a kybernetická bezpečnosť</w:t>
      </w:r>
      <w:r w:rsidR="00CB0219" w:rsidRPr="006F1170">
        <w:rPr>
          <w:rFonts w:eastAsia="SimSun"/>
          <w:szCs w:val="28"/>
          <w:lang w:val="sk-SK"/>
        </w:rPr>
        <w:t>)</w:t>
      </w:r>
      <w:bookmarkEnd w:id="50"/>
    </w:p>
    <w:p w14:paraId="773D7C3C" w14:textId="77777777" w:rsidR="00CB0219" w:rsidRPr="005B4CEB" w:rsidRDefault="00CB0219" w:rsidP="005B072A">
      <w:pPr>
        <w:jc w:val="both"/>
        <w:rPr>
          <w:color w:val="000000"/>
          <w:szCs w:val="24"/>
        </w:rPr>
      </w:pPr>
    </w:p>
    <w:p w14:paraId="73E01953" w14:textId="40C80D5F" w:rsidR="005B4CEB" w:rsidRDefault="00153C16" w:rsidP="003C1A66">
      <w:pPr>
        <w:autoSpaceDE w:val="0"/>
        <w:autoSpaceDN w:val="0"/>
        <w:adjustRightInd w:val="0"/>
        <w:jc w:val="both"/>
        <w:rPr>
          <w:color w:val="000000"/>
          <w:szCs w:val="24"/>
        </w:rPr>
      </w:pPr>
      <w:r w:rsidRPr="005B4CEB">
        <w:rPr>
          <w:color w:val="000000"/>
          <w:szCs w:val="24"/>
        </w:rPr>
        <w:t xml:space="preserve">Fyzickú ochranu tvorí súbor technických, režimových alebo organizačných opatrení potrebných na zabránenie a zaistenie neoprávnených činností s </w:t>
      </w:r>
      <w:r w:rsidR="00513E5F">
        <w:rPr>
          <w:color w:val="000000"/>
          <w:szCs w:val="24"/>
        </w:rPr>
        <w:t>JZ</w:t>
      </w:r>
      <w:r w:rsidRPr="005B4CEB">
        <w:rPr>
          <w:color w:val="000000"/>
          <w:szCs w:val="24"/>
        </w:rPr>
        <w:t xml:space="preserve">, </w:t>
      </w:r>
      <w:r w:rsidR="00513E5F">
        <w:rPr>
          <w:color w:val="000000"/>
          <w:szCs w:val="24"/>
        </w:rPr>
        <w:t>JM</w:t>
      </w:r>
      <w:r w:rsidRPr="005B4CEB">
        <w:rPr>
          <w:color w:val="000000"/>
          <w:szCs w:val="24"/>
        </w:rPr>
        <w:t xml:space="preserve">, špeciálnymi materiálmi </w:t>
      </w:r>
      <w:r w:rsidRPr="005B4CEB">
        <w:rPr>
          <w:color w:val="000000"/>
          <w:szCs w:val="24"/>
        </w:rPr>
        <w:lastRenderedPageBreak/>
        <w:t xml:space="preserve">a zariadeniami, pri nakladaní s </w:t>
      </w:r>
      <w:r w:rsidR="00FB5E72">
        <w:rPr>
          <w:color w:val="000000"/>
          <w:szCs w:val="24"/>
        </w:rPr>
        <w:t>RAO</w:t>
      </w:r>
      <w:r w:rsidRPr="005B4CEB">
        <w:rPr>
          <w:color w:val="000000"/>
          <w:szCs w:val="24"/>
        </w:rPr>
        <w:t xml:space="preserve">, </w:t>
      </w:r>
      <w:r w:rsidR="00FB5E72">
        <w:rPr>
          <w:color w:val="000000"/>
          <w:szCs w:val="24"/>
        </w:rPr>
        <w:t>VJP</w:t>
      </w:r>
      <w:r w:rsidRPr="005B4CEB">
        <w:rPr>
          <w:color w:val="000000"/>
          <w:szCs w:val="24"/>
        </w:rPr>
        <w:t xml:space="preserve">, pri preprave </w:t>
      </w:r>
      <w:r w:rsidR="00FB5E72">
        <w:rPr>
          <w:color w:val="000000"/>
          <w:szCs w:val="24"/>
        </w:rPr>
        <w:t>RAM</w:t>
      </w:r>
      <w:r w:rsidRPr="005B4CEB">
        <w:rPr>
          <w:color w:val="000000"/>
          <w:szCs w:val="24"/>
        </w:rPr>
        <w:t xml:space="preserve">, ako aj neoprávneného vniknutia do </w:t>
      </w:r>
      <w:r w:rsidR="00513E5F">
        <w:rPr>
          <w:color w:val="000000"/>
          <w:szCs w:val="24"/>
        </w:rPr>
        <w:t>JZ</w:t>
      </w:r>
      <w:r w:rsidRPr="005B4CEB">
        <w:rPr>
          <w:color w:val="000000"/>
          <w:szCs w:val="24"/>
        </w:rPr>
        <w:t xml:space="preserve"> a vykonanie sabotáže.</w:t>
      </w:r>
      <w:r w:rsidR="005B4CEB">
        <w:rPr>
          <w:color w:val="000000"/>
          <w:szCs w:val="24"/>
        </w:rPr>
        <w:t xml:space="preserve"> </w:t>
      </w:r>
    </w:p>
    <w:p w14:paraId="2B46DFB9" w14:textId="404F480A" w:rsidR="00153C16" w:rsidRPr="005B4CEB" w:rsidRDefault="00153C16" w:rsidP="003C1A66">
      <w:pPr>
        <w:autoSpaceDE w:val="0"/>
        <w:autoSpaceDN w:val="0"/>
        <w:adjustRightInd w:val="0"/>
        <w:jc w:val="both"/>
        <w:rPr>
          <w:color w:val="000000"/>
          <w:szCs w:val="24"/>
        </w:rPr>
      </w:pPr>
      <w:r w:rsidRPr="005B4CEB">
        <w:rPr>
          <w:color w:val="000000"/>
          <w:szCs w:val="24"/>
        </w:rPr>
        <w:t xml:space="preserve">Záväzky SR v oblasti fyzickej ochrany </w:t>
      </w:r>
      <w:r w:rsidR="007362E3">
        <w:rPr>
          <w:color w:val="000000"/>
          <w:szCs w:val="24"/>
        </w:rPr>
        <w:t xml:space="preserve">JM </w:t>
      </w:r>
      <w:r w:rsidRPr="005B4CEB">
        <w:rPr>
          <w:color w:val="000000"/>
          <w:szCs w:val="24"/>
        </w:rPr>
        <w:t xml:space="preserve">vyplývajú z pristúpenia k Dohovoru o fyzickej ochrane </w:t>
      </w:r>
      <w:r w:rsidR="007362E3">
        <w:rPr>
          <w:color w:val="000000"/>
          <w:szCs w:val="24"/>
        </w:rPr>
        <w:t>JM</w:t>
      </w:r>
      <w:r w:rsidRPr="005B4CEB">
        <w:rPr>
          <w:color w:val="000000"/>
          <w:szCs w:val="24"/>
        </w:rPr>
        <w:t xml:space="preserve"> (</w:t>
      </w:r>
      <w:proofErr w:type="spellStart"/>
      <w:r w:rsidRPr="005B4CEB">
        <w:rPr>
          <w:color w:val="000000"/>
          <w:szCs w:val="24"/>
        </w:rPr>
        <w:t>The</w:t>
      </w:r>
      <w:proofErr w:type="spellEnd"/>
      <w:r w:rsidRPr="005B4CEB">
        <w:rPr>
          <w:color w:val="000000"/>
          <w:szCs w:val="24"/>
        </w:rPr>
        <w:t xml:space="preserve"> </w:t>
      </w:r>
      <w:proofErr w:type="spellStart"/>
      <w:r w:rsidRPr="005B4CEB">
        <w:rPr>
          <w:color w:val="000000"/>
          <w:szCs w:val="24"/>
        </w:rPr>
        <w:t>Convection</w:t>
      </w:r>
      <w:proofErr w:type="spellEnd"/>
      <w:r w:rsidRPr="005B4CEB">
        <w:rPr>
          <w:color w:val="000000"/>
          <w:szCs w:val="24"/>
        </w:rPr>
        <w:t xml:space="preserve"> on </w:t>
      </w:r>
      <w:proofErr w:type="spellStart"/>
      <w:r w:rsidRPr="005B4CEB">
        <w:rPr>
          <w:color w:val="000000"/>
          <w:szCs w:val="24"/>
        </w:rPr>
        <w:t>the</w:t>
      </w:r>
      <w:proofErr w:type="spellEnd"/>
      <w:r w:rsidRPr="005B4CEB">
        <w:rPr>
          <w:color w:val="000000"/>
          <w:szCs w:val="24"/>
        </w:rPr>
        <w:t xml:space="preserve"> </w:t>
      </w:r>
      <w:proofErr w:type="spellStart"/>
      <w:r w:rsidRPr="005B4CEB">
        <w:rPr>
          <w:color w:val="000000"/>
          <w:szCs w:val="24"/>
        </w:rPr>
        <w:t>Physical</w:t>
      </w:r>
      <w:proofErr w:type="spellEnd"/>
      <w:r w:rsidRPr="005B4CEB">
        <w:rPr>
          <w:color w:val="000000"/>
          <w:szCs w:val="24"/>
        </w:rPr>
        <w:t xml:space="preserve"> </w:t>
      </w:r>
      <w:proofErr w:type="spellStart"/>
      <w:r w:rsidRPr="005B4CEB">
        <w:rPr>
          <w:color w:val="000000"/>
          <w:szCs w:val="24"/>
        </w:rPr>
        <w:t>Protection</w:t>
      </w:r>
      <w:proofErr w:type="spellEnd"/>
      <w:r w:rsidRPr="005B4CEB">
        <w:rPr>
          <w:color w:val="000000"/>
          <w:szCs w:val="24"/>
        </w:rPr>
        <w:t xml:space="preserve"> of </w:t>
      </w:r>
      <w:proofErr w:type="spellStart"/>
      <w:r w:rsidRPr="005B4CEB">
        <w:rPr>
          <w:color w:val="000000"/>
          <w:szCs w:val="24"/>
        </w:rPr>
        <w:t>Nuclear</w:t>
      </w:r>
      <w:proofErr w:type="spellEnd"/>
      <w:r w:rsidRPr="005B4CEB">
        <w:rPr>
          <w:color w:val="000000"/>
          <w:szCs w:val="24"/>
        </w:rPr>
        <w:t xml:space="preserve"> </w:t>
      </w:r>
      <w:proofErr w:type="spellStart"/>
      <w:r w:rsidRPr="005B4CEB">
        <w:rPr>
          <w:color w:val="000000"/>
          <w:szCs w:val="24"/>
        </w:rPr>
        <w:t>Material</w:t>
      </w:r>
      <w:proofErr w:type="spellEnd"/>
      <w:r w:rsidRPr="005B4CEB">
        <w:rPr>
          <w:color w:val="000000"/>
          <w:szCs w:val="24"/>
        </w:rPr>
        <w:t xml:space="preserve"> – INFCIRC 274/rev.1), ktorý bol podpísaný vládou Československej socialistickej republiky dňa 8. </w:t>
      </w:r>
      <w:r w:rsidR="005B4CEB">
        <w:rPr>
          <w:color w:val="000000"/>
          <w:szCs w:val="24"/>
        </w:rPr>
        <w:t>2.</w:t>
      </w:r>
      <w:r w:rsidRPr="005B4CEB">
        <w:rPr>
          <w:color w:val="000000"/>
          <w:szCs w:val="24"/>
        </w:rPr>
        <w:t xml:space="preserve"> 1987. </w:t>
      </w:r>
    </w:p>
    <w:p w14:paraId="590193CC" w14:textId="38F2689A" w:rsidR="00153C16" w:rsidRPr="003C1A66" w:rsidRDefault="00153C16" w:rsidP="003C1A66">
      <w:pPr>
        <w:autoSpaceDE w:val="0"/>
        <w:autoSpaceDN w:val="0"/>
        <w:adjustRightInd w:val="0"/>
        <w:jc w:val="both"/>
        <w:rPr>
          <w:color w:val="000000"/>
          <w:szCs w:val="24"/>
        </w:rPr>
      </w:pPr>
      <w:r w:rsidRPr="005B4CEB">
        <w:rPr>
          <w:color w:val="000000"/>
          <w:szCs w:val="24"/>
        </w:rPr>
        <w:t>8.</w:t>
      </w:r>
      <w:r w:rsidR="005B4CEB">
        <w:rPr>
          <w:color w:val="000000"/>
          <w:szCs w:val="24"/>
        </w:rPr>
        <w:t> 7. </w:t>
      </w:r>
      <w:r w:rsidRPr="005B4CEB">
        <w:rPr>
          <w:color w:val="000000"/>
          <w:szCs w:val="24"/>
        </w:rPr>
        <w:t>2005 bol vo Viedni prijatý Dodatok k Dohovoru o fyzickej ochrane jadrových materiálov. N</w:t>
      </w:r>
      <w:r w:rsidR="005B4CEB">
        <w:rPr>
          <w:color w:val="000000"/>
          <w:szCs w:val="24"/>
        </w:rPr>
        <w:t>R SR</w:t>
      </w:r>
      <w:r w:rsidRPr="005B4CEB">
        <w:rPr>
          <w:color w:val="000000"/>
          <w:szCs w:val="24"/>
        </w:rPr>
        <w:t xml:space="preserve"> vyslovila súhlas s dodatkom uznesením č. 522</w:t>
      </w:r>
      <w:r w:rsidR="00CE1760" w:rsidRPr="005B4CEB">
        <w:rPr>
          <w:color w:val="000000"/>
          <w:szCs w:val="24"/>
        </w:rPr>
        <w:t xml:space="preserve"> </w:t>
      </w:r>
      <w:r w:rsidRPr="005B4CEB">
        <w:rPr>
          <w:color w:val="000000"/>
          <w:szCs w:val="24"/>
        </w:rPr>
        <w:t>z 19.</w:t>
      </w:r>
      <w:r w:rsidR="008103AD" w:rsidRPr="005B4CEB">
        <w:rPr>
          <w:color w:val="000000"/>
          <w:szCs w:val="24"/>
        </w:rPr>
        <w:t> 9. </w:t>
      </w:r>
      <w:r w:rsidRPr="005B4CEB">
        <w:rPr>
          <w:color w:val="000000"/>
          <w:szCs w:val="24"/>
        </w:rPr>
        <w:t>2007. Prezident S</w:t>
      </w:r>
      <w:r w:rsidR="00DF49C6">
        <w:rPr>
          <w:color w:val="000000"/>
          <w:szCs w:val="24"/>
        </w:rPr>
        <w:t>R</w:t>
      </w:r>
      <w:r w:rsidRPr="005B4CEB">
        <w:rPr>
          <w:color w:val="000000"/>
          <w:szCs w:val="24"/>
        </w:rPr>
        <w:t xml:space="preserve"> ratifikoval dodatok 19.</w:t>
      </w:r>
      <w:r w:rsidR="008103AD" w:rsidRPr="005B4CEB">
        <w:rPr>
          <w:color w:val="000000"/>
          <w:szCs w:val="24"/>
        </w:rPr>
        <w:t> 10. </w:t>
      </w:r>
      <w:r w:rsidRPr="005B4CEB">
        <w:rPr>
          <w:color w:val="000000"/>
          <w:szCs w:val="24"/>
        </w:rPr>
        <w:t>2007. Ratifikačná listina bola 7.</w:t>
      </w:r>
      <w:r w:rsidR="005B4CEB">
        <w:rPr>
          <w:color w:val="000000"/>
          <w:szCs w:val="24"/>
        </w:rPr>
        <w:t> 7. </w:t>
      </w:r>
      <w:r w:rsidRPr="005B4CEB">
        <w:rPr>
          <w:color w:val="000000"/>
          <w:szCs w:val="24"/>
        </w:rPr>
        <w:t>2013 uložená u depozitára, ktorým je generálny riaditeľ M</w:t>
      </w:r>
      <w:r w:rsidR="005B4CEB">
        <w:rPr>
          <w:color w:val="000000"/>
          <w:szCs w:val="24"/>
        </w:rPr>
        <w:t>AAE</w:t>
      </w:r>
      <w:r w:rsidRPr="003C1A66">
        <w:rPr>
          <w:color w:val="000000"/>
          <w:szCs w:val="24"/>
        </w:rPr>
        <w:t>. Dodatok k dohovoru nadobudol platnosť 8.</w:t>
      </w:r>
      <w:r w:rsidR="008103AD" w:rsidRPr="003C1A66">
        <w:rPr>
          <w:color w:val="000000"/>
          <w:szCs w:val="24"/>
        </w:rPr>
        <w:t> 5. </w:t>
      </w:r>
      <w:r w:rsidRPr="003C1A66">
        <w:rPr>
          <w:color w:val="000000"/>
          <w:szCs w:val="24"/>
        </w:rPr>
        <w:t xml:space="preserve">2016. </w:t>
      </w:r>
    </w:p>
    <w:p w14:paraId="2C8FDFEA" w14:textId="5DAF8ADD" w:rsidR="00153C16" w:rsidRPr="003C1A66" w:rsidRDefault="00153C16" w:rsidP="003C1A66">
      <w:pPr>
        <w:autoSpaceDE w:val="0"/>
        <w:autoSpaceDN w:val="0"/>
        <w:adjustRightInd w:val="0"/>
        <w:jc w:val="both"/>
        <w:rPr>
          <w:color w:val="000000"/>
          <w:szCs w:val="24"/>
        </w:rPr>
      </w:pPr>
      <w:r w:rsidRPr="003C1A66">
        <w:rPr>
          <w:color w:val="000000"/>
          <w:szCs w:val="24"/>
        </w:rPr>
        <w:t>Podľa Dodatku k Dohovoru o fyzickej ochrane jadrových materiálov je jeden zo základných princípov Princíp G: „Hrozba“. V tomto princípe je uvedené, že „Fyzická ochrana zo strany štátu by mala vychádzať zo štátom aktuálneho posúdenia hrozby“. Uznesením vlády SR č.</w:t>
      </w:r>
      <w:r w:rsidR="00CF092A" w:rsidRPr="003C1A66">
        <w:rPr>
          <w:color w:val="000000"/>
          <w:szCs w:val="24"/>
        </w:rPr>
        <w:t> </w:t>
      </w:r>
      <w:r w:rsidRPr="003C1A66">
        <w:rPr>
          <w:color w:val="000000"/>
          <w:szCs w:val="24"/>
        </w:rPr>
        <w:t xml:space="preserve">229/2009 bol schválený materiál „Návrh na určenie hrozby jadrovým zariadením a pre jadrové zariadenia a jadrové materiály v rámci projektového ohrozenia štátu“. Daný materiál je východiskovým podkladom pre určenie projektového ohrozenia pre JZ. Na základe uznesenia bola predsedníčkou úradu zriadená stála medzirezortná </w:t>
      </w:r>
      <w:r w:rsidR="008D6805">
        <w:rPr>
          <w:color w:val="000000"/>
          <w:szCs w:val="24"/>
        </w:rPr>
        <w:t>PS</w:t>
      </w:r>
      <w:r w:rsidRPr="003C1A66">
        <w:rPr>
          <w:color w:val="000000"/>
          <w:szCs w:val="24"/>
        </w:rPr>
        <w:t xml:space="preserve"> na aktualizáciu určenia hrozby jadrovým zariadením a pre </w:t>
      </w:r>
      <w:r w:rsidR="005B4CEB" w:rsidRPr="003C1A66">
        <w:rPr>
          <w:color w:val="000000"/>
          <w:szCs w:val="24"/>
        </w:rPr>
        <w:t>JZ a JM</w:t>
      </w:r>
      <w:r w:rsidRPr="003C1A66">
        <w:rPr>
          <w:color w:val="000000"/>
          <w:szCs w:val="24"/>
        </w:rPr>
        <w:t xml:space="preserve"> v rámci projektového ohrozenia štátu, ktorá aktívne pracovala aj v roku 2023. 12.</w:t>
      </w:r>
      <w:r w:rsidR="00C92D81" w:rsidRPr="003C1A66">
        <w:rPr>
          <w:color w:val="000000"/>
          <w:szCs w:val="24"/>
        </w:rPr>
        <w:t> </w:t>
      </w:r>
      <w:r w:rsidR="008103AD" w:rsidRPr="003C1A66">
        <w:rPr>
          <w:color w:val="000000"/>
          <w:szCs w:val="24"/>
        </w:rPr>
        <w:t>4.</w:t>
      </w:r>
      <w:r w:rsidR="00C92D81" w:rsidRPr="003C1A66">
        <w:rPr>
          <w:color w:val="000000"/>
          <w:szCs w:val="24"/>
        </w:rPr>
        <w:t> </w:t>
      </w:r>
      <w:r w:rsidRPr="003C1A66">
        <w:rPr>
          <w:color w:val="000000"/>
          <w:szCs w:val="24"/>
        </w:rPr>
        <w:t>2023 Bezpečnostná rada S</w:t>
      </w:r>
      <w:r w:rsidR="005B4CEB" w:rsidRPr="003C1A66">
        <w:rPr>
          <w:color w:val="000000"/>
          <w:szCs w:val="24"/>
        </w:rPr>
        <w:t>R</w:t>
      </w:r>
      <w:r w:rsidRPr="003C1A66">
        <w:rPr>
          <w:color w:val="000000"/>
          <w:szCs w:val="24"/>
        </w:rPr>
        <w:t xml:space="preserve"> prijala uznesenie č.</w:t>
      </w:r>
      <w:r w:rsidR="00CF092A" w:rsidRPr="003C1A66">
        <w:rPr>
          <w:color w:val="000000"/>
          <w:szCs w:val="24"/>
        </w:rPr>
        <w:t> </w:t>
      </w:r>
      <w:r w:rsidRPr="003C1A66">
        <w:rPr>
          <w:color w:val="000000"/>
          <w:szCs w:val="24"/>
        </w:rPr>
        <w:t>819, ktorým vzala na vedomie aktualizáciu materiálu „Určenie hrozby jadrovým zariadením a pre jadrové zariadenia a jadrové materiály v rámci projektového ohrozenia štátu“. Skupina sa okrem aktualizácie predmetného materiálu zaoberala prehodnocovaním hrozby v súvislosti so zabezpečením fyzickej ochrany, kybernetickej bezpečnosti, operatívne riešenie situácií vyplývajúcich z udalostí či už v S</w:t>
      </w:r>
      <w:r w:rsidR="005B4CEB" w:rsidRPr="003C1A66">
        <w:rPr>
          <w:color w:val="000000"/>
          <w:szCs w:val="24"/>
        </w:rPr>
        <w:t>R</w:t>
      </w:r>
      <w:r w:rsidRPr="003C1A66">
        <w:rPr>
          <w:color w:val="000000"/>
          <w:szCs w:val="24"/>
        </w:rPr>
        <w:t xml:space="preserve"> alebo zahraničí, ktoré majú vplyv na fyzickú ochranu </w:t>
      </w:r>
      <w:r w:rsidR="005B4CEB" w:rsidRPr="003C1A66">
        <w:rPr>
          <w:color w:val="000000"/>
          <w:szCs w:val="24"/>
        </w:rPr>
        <w:t>JM a JZ</w:t>
      </w:r>
      <w:r w:rsidRPr="003C1A66">
        <w:rPr>
          <w:color w:val="000000"/>
          <w:szCs w:val="24"/>
        </w:rPr>
        <w:t xml:space="preserve">. </w:t>
      </w:r>
    </w:p>
    <w:p w14:paraId="296123C1" w14:textId="1E6452E9" w:rsidR="00153C16" w:rsidRPr="003C1A66" w:rsidRDefault="00153C16" w:rsidP="003C1A66">
      <w:pPr>
        <w:autoSpaceDE w:val="0"/>
        <w:autoSpaceDN w:val="0"/>
        <w:adjustRightInd w:val="0"/>
        <w:jc w:val="both"/>
        <w:rPr>
          <w:color w:val="000000"/>
          <w:szCs w:val="24"/>
        </w:rPr>
      </w:pPr>
      <w:r w:rsidRPr="003C1A66">
        <w:rPr>
          <w:color w:val="000000"/>
          <w:szCs w:val="24"/>
        </w:rPr>
        <w:t xml:space="preserve">Požiadavky kladené na fyzickú ochranu </w:t>
      </w:r>
      <w:r w:rsidR="007362E3" w:rsidRPr="003C1A66">
        <w:rPr>
          <w:color w:val="000000"/>
          <w:szCs w:val="24"/>
        </w:rPr>
        <w:t>JM</w:t>
      </w:r>
      <w:r w:rsidRPr="003C1A66">
        <w:rPr>
          <w:color w:val="000000"/>
          <w:szCs w:val="24"/>
        </w:rPr>
        <w:t xml:space="preserve"> a </w:t>
      </w:r>
      <w:r w:rsidR="007362E3" w:rsidRPr="003C1A66">
        <w:rPr>
          <w:color w:val="000000"/>
          <w:szCs w:val="24"/>
        </w:rPr>
        <w:t>JZ</w:t>
      </w:r>
      <w:r w:rsidRPr="003C1A66">
        <w:rPr>
          <w:color w:val="000000"/>
          <w:szCs w:val="24"/>
        </w:rPr>
        <w:t xml:space="preserve"> pre SR sú definované v atómovom zákone, vo vyhláške ÚJD SR č. 51/2006 Z. z., ktorou sa ustanovujú podrobnosti o požiadavkách na zabezpečenie fyzickej ochrany a požiadavky kladené na fyzickú ochranu pri prepravách </w:t>
      </w:r>
      <w:r w:rsidR="00581AF3" w:rsidRPr="003C1A66">
        <w:rPr>
          <w:color w:val="000000"/>
          <w:szCs w:val="24"/>
        </w:rPr>
        <w:t>RAM</w:t>
      </w:r>
      <w:r w:rsidRPr="003C1A66">
        <w:rPr>
          <w:color w:val="000000"/>
          <w:szCs w:val="24"/>
        </w:rPr>
        <w:t xml:space="preserve"> vo vyhláške ÚJD SR č. 57/2006 Z. z., ktorou sa ustanovujú podrobnosti o požiadavkách pri preprave </w:t>
      </w:r>
      <w:r w:rsidR="007362E3" w:rsidRPr="003C1A66">
        <w:rPr>
          <w:color w:val="000000"/>
          <w:szCs w:val="24"/>
        </w:rPr>
        <w:t>RAM</w:t>
      </w:r>
      <w:r w:rsidRPr="003C1A66">
        <w:rPr>
          <w:color w:val="000000"/>
          <w:szCs w:val="24"/>
        </w:rPr>
        <w:t xml:space="preserve"> v znení vyhlášky ÚJD SR č. 105/2016 Z. z. </w:t>
      </w:r>
    </w:p>
    <w:p w14:paraId="7A30D6EB" w14:textId="3B0F60FB" w:rsidR="00153C16" w:rsidRPr="003C1A66" w:rsidRDefault="00153C16" w:rsidP="003C1A66">
      <w:pPr>
        <w:autoSpaceDE w:val="0"/>
        <w:autoSpaceDN w:val="0"/>
        <w:adjustRightInd w:val="0"/>
        <w:jc w:val="both"/>
        <w:rPr>
          <w:color w:val="000000"/>
          <w:szCs w:val="24"/>
        </w:rPr>
      </w:pPr>
      <w:r w:rsidRPr="003C1A66">
        <w:rPr>
          <w:color w:val="000000"/>
          <w:szCs w:val="24"/>
        </w:rPr>
        <w:t>Dozornú činnosť v tejto oblasti ÚJD SR sústredil na kontrolu prevádzky technických systémov fyzickej ochrany, režimovej ochrany v EBO, EMO, JAVYS a MO34</w:t>
      </w:r>
      <w:r w:rsidR="00CF092A" w:rsidRPr="003C1A66">
        <w:rPr>
          <w:color w:val="000000"/>
          <w:szCs w:val="24"/>
        </w:rPr>
        <w:t xml:space="preserve"> </w:t>
      </w:r>
      <w:r w:rsidRPr="003C1A66">
        <w:rPr>
          <w:color w:val="000000"/>
          <w:szCs w:val="24"/>
        </w:rPr>
        <w:t xml:space="preserve">ako aj kontrolu zabezpečenia fyzickej ochrany pri prepravách </w:t>
      </w:r>
      <w:r w:rsidR="00380089" w:rsidRPr="003C1A66">
        <w:rPr>
          <w:color w:val="000000"/>
          <w:szCs w:val="24"/>
        </w:rPr>
        <w:t>ČJP</w:t>
      </w:r>
      <w:r w:rsidR="00CF092A" w:rsidRPr="003C1A66">
        <w:rPr>
          <w:color w:val="000000"/>
          <w:szCs w:val="24"/>
        </w:rPr>
        <w:t xml:space="preserve"> </w:t>
      </w:r>
      <w:r w:rsidRPr="003C1A66">
        <w:rPr>
          <w:color w:val="000000"/>
          <w:szCs w:val="24"/>
        </w:rPr>
        <w:t xml:space="preserve">a </w:t>
      </w:r>
      <w:r w:rsidR="00380089" w:rsidRPr="003C1A66">
        <w:rPr>
          <w:color w:val="000000"/>
          <w:szCs w:val="24"/>
        </w:rPr>
        <w:t>VJP</w:t>
      </w:r>
      <w:r w:rsidRPr="003C1A66">
        <w:rPr>
          <w:color w:val="000000"/>
          <w:szCs w:val="24"/>
        </w:rPr>
        <w:t>.</w:t>
      </w:r>
    </w:p>
    <w:p w14:paraId="3EB1EAC9" w14:textId="561A31AC" w:rsidR="00153C16" w:rsidRPr="003C1A66" w:rsidRDefault="00153C16" w:rsidP="003C1A66">
      <w:pPr>
        <w:autoSpaceDE w:val="0"/>
        <w:autoSpaceDN w:val="0"/>
        <w:adjustRightInd w:val="0"/>
        <w:jc w:val="both"/>
        <w:rPr>
          <w:color w:val="000000"/>
          <w:szCs w:val="24"/>
        </w:rPr>
      </w:pPr>
      <w:r w:rsidRPr="003C1A66">
        <w:rPr>
          <w:color w:val="000000"/>
          <w:szCs w:val="24"/>
        </w:rPr>
        <w:t>Fyzická ochrana v EBO bola zabezpečená v súlade so schváleným plánom fyzickej ochrany EBO a jeho úradom schválenými zmenami.</w:t>
      </w:r>
    </w:p>
    <w:p w14:paraId="01F033E9" w14:textId="66A6C70E" w:rsidR="00153C16" w:rsidRPr="003C1A66" w:rsidRDefault="00153C16" w:rsidP="003C1A66">
      <w:pPr>
        <w:autoSpaceDE w:val="0"/>
        <w:autoSpaceDN w:val="0"/>
        <w:adjustRightInd w:val="0"/>
        <w:jc w:val="both"/>
        <w:rPr>
          <w:color w:val="000000"/>
          <w:szCs w:val="24"/>
        </w:rPr>
      </w:pPr>
      <w:r w:rsidRPr="003C1A66">
        <w:rPr>
          <w:color w:val="000000"/>
          <w:szCs w:val="24"/>
        </w:rPr>
        <w:t xml:space="preserve">Fyzická ochrana v JAVYS, a. s. bola zabezpečená v súlade so schválenými plánmi fyzickej ochrany pre </w:t>
      </w:r>
      <w:r w:rsidR="00123458" w:rsidRPr="003C1A66">
        <w:rPr>
          <w:color w:val="000000"/>
          <w:szCs w:val="24"/>
        </w:rPr>
        <w:t>JZ</w:t>
      </w:r>
      <w:r w:rsidRPr="003C1A66">
        <w:rPr>
          <w:color w:val="000000"/>
          <w:szCs w:val="24"/>
        </w:rPr>
        <w:t xml:space="preserve"> v lokalite JAVYS, a. s., lokalita Jaslovské Bohunice. Zabezpečenie fyzickej ochrany v lokalite RÚ R</w:t>
      </w:r>
      <w:r w:rsidR="00C92D81" w:rsidRPr="003C1A66">
        <w:rPr>
          <w:color w:val="000000"/>
          <w:szCs w:val="24"/>
        </w:rPr>
        <w:t>A</w:t>
      </w:r>
      <w:r w:rsidRPr="003C1A66">
        <w:rPr>
          <w:color w:val="000000"/>
          <w:szCs w:val="24"/>
        </w:rPr>
        <w:t xml:space="preserve">O bolo aj v roku 2023 v súlade so schválenými dokumentmi „Plán fyzickej ochrany JAVYS, a. s. pre RÚ RAO Mochovce“, vydanie č. 3 a jeho dodatkom. Úrad v roku 2023 posúdil a schválil viacero zmien plánov fyzickej ochrany JAVYS, a. s. v lokalite Jaslovské Bohunice v súvislosti s dobudovaním skladovacích kapacít </w:t>
      </w:r>
      <w:r w:rsidR="00FB5E72" w:rsidRPr="003C1A66">
        <w:rPr>
          <w:color w:val="000000"/>
          <w:szCs w:val="24"/>
        </w:rPr>
        <w:t>VJP</w:t>
      </w:r>
      <w:r w:rsidRPr="003C1A66">
        <w:rPr>
          <w:color w:val="000000"/>
          <w:szCs w:val="24"/>
        </w:rPr>
        <w:t xml:space="preserve"> - časť fyzická ochrana. Inšpekčná činnosť v roku 2023 bola okrem iného zameraná hlavne na overenie pripravenosti technických, režimových a organizačných opatrení zabezpečenia fyzickej ochrany dobudovania skladovacích kapacít MSVP.</w:t>
      </w:r>
    </w:p>
    <w:p w14:paraId="761F1BC7" w14:textId="730F756F" w:rsidR="00153C16" w:rsidRPr="003C1A66" w:rsidRDefault="00153C16" w:rsidP="003C1A66">
      <w:pPr>
        <w:autoSpaceDE w:val="0"/>
        <w:autoSpaceDN w:val="0"/>
        <w:adjustRightInd w:val="0"/>
        <w:jc w:val="both"/>
        <w:rPr>
          <w:color w:val="000000"/>
          <w:szCs w:val="24"/>
        </w:rPr>
      </w:pPr>
      <w:r w:rsidRPr="003C1A66">
        <w:rPr>
          <w:color w:val="000000"/>
          <w:szCs w:val="24"/>
        </w:rPr>
        <w:t>Zabezpečenie fyzickej ochrany v lokalite EMO a MO34 bolo v súlade so schválenými plánmi fyzickej ochrany EMO a MO 34 a ich doterajšími úradom schválenými zmenami. Zároveň úrad posúdil a schválil „Plán fyzickej ochrany MO34“, vydanie 2, revízia 0“, ktorý bol predložený v súvislosti so žiadosťou spoločnosti S</w:t>
      </w:r>
      <w:r w:rsidR="00C92D81" w:rsidRPr="003C1A66">
        <w:rPr>
          <w:color w:val="000000"/>
          <w:szCs w:val="24"/>
        </w:rPr>
        <w:t>E</w:t>
      </w:r>
      <w:r w:rsidRPr="003C1A66">
        <w:rPr>
          <w:color w:val="000000"/>
          <w:szCs w:val="24"/>
        </w:rPr>
        <w:t>, a. s. o vydanie povolenia na prevádzku 3. bloku JE Mochovce.</w:t>
      </w:r>
    </w:p>
    <w:p w14:paraId="2C49F882" w14:textId="2FBE06D8" w:rsidR="00153C16" w:rsidRPr="003C1A66" w:rsidRDefault="00153C16" w:rsidP="003C1A66">
      <w:pPr>
        <w:autoSpaceDE w:val="0"/>
        <w:autoSpaceDN w:val="0"/>
        <w:adjustRightInd w:val="0"/>
        <w:jc w:val="both"/>
        <w:rPr>
          <w:color w:val="000000"/>
          <w:szCs w:val="24"/>
        </w:rPr>
      </w:pPr>
      <w:r w:rsidRPr="003C1A66">
        <w:rPr>
          <w:color w:val="000000"/>
          <w:szCs w:val="24"/>
        </w:rPr>
        <w:lastRenderedPageBreak/>
        <w:t xml:space="preserve">Ďalej úrad posúdil a schválil plány zabezpečenia fyzickej ochrany pre prepravy </w:t>
      </w:r>
      <w:r w:rsidR="007362E3" w:rsidRPr="003C1A66">
        <w:rPr>
          <w:color w:val="000000"/>
          <w:szCs w:val="24"/>
        </w:rPr>
        <w:t>RAM</w:t>
      </w:r>
      <w:r w:rsidRPr="003C1A66">
        <w:rPr>
          <w:color w:val="000000"/>
          <w:szCs w:val="24"/>
        </w:rPr>
        <w:t xml:space="preserve"> - prepravy </w:t>
      </w:r>
      <w:r w:rsidR="00380089" w:rsidRPr="003C1A66">
        <w:rPr>
          <w:color w:val="000000"/>
          <w:szCs w:val="24"/>
        </w:rPr>
        <w:t>ČJP</w:t>
      </w:r>
      <w:r w:rsidRPr="003C1A66">
        <w:rPr>
          <w:color w:val="000000"/>
          <w:szCs w:val="24"/>
        </w:rPr>
        <w:t xml:space="preserve"> na území S</w:t>
      </w:r>
      <w:r w:rsidR="00DF49C6" w:rsidRPr="003C1A66">
        <w:rPr>
          <w:color w:val="000000"/>
          <w:szCs w:val="24"/>
        </w:rPr>
        <w:t>R</w:t>
      </w:r>
      <w:r w:rsidRPr="003C1A66">
        <w:rPr>
          <w:color w:val="000000"/>
          <w:szCs w:val="24"/>
        </w:rPr>
        <w:t xml:space="preserve"> a pre prepravu </w:t>
      </w:r>
      <w:r w:rsidR="00380089" w:rsidRPr="003C1A66">
        <w:rPr>
          <w:color w:val="000000"/>
          <w:szCs w:val="24"/>
        </w:rPr>
        <w:t>VJP</w:t>
      </w:r>
      <w:r w:rsidRPr="003C1A66">
        <w:rPr>
          <w:color w:val="000000"/>
          <w:szCs w:val="24"/>
        </w:rPr>
        <w:t xml:space="preserve"> z EMO do MSVP, ktorá sa uskutočnila v júni 2023. </w:t>
      </w:r>
    </w:p>
    <w:p w14:paraId="2D2A9041" w14:textId="769259D2" w:rsidR="00153C16" w:rsidRPr="003C1A66" w:rsidRDefault="00153C16" w:rsidP="003C1A66">
      <w:pPr>
        <w:autoSpaceDE w:val="0"/>
        <w:autoSpaceDN w:val="0"/>
        <w:adjustRightInd w:val="0"/>
        <w:jc w:val="both"/>
        <w:rPr>
          <w:color w:val="000000"/>
          <w:szCs w:val="24"/>
        </w:rPr>
      </w:pPr>
      <w:r w:rsidRPr="003C1A66">
        <w:rPr>
          <w:color w:val="000000"/>
          <w:szCs w:val="24"/>
        </w:rPr>
        <w:t xml:space="preserve">Na lokalitách sa za účasti zástupcov úradu vykonávali cvičenia zložiek fyzickej ochrany, ktorými bola preverovaná efektívnosť systému fyzickej ochrany. Cvičenia boli zamerané na reakciu a koordináciu činností všetkých zložiek fyzickej ochrany na vzniknutú situáciu. Bola preverená pripravenosť cvičiaceho personálu držiteľa povolenia, obsluhy riadiacich centier fyzickej ochrany, zložiek fyzickej ochrany - súkromných bezpečnostných služieb a polície SR reagovať na zvládnutie simulovanej situácie ako i preverenie systému spojenia a komunikácie medzi jednotlivými zložkami fyzickej ochrany. </w:t>
      </w:r>
    </w:p>
    <w:p w14:paraId="1CA69F47" w14:textId="002F2180" w:rsidR="00153C16" w:rsidRPr="003C1A66" w:rsidRDefault="00153C16" w:rsidP="003C1A66">
      <w:pPr>
        <w:autoSpaceDE w:val="0"/>
        <w:autoSpaceDN w:val="0"/>
        <w:adjustRightInd w:val="0"/>
        <w:jc w:val="both"/>
        <w:rPr>
          <w:color w:val="000000"/>
          <w:szCs w:val="24"/>
        </w:rPr>
      </w:pPr>
      <w:r w:rsidRPr="003C1A66">
        <w:rPr>
          <w:color w:val="000000"/>
          <w:szCs w:val="24"/>
        </w:rPr>
        <w:t>V priebehu rok</w:t>
      </w:r>
      <w:r w:rsidR="00112F3A">
        <w:rPr>
          <w:color w:val="000000"/>
          <w:szCs w:val="24"/>
        </w:rPr>
        <w:t>a</w:t>
      </w:r>
      <w:r w:rsidRPr="003C1A66">
        <w:rPr>
          <w:color w:val="000000"/>
          <w:szCs w:val="24"/>
        </w:rPr>
        <w:t xml:space="preserve"> 2023 vykonával ÚJD SR inšpekcie zamerané na fyzickú ochranu </w:t>
      </w:r>
      <w:r w:rsidR="00C92D81" w:rsidRPr="003C1A66">
        <w:rPr>
          <w:color w:val="000000"/>
          <w:szCs w:val="24"/>
        </w:rPr>
        <w:t>JZ a JM</w:t>
      </w:r>
      <w:r w:rsidRPr="003C1A66">
        <w:rPr>
          <w:color w:val="000000"/>
          <w:szCs w:val="24"/>
        </w:rPr>
        <w:t xml:space="preserve"> a na fyzickú ochranu pri prepravách </w:t>
      </w:r>
      <w:r w:rsidR="00C92D81" w:rsidRPr="003C1A66">
        <w:rPr>
          <w:color w:val="000000"/>
          <w:szCs w:val="24"/>
        </w:rPr>
        <w:t>ČJP</w:t>
      </w:r>
      <w:r w:rsidRPr="003C1A66">
        <w:rPr>
          <w:color w:val="000000"/>
          <w:szCs w:val="24"/>
        </w:rPr>
        <w:t xml:space="preserve"> a </w:t>
      </w:r>
      <w:r w:rsidR="00C92D81" w:rsidRPr="003C1A66">
        <w:rPr>
          <w:color w:val="000000"/>
          <w:szCs w:val="24"/>
        </w:rPr>
        <w:t>VJP</w:t>
      </w:r>
      <w:r w:rsidRPr="003C1A66">
        <w:rPr>
          <w:color w:val="000000"/>
          <w:szCs w:val="24"/>
        </w:rPr>
        <w:t>. Inšpekčná činnosť bola, v súlade s inšpekčným postupom</w:t>
      </w:r>
      <w:r w:rsidR="000831CA" w:rsidRPr="003C1A66">
        <w:rPr>
          <w:color w:val="000000"/>
          <w:szCs w:val="24"/>
        </w:rPr>
        <w:t xml:space="preserve"> </w:t>
      </w:r>
      <w:r w:rsidRPr="003C1A66">
        <w:rPr>
          <w:color w:val="000000"/>
          <w:szCs w:val="24"/>
        </w:rPr>
        <w:t xml:space="preserve">ÚJD SR, zameraná na zabezpečovanie režimovej ochrany, spôsob vykonávania kontroly vstupov a vjazdu vozidiel, porovnanie stavu technických prostriedkov systému fyzickej ochrany s platnou legislatívou a so stavom odsúhlaseným v dokumentácii pre jednotlivé </w:t>
      </w:r>
      <w:r w:rsidR="00123458" w:rsidRPr="003C1A66">
        <w:rPr>
          <w:color w:val="000000"/>
          <w:szCs w:val="24"/>
        </w:rPr>
        <w:t>JZ</w:t>
      </w:r>
      <w:r w:rsidRPr="003C1A66">
        <w:rPr>
          <w:color w:val="000000"/>
          <w:szCs w:val="24"/>
        </w:rPr>
        <w:t xml:space="preserve">. </w:t>
      </w:r>
    </w:p>
    <w:p w14:paraId="0C69BDFA" w14:textId="3D4C33DF" w:rsidR="00153C16" w:rsidRPr="003C1A66" w:rsidRDefault="00153C16" w:rsidP="003C1A66">
      <w:pPr>
        <w:autoSpaceDE w:val="0"/>
        <w:autoSpaceDN w:val="0"/>
        <w:adjustRightInd w:val="0"/>
        <w:jc w:val="both"/>
        <w:rPr>
          <w:color w:val="000000"/>
          <w:szCs w:val="24"/>
        </w:rPr>
      </w:pPr>
      <w:bookmarkStart w:id="51" w:name="_Hlk161141013"/>
      <w:r w:rsidRPr="003C1A66">
        <w:rPr>
          <w:color w:val="000000"/>
          <w:szCs w:val="24"/>
        </w:rPr>
        <w:t>V priebehu rok</w:t>
      </w:r>
      <w:r w:rsidR="00112F3A">
        <w:rPr>
          <w:color w:val="000000"/>
          <w:szCs w:val="24"/>
        </w:rPr>
        <w:t>a</w:t>
      </w:r>
      <w:r w:rsidRPr="003C1A66">
        <w:rPr>
          <w:color w:val="000000"/>
          <w:szCs w:val="24"/>
        </w:rPr>
        <w:t xml:space="preserve"> 2023 ÚJD SR vykonal 15 inšpekcií zameraných na fyzickú ochranu </w:t>
      </w:r>
      <w:r w:rsidR="007362E3" w:rsidRPr="003C1A66">
        <w:rPr>
          <w:color w:val="000000"/>
          <w:szCs w:val="24"/>
        </w:rPr>
        <w:t>JZ</w:t>
      </w:r>
      <w:r w:rsidRPr="003C1A66">
        <w:rPr>
          <w:color w:val="000000"/>
          <w:szCs w:val="24"/>
        </w:rPr>
        <w:t xml:space="preserve"> a</w:t>
      </w:r>
      <w:r w:rsidR="007362E3" w:rsidRPr="003C1A66">
        <w:rPr>
          <w:color w:val="000000"/>
          <w:szCs w:val="24"/>
        </w:rPr>
        <w:t xml:space="preserve"> JM</w:t>
      </w:r>
      <w:r w:rsidRPr="003C1A66">
        <w:rPr>
          <w:color w:val="000000"/>
          <w:szCs w:val="24"/>
        </w:rPr>
        <w:t xml:space="preserve"> a zároveň boli vykonané i inšpekcie zamerané na zabezpečenie fyzickej ochrany pri prepravách </w:t>
      </w:r>
      <w:r w:rsidR="007362E3" w:rsidRPr="003C1A66">
        <w:rPr>
          <w:color w:val="000000"/>
          <w:szCs w:val="24"/>
        </w:rPr>
        <w:t>RAM</w:t>
      </w:r>
      <w:r w:rsidRPr="003C1A66">
        <w:rPr>
          <w:color w:val="000000"/>
          <w:szCs w:val="24"/>
        </w:rPr>
        <w:t>.</w:t>
      </w:r>
    </w:p>
    <w:p w14:paraId="010CD843" w14:textId="38037C75" w:rsidR="00D412A9" w:rsidRPr="003C1A66" w:rsidRDefault="00153C16" w:rsidP="003C1A66">
      <w:pPr>
        <w:autoSpaceDE w:val="0"/>
        <w:autoSpaceDN w:val="0"/>
        <w:adjustRightInd w:val="0"/>
        <w:jc w:val="both"/>
        <w:rPr>
          <w:color w:val="000000"/>
          <w:szCs w:val="24"/>
        </w:rPr>
      </w:pPr>
      <w:bookmarkStart w:id="52" w:name="_Hlk161141179"/>
      <w:bookmarkEnd w:id="51"/>
      <w:r w:rsidRPr="003C1A66">
        <w:rPr>
          <w:color w:val="000000"/>
          <w:szCs w:val="24"/>
        </w:rPr>
        <w:t>V roku 2023 ÚJD SR vykonal aj 4 inšpekcie zamerané na kultúr</w:t>
      </w:r>
      <w:r w:rsidR="00501C2F">
        <w:rPr>
          <w:color w:val="000000"/>
          <w:szCs w:val="24"/>
        </w:rPr>
        <w:t>u</w:t>
      </w:r>
      <w:r w:rsidRPr="003C1A66">
        <w:rPr>
          <w:color w:val="000000"/>
          <w:szCs w:val="24"/>
        </w:rPr>
        <w:t xml:space="preserve"> jadrovej fyzickej bezpečnosti. </w:t>
      </w:r>
      <w:bookmarkEnd w:id="52"/>
      <w:r w:rsidRPr="003C1A66">
        <w:rPr>
          <w:color w:val="000000"/>
          <w:szCs w:val="24"/>
        </w:rPr>
        <w:t xml:space="preserve">Pojem kultúra jadrovej fyzickej bezpečnosti je jeden zo základných princípov uvedených v Dodatku k dohovoru o fyzickej ochrane </w:t>
      </w:r>
      <w:r w:rsidR="007362E3" w:rsidRPr="003C1A66">
        <w:rPr>
          <w:color w:val="000000"/>
          <w:szCs w:val="24"/>
        </w:rPr>
        <w:t>JM</w:t>
      </w:r>
      <w:r w:rsidRPr="003C1A66">
        <w:rPr>
          <w:color w:val="000000"/>
          <w:szCs w:val="24"/>
        </w:rPr>
        <w:t>, ktorý hovorí, že: prioritou všetkých organizácií podieľajúcich sa na realizácii fyzickej ochrany by mala byť kultúra jadrovej fyzickej bezpečnosti, jej rozvíjanie a udržiavanie, s cieľom zabezpečiť jej účinnú realizáciu v rámci celej organizácie.</w:t>
      </w:r>
    </w:p>
    <w:p w14:paraId="226D6A3A" w14:textId="77777777" w:rsidR="00153C16" w:rsidRPr="00F82221" w:rsidRDefault="00153C16" w:rsidP="00153C16">
      <w:pPr>
        <w:jc w:val="both"/>
        <w:rPr>
          <w:szCs w:val="24"/>
          <w:shd w:val="clear" w:color="auto" w:fill="FFFFFF"/>
        </w:rPr>
      </w:pPr>
    </w:p>
    <w:p w14:paraId="544FC568" w14:textId="245A803D" w:rsidR="002830A1" w:rsidRDefault="002830A1" w:rsidP="00203415">
      <w:pPr>
        <w:pStyle w:val="Normlnywebov"/>
        <w:spacing w:before="0" w:beforeAutospacing="0" w:after="0" w:afterAutospacing="0"/>
        <w:jc w:val="both"/>
        <w:rPr>
          <w:b/>
          <w:color w:val="0B0C0C"/>
        </w:rPr>
      </w:pPr>
      <w:r w:rsidRPr="00333861">
        <w:rPr>
          <w:b/>
          <w:color w:val="0B0C0C"/>
        </w:rPr>
        <w:t>Kybernetická bezpečnosť</w:t>
      </w:r>
      <w:r w:rsidR="000A38D8" w:rsidRPr="00333861">
        <w:rPr>
          <w:b/>
          <w:color w:val="0B0C0C"/>
        </w:rPr>
        <w:t xml:space="preserve"> JZ a</w:t>
      </w:r>
      <w:r w:rsidR="004E2925" w:rsidRPr="00333861">
        <w:rPr>
          <w:b/>
          <w:color w:val="0B0C0C"/>
        </w:rPr>
        <w:t> </w:t>
      </w:r>
      <w:r w:rsidR="000A38D8" w:rsidRPr="00333861">
        <w:rPr>
          <w:b/>
          <w:color w:val="0B0C0C"/>
        </w:rPr>
        <w:t>JM</w:t>
      </w:r>
    </w:p>
    <w:p w14:paraId="76419D1B" w14:textId="77777777" w:rsidR="004E2925" w:rsidRPr="00203415" w:rsidRDefault="004E2925" w:rsidP="00203415">
      <w:pPr>
        <w:pStyle w:val="Normlnywebov"/>
        <w:spacing w:before="0" w:beforeAutospacing="0" w:after="0" w:afterAutospacing="0"/>
        <w:jc w:val="both"/>
        <w:rPr>
          <w:b/>
          <w:color w:val="0B0C0C"/>
        </w:rPr>
      </w:pPr>
    </w:p>
    <w:p w14:paraId="5BE09E35" w14:textId="6AF0286A" w:rsidR="000A38D8" w:rsidRPr="003C1A66" w:rsidRDefault="004E2925" w:rsidP="003C1A66">
      <w:pPr>
        <w:autoSpaceDE w:val="0"/>
        <w:autoSpaceDN w:val="0"/>
        <w:adjustRightInd w:val="0"/>
        <w:jc w:val="both"/>
        <w:rPr>
          <w:color w:val="000000"/>
          <w:szCs w:val="24"/>
        </w:rPr>
      </w:pPr>
      <w:r w:rsidRPr="003C1A66">
        <w:rPr>
          <w:color w:val="000000"/>
          <w:szCs w:val="24"/>
        </w:rPr>
        <w:t>Pod pojmom kybernetická bezpečnosť rozumieme ochranu dôvernosti, integrity a dostupnosti údajov, počítačových systémov a ich procesov/sietí, ako aj ich schopnosť odolávať neoprávnenému či zlovoľnému konaniu, ktoré by mohlo ohroziť dôvernosť, integritu alebo dostupnosť uchovávaných, prenášaných alebo spracúvaných údajov alebo súvisiacich služieb poskytovaných alebo prístupných prostredníctvom týchto sietí a informačných systémov. Vzhľadom na záväzky SR vyplývajúce z Dohovoru o fyzickej ochrane JM a jeho Dodatku, a vzhľadom na fakt, že kybernetická bezpečnosť JZ je súčasťou jadrovej fyzickej bezpečnosti, sú úradom vykonávané taktiež inšpekcie kybernetickej bezpečnosti. V roku 2023 boli u držiteľov povolení vykonané 2 inšpekcie zamerané na kybernetickú bezpečnosť. V oblasti kybernetickej bezpečnosti vydáva MAAE publikácie (v súlade s Dohovorom o fyzickej ochrane JM a jeho Dodatkom), ktoré ÚJD SR používa ako referenčnú dokumentáciu pri výkone dozornej činnosti. Tieto publikácie dokumentujú osvedčené postupy a požiadavky pri zavádzaní a udržiavaní systému fyzickej ochrany JM a kybernetickej bezpečnosti počítačových systémov JZ.</w:t>
      </w:r>
    </w:p>
    <w:p w14:paraId="293326E6" w14:textId="77777777" w:rsidR="004E2925" w:rsidRPr="003C1A66" w:rsidRDefault="004E2925" w:rsidP="003C1A66">
      <w:pPr>
        <w:autoSpaceDE w:val="0"/>
        <w:autoSpaceDN w:val="0"/>
        <w:adjustRightInd w:val="0"/>
        <w:jc w:val="both"/>
        <w:rPr>
          <w:color w:val="000000"/>
          <w:szCs w:val="24"/>
        </w:rPr>
      </w:pPr>
    </w:p>
    <w:p w14:paraId="266B4503" w14:textId="64844056" w:rsidR="00B66A4F" w:rsidRPr="0064312B" w:rsidRDefault="003F21EB" w:rsidP="0064312B">
      <w:pPr>
        <w:pStyle w:val="Nadpis1"/>
        <w:numPr>
          <w:ilvl w:val="0"/>
          <w:numId w:val="1"/>
        </w:numPr>
        <w:tabs>
          <w:tab w:val="clear" w:pos="360"/>
        </w:tabs>
        <w:ind w:left="425" w:hanging="425"/>
        <w:jc w:val="both"/>
      </w:pPr>
      <w:bookmarkStart w:id="53" w:name="_Toc161214325"/>
      <w:r w:rsidRPr="0064312B">
        <w:t>HAvarijné plánovanie a pripravenosť</w:t>
      </w:r>
      <w:bookmarkEnd w:id="53"/>
    </w:p>
    <w:p w14:paraId="17A60750" w14:textId="3B281BAA" w:rsidR="00825638" w:rsidRPr="003C1A66" w:rsidRDefault="00825638" w:rsidP="003C1A66">
      <w:pPr>
        <w:autoSpaceDE w:val="0"/>
        <w:autoSpaceDN w:val="0"/>
        <w:adjustRightInd w:val="0"/>
        <w:jc w:val="both"/>
        <w:rPr>
          <w:color w:val="000000"/>
          <w:szCs w:val="24"/>
        </w:rPr>
      </w:pPr>
    </w:p>
    <w:p w14:paraId="6E29A2C5" w14:textId="77777777" w:rsidR="00F55D55" w:rsidRPr="003C1A66" w:rsidRDefault="00F55D55" w:rsidP="003C1A66">
      <w:pPr>
        <w:autoSpaceDE w:val="0"/>
        <w:autoSpaceDN w:val="0"/>
        <w:adjustRightInd w:val="0"/>
        <w:jc w:val="both"/>
        <w:rPr>
          <w:color w:val="000000"/>
          <w:szCs w:val="24"/>
        </w:rPr>
      </w:pPr>
      <w:r w:rsidRPr="003C1A66">
        <w:rPr>
          <w:color w:val="000000"/>
          <w:szCs w:val="24"/>
        </w:rPr>
        <w:t xml:space="preserve">Atómový zákon definuje havarijnú pripravenosť ako schopnosť držiteľa povolenia a orgánov verejnej moci aktivovať a realizovať činnosti a opatrenia, ktoré vedú k zisteniu a účinnému zdolaniu nehôd alebo havárií na JZ alebo pri preprave RAM a k účinnému potlačeniu ich možnosti ohroziť život, zdravie pracovníkov alebo obyvateľstva, ich majetok alebo životné prostredie. Táto schopnosť má byť dokumentovaná v havarijných plánoch. </w:t>
      </w:r>
    </w:p>
    <w:p w14:paraId="4E565E7F" w14:textId="3010547B" w:rsidR="00F55D55" w:rsidRDefault="00F55D55" w:rsidP="003C1A66">
      <w:pPr>
        <w:autoSpaceDE w:val="0"/>
        <w:autoSpaceDN w:val="0"/>
        <w:adjustRightInd w:val="0"/>
        <w:jc w:val="both"/>
      </w:pPr>
      <w:r w:rsidRPr="003C1A66">
        <w:rPr>
          <w:color w:val="000000"/>
          <w:szCs w:val="24"/>
        </w:rPr>
        <w:lastRenderedPageBreak/>
        <w:t>Okrem prevádzkových predpisov majú teda držitelia povolení vypracované aj havarijné plány, pričom nosným je vnútorný havarijný plán, schvaľovaný úradom, ktorý legislatíva vyžaduje pre JZ v prevádzke a vo vyraďovaní. Ďalšími havarijnými plánmi, ktoré úrad posudzuje, sú havarijné dopravné poriadky a plány ochrany obyvateľstva. Vypracovanie havarijného</w:t>
      </w:r>
      <w:r>
        <w:t xml:space="preserve"> dopravného poriadku je podmienkou pre získanie povolenia na prepravu RAM. Plány ochrany obyvateľstva riešia problematiku realizácie opatrení smerujúcich k ochrane života a zdravia obyvateľstva po vzniku radiačnej nehody alebo havárie a vydávajú ich okresné úrady v sídle jednotlivých krajov, ktorých územie sa nachádza v oblasti ohrozenia JZ. </w:t>
      </w:r>
    </w:p>
    <w:p w14:paraId="6273FC96" w14:textId="39E578F3" w:rsidR="00F55D55" w:rsidRDefault="00F55D55" w:rsidP="00F55D55">
      <w:pPr>
        <w:jc w:val="both"/>
      </w:pPr>
      <w:r>
        <w:t>Tak ako aj pre iné oblasti, rovnako aj pre oblasť havarijnej pripravenosti má úrad vypracovaný plán inšpekčnej činnosti na JZ a u držiteľov povolení na prepravu RAM. V roku 202</w:t>
      </w:r>
      <w:r w:rsidR="002B1895">
        <w:t>3</w:t>
      </w:r>
      <w:r>
        <w:t xml:space="preserve"> boli v tejto oblasti vykonané inšpekcie zamerané na previerku zariadení a prostriedkov určených pre havarijnú pripravenosť, previerku súčinnosti organizácie havarijnej odozvy držiteľov povolení JAVYS</w:t>
      </w:r>
      <w:r w:rsidR="002F0A9E">
        <w:t> </w:t>
      </w:r>
      <w:r>
        <w:t>a.</w:t>
      </w:r>
      <w:r w:rsidR="002F0A9E">
        <w:t> </w:t>
      </w:r>
      <w:r>
        <w:t>s.</w:t>
      </w:r>
      <w:r w:rsidR="002F0A9E">
        <w:t> </w:t>
      </w:r>
      <w:r>
        <w:t>a</w:t>
      </w:r>
      <w:r w:rsidR="002F0A9E">
        <w:t> </w:t>
      </w:r>
      <w:r>
        <w:t>SE</w:t>
      </w:r>
      <w:r w:rsidR="002F0A9E">
        <w:t> </w:t>
      </w:r>
      <w:r>
        <w:t>a.</w:t>
      </w:r>
      <w:r w:rsidR="002F0A9E">
        <w:t> </w:t>
      </w:r>
      <w:r>
        <w:t xml:space="preserve">s. pri celoareálových havarijných cvičeniach, ako aj na kontrolu monitorovacích zariadení. </w:t>
      </w:r>
    </w:p>
    <w:p w14:paraId="16ADE727" w14:textId="5DBC507F" w:rsidR="00F55D55" w:rsidRDefault="00F55D55" w:rsidP="00F55D55">
      <w:pPr>
        <w:jc w:val="both"/>
      </w:pPr>
      <w:r>
        <w:t>Na zabezpečenie prijímania a zasielania vyrozumenia, oznámenia a ďalších informácií v prípade jadrovej havárie alebo radiačného ohrozenia (ako napr. nehody alebo havárie na JZ, pri preprave rádioaktívnych látok, záchytoch RAM, stratách, nálezoch alebo krádežiach zdrojov ionizujúceho žiarenia) v SR alebo v prípade podobných udalostí v zahraničí má úrad zriadené styčné miesto. Keďže ÚJD SR, v rámci činnosti styčného miesta, úzko spolupracuje s vybranými orgánmi štátnej správy, pre zabezpečenie jednotného prístupu používa úrad spoločné usmernenie pre orgány štátnej správy, ktoré upravuje postup vzájomného informovania v prípade vzniku alebo zistenia udalosti spojenej so zdrojmi ionizujúceho žiarenia, povinnosti informovania obyvateľstva a medzinárodného spoločenstva o významných udalostiach spojených s využívaním zdrojov ionizujúceho žiarenia, ako aj kritériá pre informovanie styčného miesta. V roku 2023 sa styčné miesto ÚJD SR naplno využívalo na informovanie vybraných orgánov štátnej správy o udalostiach týkajúcich sa JZ na Ukrajine. V prípade udalosti na JZ na území SR, alebo udalosti v zahraničí s cezhraničným vplyvom, je úrad zároveň kompetentným orgánom pre vyžiadanie pomoci prostredníctvom MAAE a jej systému RANET.</w:t>
      </w:r>
    </w:p>
    <w:p w14:paraId="288982C9" w14:textId="1F1453CE" w:rsidR="00F55D55" w:rsidRDefault="00F55D55" w:rsidP="00F55D55">
      <w:pPr>
        <w:jc w:val="both"/>
      </w:pPr>
      <w:r>
        <w:t>Zamestnanci úradu sú zaradení do havarijného štábu (</w:t>
      </w:r>
      <w:r w:rsidRPr="00553BD4">
        <w:t>HŠ</w:t>
      </w:r>
      <w:r>
        <w:t>) pre prácu v Centre havarijnej odozvy (</w:t>
      </w:r>
      <w:r w:rsidRPr="00143548">
        <w:t>CHO</w:t>
      </w:r>
      <w:r>
        <w:t xml:space="preserve">). Toto centrum bolo zriadené na nezávislé hodnotenie udalostí, ktoré môžu vzniknúť počas prevádzky JZ alebo pri preprave RAM. CHO je technickým podporným prostriedkom úradu na riešenie mimoriadnych udalostí na JZ a poradným orgánom predsedníčky úradu, ktorá je členkou Bezpečnostnej rady SR a Ústredného krízového štábu. Činnosť CHO spočíva v hodnotení priebehu a následkov nehôd a havárií JZ závažných z hľadiska ich možného vplyvu na okolie, príprave návrhov a odporúčaní opatrení na ochranu obyvateľstva v skorej fáze udalosti na </w:t>
      </w:r>
      <w:r w:rsidR="00123458">
        <w:t>JZ</w:t>
      </w:r>
      <w:r>
        <w:t>. Jednotlivé odborné skupiny HŠ sú schopné na základe prijatých informácií analyzovať stav JZ a pripraviť prognózu vývoja udalosti pomocou softvérových nástrojov inštalovaných v CHO. Tieto aktivity sú popísané v havarijných predpisoch vydaných ÚJD SR a pravidelne precvičované počas zmenových, celoareálových, prípadne súčinnostných cvičení držiteľov povolení, rovnako pri cvičeniach s okolitými štátmi a medzinárodnými organizáciami. CHO sa aj v roku 2023 zapojilo do viacerých domácich a medzinárodných cvičení, pričom HŠ precvičoval svoju činnosť pri celoareálových cvičeniach na JZ Bohunice aj JZ Mochovce, zmenových cvičeniach a cvičeniach držiteľov povolení na prepravu RAM.</w:t>
      </w:r>
    </w:p>
    <w:p w14:paraId="4CDDAD72" w14:textId="2D0487B7" w:rsidR="005D4FF5" w:rsidRDefault="00F55D55" w:rsidP="00F55D55">
      <w:pPr>
        <w:jc w:val="both"/>
      </w:pPr>
      <w:r>
        <w:t xml:space="preserve">Medzinárodné cvičenia sú zamerané predovšetkým na otestovanie a zhodnotenie schopnosti jednotlivých členských štátov promptne reagovať na radiačné udalosti s cezhraničnými dôsledkami. Odbor havarijného plánovania a CHO sa aktívne zapája do týchto cvičení organizovaných napr. MAAE (cvičenia </w:t>
      </w:r>
      <w:proofErr w:type="spellStart"/>
      <w:r>
        <w:t>ConvEx</w:t>
      </w:r>
      <w:proofErr w:type="spellEnd"/>
      <w:r>
        <w:t xml:space="preserve"> - zamerané na odozvu na udalosti, ktoré môžu vzniknúť na JZ členských štátov) a cvičení EK (cvičenia ECUREX) na otestovanie využitia systému včasnej výmeny informácií medzi jednotlivými štátmi EÚ. Okrem cvičení prebieha </w:t>
      </w:r>
      <w:r>
        <w:lastRenderedPageBreak/>
        <w:t>komunikácia o otázkach cezhraničnej havarijnej pripravenosti hlavne na multilaterálnej báze - na pôde MAAE a tiež v skupine pre radiačné havárie združenia dozorov HERCA-WENRA, ktorej členmi sú aj nominovaní zamestnanci úradu. V oblasti havarijnej pripravenosti ÚJD SR udržuje tradične blízke vzťahy s partnerskými organizáciami v okolitých štátoch v Maďarsku, Českej republike, Poľsku, či Rakúsku.</w:t>
      </w:r>
    </w:p>
    <w:p w14:paraId="21D735AC" w14:textId="77777777" w:rsidR="00F55D55" w:rsidRPr="00903612" w:rsidRDefault="00F55D55" w:rsidP="00F55D55">
      <w:pPr>
        <w:jc w:val="both"/>
        <w:rPr>
          <w:highlight w:val="yellow"/>
        </w:rPr>
      </w:pPr>
    </w:p>
    <w:p w14:paraId="7D9C2086" w14:textId="0096A46F" w:rsidR="0076640B" w:rsidRDefault="0076640B" w:rsidP="0076640B">
      <w:pPr>
        <w:pStyle w:val="Nadpis1"/>
        <w:numPr>
          <w:ilvl w:val="0"/>
          <w:numId w:val="1"/>
        </w:numPr>
        <w:tabs>
          <w:tab w:val="clear" w:pos="360"/>
        </w:tabs>
        <w:ind w:left="425" w:hanging="425"/>
        <w:jc w:val="both"/>
      </w:pPr>
      <w:bookmarkStart w:id="54" w:name="_Toc161214326"/>
      <w:r w:rsidRPr="00C81ABF">
        <w:t>MEdzinárodné aktivity</w:t>
      </w:r>
      <w:bookmarkEnd w:id="54"/>
      <w:r w:rsidRPr="00C81ABF">
        <w:t xml:space="preserve"> </w:t>
      </w:r>
    </w:p>
    <w:p w14:paraId="2E2EF005" w14:textId="59BAC469" w:rsidR="00B505C4" w:rsidRDefault="00B505C4" w:rsidP="00B505C4">
      <w:pPr>
        <w:rPr>
          <w:lang w:val="x-none" w:eastAsia="cs-CZ"/>
        </w:rPr>
      </w:pPr>
    </w:p>
    <w:p w14:paraId="201E4DEC" w14:textId="77777777" w:rsidR="0076640B" w:rsidRPr="00333861" w:rsidRDefault="0076640B" w:rsidP="00333861">
      <w:pPr>
        <w:pStyle w:val="Nadpis2"/>
        <w:ind w:hanging="556"/>
      </w:pPr>
      <w:bookmarkStart w:id="55" w:name="_Toc161214327"/>
      <w:r w:rsidRPr="00333861">
        <w:t>Spolupráca v rámci Európskej únie a Európskeho spoločenstva pre atómovú energiu</w:t>
      </w:r>
      <w:bookmarkEnd w:id="55"/>
    </w:p>
    <w:p w14:paraId="45A0080A" w14:textId="77777777" w:rsidR="0076640B" w:rsidRPr="00F90244" w:rsidRDefault="0076640B" w:rsidP="0076640B">
      <w:pPr>
        <w:pStyle w:val="Zarkazkladnhotextu"/>
        <w:spacing w:after="0"/>
        <w:ind w:left="0"/>
        <w:jc w:val="both"/>
        <w:rPr>
          <w:highlight w:val="green"/>
        </w:rPr>
      </w:pPr>
    </w:p>
    <w:p w14:paraId="543B6E23" w14:textId="6B896AF2" w:rsidR="00B505C4" w:rsidRPr="00CE1760" w:rsidRDefault="00B505C4" w:rsidP="00CE1760">
      <w:pPr>
        <w:jc w:val="both"/>
      </w:pPr>
      <w:r w:rsidRPr="00CE1760">
        <w:t>V kontexte členstva S</w:t>
      </w:r>
      <w:r w:rsidR="00990674">
        <w:t>R</w:t>
      </w:r>
      <w:r w:rsidRPr="00CE1760">
        <w:t xml:space="preserve"> v E</w:t>
      </w:r>
      <w:r w:rsidR="002C65F8">
        <w:t>Ú</w:t>
      </w:r>
      <w:r w:rsidR="00827F25">
        <w:t xml:space="preserve"> </w:t>
      </w:r>
      <w:r w:rsidRPr="00CE1760">
        <w:t>a v Európskom spoločenstve pre atómovú energiu (</w:t>
      </w:r>
      <w:proofErr w:type="spellStart"/>
      <w:r w:rsidRPr="00461A36">
        <w:t>E</w:t>
      </w:r>
      <w:r w:rsidR="003A7FFA" w:rsidRPr="00461A36">
        <w:t>uratom</w:t>
      </w:r>
      <w:proofErr w:type="spellEnd"/>
      <w:r w:rsidRPr="00CE1760">
        <w:t xml:space="preserve">) ÚJD SR v roku 2023 zabezpečoval úlohy a plnil záväzky, ktoré mu z tohto členstva vyplývajú. Zástupcovia ÚJD SR aktívne participovali na rokovaniach v pracovných skupinách Rady EÚ i na zasadnutiach pracovných výborov a skupín </w:t>
      </w:r>
      <w:r w:rsidRPr="00372D85">
        <w:t>EK,</w:t>
      </w:r>
      <w:r w:rsidRPr="00CE1760">
        <w:t xml:space="preserve"> kde ako experti v oblastiach týkajúcich sa kompetencií ÚJD SR, najmä vo vzťahu k záväzkom a činnostiam vyplývajúcim zo Zmluvy o založení Európskeho spoločenstva pre atómovú energiu (Zmluva o </w:t>
      </w:r>
      <w:proofErr w:type="spellStart"/>
      <w:r w:rsidRPr="00CE1760">
        <w:t>E</w:t>
      </w:r>
      <w:r w:rsidR="003A7FFA">
        <w:t>uratome</w:t>
      </w:r>
      <w:proofErr w:type="spellEnd"/>
      <w:r w:rsidRPr="00CE1760">
        <w:t>), obhajovali záujmy SR.</w:t>
      </w:r>
    </w:p>
    <w:p w14:paraId="06FD100E" w14:textId="17167F17" w:rsidR="00B505C4" w:rsidRPr="00CE1760" w:rsidRDefault="00B505C4" w:rsidP="00CE1760">
      <w:pPr>
        <w:jc w:val="both"/>
      </w:pPr>
      <w:r w:rsidRPr="003F6484">
        <w:t>Jednou z najvýznamnejších pracovných skupín Rady EÚ z pohľadu jadrovej bezpečnosti je Pracovná skupina pre atómové otázky (PS ATO). V I. polroku 2023 Rade EÚ predsedalo Švédsko (SE PRES) a v II. polroku Španielsko (ES PRES). Experti ÚJD SR sa na zasadnutiach PS ATO zúčastňovali podľa potreby, pričom sa na každé zasadnutie pripravovala pozícia SR v úzkej spolupráci s MH SR a</w:t>
      </w:r>
      <w:r w:rsidR="00D06E35" w:rsidRPr="003F6484">
        <w:t> stálym zastúpením (</w:t>
      </w:r>
      <w:r w:rsidRPr="003F6484">
        <w:t>SZ</w:t>
      </w:r>
      <w:r w:rsidR="00D06E35" w:rsidRPr="003F6484">
        <w:t>)</w:t>
      </w:r>
      <w:r w:rsidRPr="003F6484">
        <w:t xml:space="preserve"> SR pri EÚ v Bruseli. Počas SE PRES i ES</w:t>
      </w:r>
      <w:r w:rsidRPr="00CE1760">
        <w:t xml:space="preserve"> </w:t>
      </w:r>
      <w:r w:rsidRPr="006D311C">
        <w:t>PRES na rokovaniach rezonovala téma aktuálnej bezpečnostnej situácie na Ukrajine (UA), predovšetkým odpočet aktivít EK a MAAE realizovaných vo vzťahu k UA a presahu vojenskej agresie Ruska (RU) na UA jadrové zariadenia. Ďalej sa na rokovaniach PS ATO uskutočnila</w:t>
      </w:r>
      <w:r w:rsidRPr="00CE1760">
        <w:t xml:space="preserve"> príprava spoločného 8. a 9.</w:t>
      </w:r>
      <w:r w:rsidR="00144E90">
        <w:t xml:space="preserve"> posudzovacieho zasadnutia</w:t>
      </w:r>
      <w:r w:rsidRPr="00CE1760">
        <w:t xml:space="preserve"> k Dohovoru o jadrovej bezpečnosti, odzneli informácie z Európskej agentúry pre zásobovanie, Spoločného výskumného centra a EK informovala členské štáty o ďalších aktuálnych témach (napr. bezpečnosť dodávok, implementácia nástroja INSC, medicínske rádioizotopy, malé modulárne reaktory). SR informovala o výsledkoch misie ARTEMIS a o procese uvádzania a spustení 3. bloku </w:t>
      </w:r>
      <w:r w:rsidR="00E61446">
        <w:t>JE</w:t>
      </w:r>
      <w:r w:rsidRPr="00CE1760">
        <w:t xml:space="preserve"> Mochovce do prevádzky.</w:t>
      </w:r>
    </w:p>
    <w:p w14:paraId="355DACAC" w14:textId="73070E5F" w:rsidR="00B505C4" w:rsidRPr="00CE1760" w:rsidRDefault="00B505C4" w:rsidP="00CE1760">
      <w:pPr>
        <w:jc w:val="both"/>
      </w:pPr>
      <w:r w:rsidRPr="00CE1760">
        <w:t>Európska skupina dozorov pre jadrovú bezpečnosť (</w:t>
      </w:r>
      <w:r w:rsidRPr="0085360C">
        <w:t>ENSREG</w:t>
      </w:r>
      <w:r w:rsidRPr="00CE1760">
        <w:t xml:space="preserve">) mala v uplynulom období v spolupráci s ukrajinským dozorom </w:t>
      </w:r>
      <w:r w:rsidR="00C518D2">
        <w:t>(</w:t>
      </w:r>
      <w:r w:rsidRPr="00CE1760">
        <w:t>SNRIU</w:t>
      </w:r>
      <w:r w:rsidR="00C518D2">
        <w:t>)</w:t>
      </w:r>
      <w:r w:rsidRPr="00CE1760">
        <w:t xml:space="preserve"> niekoľko mimoriadnych zasadnutí s cieľom vyhodnotiť riziko vyplývajúce z vojenských akcií RU na miestach a v blízkosti </w:t>
      </w:r>
      <w:r w:rsidR="00E61446">
        <w:t>JZ</w:t>
      </w:r>
      <w:r w:rsidRPr="00CE1760">
        <w:t xml:space="preserve"> na UA. Aktuálne sa aktivity ENSREG sústreďujú na prípravu pracovného programu na obdobie 2024</w:t>
      </w:r>
      <w:r w:rsidR="00E61446">
        <w:t> – </w:t>
      </w:r>
      <w:r w:rsidRPr="00CE1760">
        <w:t xml:space="preserve">2026, monitorovanie plnenia Akčných plánov prijatých po udalostiach vo </w:t>
      </w:r>
      <w:proofErr w:type="spellStart"/>
      <w:r w:rsidRPr="00CE1760">
        <w:t>Fukušime</w:t>
      </w:r>
      <w:proofErr w:type="spellEnd"/>
      <w:r w:rsidRPr="00CE1760">
        <w:t xml:space="preserve"> a z 1. tematicky zameraného partnerského hodnotenia na tému starnutia </w:t>
      </w:r>
      <w:r w:rsidR="00E61446">
        <w:t>JE</w:t>
      </w:r>
      <w:r w:rsidRPr="00CE1760">
        <w:t xml:space="preserve">. Zároveň sa pripravuje 2. tematické hodnotenie, ku ktorému bola vypracovaná Národná hodnotiaca správa na tému požiarna ochrana </w:t>
      </w:r>
      <w:r w:rsidR="00E61446">
        <w:t>JZ</w:t>
      </w:r>
      <w:r w:rsidRPr="00CE1760">
        <w:t xml:space="preserve"> v SR. Pod záštitou ENSREG a v spolupráci s EK sa plánuje v poradí už siedma ENSREG konferencia o jadrovej bezpečnosti v Európe, ktorá sa uskutoční v roku 2024 v Bruseli. Po štyroch rokoch aktívnej práce ukončila Marta </w:t>
      </w:r>
      <w:proofErr w:type="spellStart"/>
      <w:r w:rsidRPr="00CE1760">
        <w:t>Žiaková</w:t>
      </w:r>
      <w:proofErr w:type="spellEnd"/>
      <w:r w:rsidRPr="00CE1760">
        <w:t xml:space="preserve">, predsedníčka ÚJD SR, predsedanie v ENSREG </w:t>
      </w:r>
      <w:proofErr w:type="spellStart"/>
      <w:r w:rsidRPr="00CE1760">
        <w:t>Plenary</w:t>
      </w:r>
      <w:proofErr w:type="spellEnd"/>
      <w:r w:rsidRPr="00CE1760">
        <w:t xml:space="preserve">. Zároveň </w:t>
      </w:r>
      <w:r w:rsidR="00E61446">
        <w:t xml:space="preserve">generálny riaditeľ </w:t>
      </w:r>
      <w:r w:rsidR="006E6C08">
        <w:t>s</w:t>
      </w:r>
      <w:r w:rsidR="00E61446">
        <w:t>ekcie dozorných činností a medzinárodných vzťahov ÚJD SR,</w:t>
      </w:r>
      <w:r w:rsidRPr="00CE1760">
        <w:t xml:space="preserve"> ukončil predsedanie v pracovnej skupine WG1 ENSREG pre jadrovú bezpečnosť.</w:t>
      </w:r>
    </w:p>
    <w:p w14:paraId="5B6CFF21" w14:textId="386B2C81" w:rsidR="00CE1760" w:rsidRPr="00CE1760" w:rsidRDefault="00B505C4" w:rsidP="00CE1760">
      <w:pPr>
        <w:jc w:val="both"/>
      </w:pPr>
      <w:r w:rsidRPr="00CE1760">
        <w:t xml:space="preserve">Pod záštitou skupiny ENSREG prebehlo viacero stretnutí pracovnej skupiny zaoberajúcej sa spúšťaním tureckej </w:t>
      </w:r>
      <w:r w:rsidR="00D83124">
        <w:t>JE</w:t>
      </w:r>
      <w:r w:rsidRPr="00CE1760">
        <w:t xml:space="preserve"> </w:t>
      </w:r>
      <w:proofErr w:type="spellStart"/>
      <w:r w:rsidRPr="00CE1760">
        <w:t>Akkuyu</w:t>
      </w:r>
      <w:proofErr w:type="spellEnd"/>
      <w:r w:rsidRPr="00CE1760">
        <w:t xml:space="preserve">. V rámci pracovnej skupiny má zastúpenie aj ÚJD SR. V súčasnosti je plánovaná návšteva tejto </w:t>
      </w:r>
      <w:r w:rsidR="00D83124">
        <w:t>JE</w:t>
      </w:r>
      <w:r w:rsidRPr="00CE1760">
        <w:t>, spojená s vykonaním záťažových testov.</w:t>
      </w:r>
    </w:p>
    <w:p w14:paraId="13192603" w14:textId="58D754CA" w:rsidR="00B505C4" w:rsidRPr="00CE1760" w:rsidRDefault="00B505C4" w:rsidP="00CE1760">
      <w:pPr>
        <w:jc w:val="both"/>
      </w:pPr>
      <w:r w:rsidRPr="00CE1760">
        <w:t>V súlade s požiadavkami smernice Rady 2011/70/</w:t>
      </w:r>
      <w:proofErr w:type="spellStart"/>
      <w:r w:rsidRPr="00CE1760">
        <w:t>Euratom</w:t>
      </w:r>
      <w:proofErr w:type="spellEnd"/>
      <w:r w:rsidRPr="00CE1760">
        <w:t xml:space="preserve"> sa na žiadosť vlády SR uskutočnila v dňoch 12. </w:t>
      </w:r>
      <w:r w:rsidR="00B86FD5">
        <w:t xml:space="preserve">– </w:t>
      </w:r>
      <w:r w:rsidRPr="00CE1760">
        <w:t>22.</w:t>
      </w:r>
      <w:r w:rsidR="00B86FD5">
        <w:t> 2. </w:t>
      </w:r>
      <w:r w:rsidRPr="00CE1760">
        <w:t xml:space="preserve">2023 misia ARTEMIS. Cieľom misie ARTEMIS bolo medzinárodné </w:t>
      </w:r>
      <w:r w:rsidRPr="00CE1760">
        <w:lastRenderedPageBreak/>
        <w:t xml:space="preserve">posúdenie vnútroštátnej politiky a vnútroštátneho programu nakladania s VJP a s RAO, vyraďovania </w:t>
      </w:r>
      <w:r w:rsidR="00DB6B0E">
        <w:t>JZ</w:t>
      </w:r>
      <w:r w:rsidRPr="00CE1760">
        <w:t xml:space="preserve"> a </w:t>
      </w:r>
      <w:proofErr w:type="spellStart"/>
      <w:r w:rsidRPr="00CE1760">
        <w:t>remediácie</w:t>
      </w:r>
      <w:proofErr w:type="spellEnd"/>
      <w:r w:rsidRPr="00CE1760">
        <w:t xml:space="preserve">. Misia sa uskutočnila v nadväznosti na </w:t>
      </w:r>
      <w:r w:rsidR="004C6FC5">
        <w:t>M</w:t>
      </w:r>
      <w:r w:rsidRPr="00CE1760">
        <w:t>isiu</w:t>
      </w:r>
      <w:r w:rsidR="004C6FC5">
        <w:t xml:space="preserve"> medzinárodného posúdenia dozornej činnosti (</w:t>
      </w:r>
      <w:r w:rsidRPr="00CE1760">
        <w:t>IRRS</w:t>
      </w:r>
      <w:r w:rsidR="004C6FC5">
        <w:t>)</w:t>
      </w:r>
      <w:r w:rsidRPr="00CE1760">
        <w:t xml:space="preserve">, ktorá v septembri 2022 posúdila dozorný rámec pre jadrovú a radiačnú bezpečnosť v SR. Výsledky misie sú zhrnuté v záverečnej správe, ktorá oceňuje vysoký štandard infraštruktúry pre manažment RAO z vyraďovania </w:t>
      </w:r>
      <w:r w:rsidR="00DB6B0E">
        <w:t>JZ</w:t>
      </w:r>
      <w:r w:rsidRPr="00CE1760">
        <w:t xml:space="preserve">, zároveň formuluje pre SR a jednotlivé zapojené organizácie viaceré odporúčania a návrhy pre ďalšie zlepšenia, najmä v oblasti prípravy hlbinného úložiska pre vysokoaktívne RAO. </w:t>
      </w:r>
    </w:p>
    <w:p w14:paraId="46D3F098" w14:textId="2A60C403" w:rsidR="00B505C4" w:rsidRPr="00CE1760" w:rsidRDefault="00B505C4" w:rsidP="00CE1760">
      <w:pPr>
        <w:jc w:val="both"/>
      </w:pPr>
      <w:r w:rsidRPr="00CE1760">
        <w:t xml:space="preserve">Vo februári 2023 </w:t>
      </w:r>
      <w:r w:rsidR="0085360C">
        <w:t>E</w:t>
      </w:r>
      <w:r w:rsidRPr="00CE1760">
        <w:t xml:space="preserve">K zverejnila štvrtú Správu </w:t>
      </w:r>
      <w:r w:rsidR="0085360C">
        <w:t>E</w:t>
      </w:r>
      <w:r w:rsidRPr="00CE1760">
        <w:t>K Európskemu parlamentu a Rade o vykonávaní smernice Rady 2006/117/</w:t>
      </w:r>
      <w:proofErr w:type="spellStart"/>
      <w:r w:rsidRPr="00CE1760">
        <w:t>E</w:t>
      </w:r>
      <w:r w:rsidR="003A7FFA">
        <w:t>uratom</w:t>
      </w:r>
      <w:proofErr w:type="spellEnd"/>
      <w:r w:rsidRPr="00CE1760">
        <w:t xml:space="preserve"> o dozore a kontrole pri preprave RAO a VJP zo strany členských štátov, ktorú </w:t>
      </w:r>
      <w:r w:rsidR="0085360C">
        <w:t>E</w:t>
      </w:r>
      <w:r w:rsidRPr="00CE1760">
        <w:t xml:space="preserve">K vypracovala na základe národných správ členských štátov, vrátane SR. Správa zahŕňa prepravy za obdobie rokov 2018 – 2020. V decembri 2023 SR zaslalo </w:t>
      </w:r>
      <w:r w:rsidR="0085360C">
        <w:t>E</w:t>
      </w:r>
      <w:r w:rsidRPr="00CE1760">
        <w:t>K piatu Národnú správu SR v zmysle smernice Rady 2006/117/</w:t>
      </w:r>
      <w:proofErr w:type="spellStart"/>
      <w:r w:rsidRPr="00CE1760">
        <w:t>E</w:t>
      </w:r>
      <w:r w:rsidR="003A7FFA">
        <w:t>uratom</w:t>
      </w:r>
      <w:proofErr w:type="spellEnd"/>
      <w:r w:rsidRPr="00CE1760">
        <w:t>, ktorá zahŕňa prepravy za obdobie rokov 2021 – 2023.</w:t>
      </w:r>
    </w:p>
    <w:p w14:paraId="3F7814E1" w14:textId="409CF488" w:rsidR="00986243" w:rsidRPr="00CE1760" w:rsidRDefault="00B505C4" w:rsidP="00CE1760">
      <w:pPr>
        <w:jc w:val="both"/>
      </w:pPr>
      <w:r w:rsidRPr="00CE1760">
        <w:t xml:space="preserve">V priebehu roka 2023 pokračovala vo svojej činnosti medzirezortná koordinačná skupina na koordináciu úloh vyplývajúcich z článkov Zmluvy o </w:t>
      </w:r>
      <w:proofErr w:type="spellStart"/>
      <w:r w:rsidRPr="00CE1760">
        <w:t>E</w:t>
      </w:r>
      <w:r w:rsidR="003A7FFA">
        <w:t>uratome</w:t>
      </w:r>
      <w:proofErr w:type="spellEnd"/>
      <w:r w:rsidRPr="00CE1760">
        <w:t xml:space="preserve">, ktorá bola na ÚJD SR zriadená na základe uznesenia vlády SR č. 442/2006. V priebehu roka sa uskutočnili dve zasadnutia, a to v júni a v novembri 2023. Na rokovaniach sa diskutovali aktuálne témy, napríklad výsledky misie ARTEMIS, príprava a výstupy zasadnutia ENEF, vznik Jadrovej aliancie, aktivity v rámci Horizontu Európa, téma malých modulárnych reaktorov (projekt PHOENIX) a zároveň sa prijímali odporúčania na implementáciu Zmluvy o </w:t>
      </w:r>
      <w:proofErr w:type="spellStart"/>
      <w:r w:rsidRPr="00CE1760">
        <w:t>Euratome</w:t>
      </w:r>
      <w:proofErr w:type="spellEnd"/>
      <w:r w:rsidRPr="00CE1760">
        <w:t>. V budúcom roku bude skupina pokračovať vo svojej činnosti a riešiť aktuálne otázky.</w:t>
      </w:r>
    </w:p>
    <w:p w14:paraId="25920134" w14:textId="77777777" w:rsidR="00B505C4" w:rsidRPr="00B505C4" w:rsidRDefault="00B505C4" w:rsidP="00B505C4">
      <w:pPr>
        <w:pStyle w:val="Zkladntext"/>
        <w:spacing w:after="0"/>
        <w:jc w:val="both"/>
        <w:rPr>
          <w:rFonts w:eastAsiaTheme="minorHAnsi"/>
          <w:color w:val="000000"/>
          <w:szCs w:val="24"/>
          <w:lang w:eastAsia="en-US"/>
        </w:rPr>
      </w:pPr>
    </w:p>
    <w:p w14:paraId="082D78F5" w14:textId="77777777" w:rsidR="0076640B" w:rsidRPr="000F273D" w:rsidRDefault="0076640B" w:rsidP="00333861">
      <w:pPr>
        <w:pStyle w:val="Nadpis2"/>
        <w:ind w:hanging="556"/>
      </w:pPr>
      <w:bookmarkStart w:id="56" w:name="_Toc161214328"/>
      <w:r w:rsidRPr="000F273D">
        <w:t>Spolupráca európskych dozorov (</w:t>
      </w:r>
      <w:r w:rsidRPr="00256D03">
        <w:t>WENRA</w:t>
      </w:r>
      <w:r w:rsidRPr="000F273D">
        <w:t>)</w:t>
      </w:r>
      <w:bookmarkEnd w:id="56"/>
    </w:p>
    <w:p w14:paraId="538610CA" w14:textId="77777777" w:rsidR="0076640B" w:rsidRPr="001C1CFD" w:rsidRDefault="0076640B" w:rsidP="0076640B"/>
    <w:p w14:paraId="593F01A7" w14:textId="55535564" w:rsidR="0076640B" w:rsidRDefault="0076640B" w:rsidP="0076640B">
      <w:pPr>
        <w:jc w:val="both"/>
        <w:rPr>
          <w:rFonts w:eastAsiaTheme="minorHAnsi"/>
          <w:color w:val="000000"/>
          <w:szCs w:val="24"/>
          <w:lang w:eastAsia="en-US"/>
        </w:rPr>
      </w:pPr>
      <w:r>
        <w:rPr>
          <w:rFonts w:eastAsiaTheme="minorHAnsi"/>
          <w:color w:val="000000"/>
          <w:szCs w:val="24"/>
          <w:lang w:eastAsia="en-US"/>
        </w:rPr>
        <w:t xml:space="preserve">WENRA je nezávislé združenie európskych národných jadrových dozorov zamerané na vytvorenie, implementáciu a šírenie harmonizovaných modelových úrovní jadrovej bezpečnosti. Poslaním WENRA je spolupráca dozorov na neustálom zvyšovaní </w:t>
      </w:r>
      <w:r w:rsidRPr="0065301B">
        <w:rPr>
          <w:rFonts w:eastAsiaTheme="minorHAnsi"/>
          <w:color w:val="000000"/>
          <w:szCs w:val="24"/>
          <w:lang w:eastAsia="en-US"/>
        </w:rPr>
        <w:t>a harmonizovaní bezpečnosti JZ v EÚ, Švajčiarsku a ďalších členských krajinách WENRA. Momentálne má združenie 18 riadnych členov vrátane ÚJD</w:t>
      </w:r>
      <w:r w:rsidR="000F23D7" w:rsidRPr="0065301B">
        <w:rPr>
          <w:rFonts w:eastAsiaTheme="minorHAnsi"/>
          <w:color w:val="000000"/>
          <w:szCs w:val="24"/>
          <w:lang w:eastAsia="en-US"/>
        </w:rPr>
        <w:t> </w:t>
      </w:r>
      <w:r w:rsidRPr="0065301B">
        <w:rPr>
          <w:rFonts w:eastAsiaTheme="minorHAnsi"/>
          <w:color w:val="000000"/>
          <w:szCs w:val="24"/>
          <w:lang w:eastAsia="en-US"/>
        </w:rPr>
        <w:t>SR. Okrem riadnych členov sa na aktivitách WENRA podieľajú aj dozorné orgány iných krajín (so štatútom pridruženého člena,</w:t>
      </w:r>
      <w:r>
        <w:rPr>
          <w:rFonts w:eastAsiaTheme="minorHAnsi"/>
          <w:color w:val="000000"/>
          <w:szCs w:val="24"/>
          <w:lang w:eastAsia="en-US"/>
        </w:rPr>
        <w:t xml:space="preserve"> príp. pozorovateľa). ÚJD</w:t>
      </w:r>
      <w:r w:rsidR="000F23D7">
        <w:rPr>
          <w:rFonts w:eastAsiaTheme="minorHAnsi"/>
          <w:color w:val="000000"/>
          <w:szCs w:val="24"/>
          <w:lang w:eastAsia="en-US"/>
        </w:rPr>
        <w:t> </w:t>
      </w:r>
      <w:r>
        <w:rPr>
          <w:rFonts w:eastAsiaTheme="minorHAnsi"/>
          <w:color w:val="000000"/>
          <w:szCs w:val="24"/>
          <w:lang w:eastAsia="en-US"/>
        </w:rPr>
        <w:t xml:space="preserve">SR aktívne pracuje v dvoch pracovných skupinách – PS pre harmonizáciu požiadaviek na bezpečnosť jadrových reaktorov a PS pre harmonizáciu požiadaviek na bezpečnosť nakladania s </w:t>
      </w:r>
      <w:r w:rsidR="001E7F1B">
        <w:rPr>
          <w:rFonts w:eastAsiaTheme="minorHAnsi"/>
          <w:color w:val="000000"/>
          <w:szCs w:val="24"/>
          <w:lang w:eastAsia="en-US"/>
        </w:rPr>
        <w:t>RAO</w:t>
      </w:r>
      <w:r>
        <w:rPr>
          <w:rFonts w:eastAsiaTheme="minorHAnsi"/>
          <w:color w:val="000000"/>
          <w:szCs w:val="24"/>
          <w:lang w:eastAsia="en-US"/>
        </w:rPr>
        <w:t xml:space="preserve"> a vyraďovania JZ z prevádzky.</w:t>
      </w:r>
    </w:p>
    <w:p w14:paraId="612F4F90" w14:textId="77777777" w:rsidR="0076640B" w:rsidRPr="00B40B47" w:rsidRDefault="0076640B" w:rsidP="0076640B">
      <w:pPr>
        <w:pStyle w:val="Zarkazkladnhotextu"/>
        <w:tabs>
          <w:tab w:val="left" w:pos="708"/>
        </w:tabs>
        <w:spacing w:after="0"/>
        <w:ind w:left="0"/>
        <w:jc w:val="both"/>
        <w:rPr>
          <w:noProof/>
          <w:szCs w:val="24"/>
        </w:rPr>
      </w:pPr>
    </w:p>
    <w:p w14:paraId="6F0C36BA" w14:textId="77777777" w:rsidR="0076640B" w:rsidRPr="00333861" w:rsidRDefault="0076640B" w:rsidP="00333861">
      <w:pPr>
        <w:pStyle w:val="Nadpis2"/>
        <w:ind w:hanging="556"/>
      </w:pPr>
      <w:bookmarkStart w:id="57" w:name="_Toc161214329"/>
      <w:r w:rsidRPr="00333861">
        <w:t xml:space="preserve">Spolupráca s Medzinárodnou agentúrou pre atómovú energiu </w:t>
      </w:r>
      <w:r w:rsidRPr="00256D03">
        <w:t>(MAAE</w:t>
      </w:r>
      <w:r w:rsidRPr="00333861">
        <w:t>)</w:t>
      </w:r>
      <w:bookmarkEnd w:id="57"/>
    </w:p>
    <w:p w14:paraId="429C8198" w14:textId="77777777" w:rsidR="0076640B" w:rsidRPr="00F90244" w:rsidRDefault="0076640B" w:rsidP="0076640B">
      <w:pPr>
        <w:jc w:val="both"/>
        <w:rPr>
          <w:noProof/>
          <w:szCs w:val="24"/>
          <w:highlight w:val="green"/>
        </w:rPr>
      </w:pPr>
    </w:p>
    <w:p w14:paraId="4A331A2D" w14:textId="77777777" w:rsidR="000D52CC" w:rsidRDefault="00B505C4" w:rsidP="00B505C4">
      <w:pPr>
        <w:jc w:val="both"/>
      </w:pPr>
      <w:r w:rsidRPr="00CE1760">
        <w:t xml:space="preserve">Najvýznamnejšiu úlohu v oblasti medzinárodnej spolupráce vzhľadom na politicko-odborný a medzinárodný význam a širokú škálu možností v rámci programov technickej spolupráce a pomoci v oblasti mierového využívania jadrovej energie; využívania jadrových aplikácií na energetické a neenergetické účely; budovania a posilňovania národných expertných kapacít; výmeny know-how a prístupu k technológiám v SR zohráva </w:t>
      </w:r>
      <w:r w:rsidR="00E929E9">
        <w:t>M</w:t>
      </w:r>
      <w:r w:rsidRPr="00CE1760">
        <w:t>AAE so sídlom vo Viedni. Spolupráca SR s MAAE sa v predmetnom portfóliu uskutočňovala prierezovo, najmä v oblasti energetiky, jadrovej bezpečnosti a radiačnej ochrany, životného prostredia, zdravotníctva, vedy a výskumu. V roku 2023 sa uskutočnili: Tretie mimoriadne zasadnutie Generálnej konferencie</w:t>
      </w:r>
      <w:r w:rsidR="00FB1B08">
        <w:t xml:space="preserve"> MAAE (GK MAAE)</w:t>
      </w:r>
      <w:r w:rsidRPr="00CE1760">
        <w:t>; 67. zasadnutie G</w:t>
      </w:r>
      <w:r w:rsidR="00FB1B08">
        <w:t>K MAAE</w:t>
      </w:r>
      <w:r w:rsidRPr="00CE1760">
        <w:t xml:space="preserve"> (25.</w:t>
      </w:r>
      <w:r w:rsidR="00D835E9">
        <w:t> – </w:t>
      </w:r>
      <w:r w:rsidRPr="00CE1760">
        <w:t>29.</w:t>
      </w:r>
      <w:r w:rsidR="00D835E9">
        <w:t> </w:t>
      </w:r>
      <w:r w:rsidRPr="00CE1760">
        <w:t>9.</w:t>
      </w:r>
      <w:r w:rsidR="00D835E9">
        <w:t> </w:t>
      </w:r>
      <w:r w:rsidRPr="00CE1760">
        <w:t xml:space="preserve">2023); zasadnutia Rady Guvernérov MAAE (marec, jún, september, november); zasadnutie Programového a rozpočtového výboru (máj) a zasadnutie Výboru pre technickú pomoc a spoluprácu (november). Experti SR sa aktívne zapájali do práce expertných skupín a výborov MAAE. </w:t>
      </w:r>
    </w:p>
    <w:p w14:paraId="32097172" w14:textId="5D4F6719" w:rsidR="00B505C4" w:rsidRPr="00CE1760" w:rsidRDefault="00B505C4" w:rsidP="00B505C4">
      <w:pPr>
        <w:jc w:val="both"/>
      </w:pPr>
      <w:r w:rsidRPr="00CE1760">
        <w:t xml:space="preserve">Z pohľadu transferu vedecko-expertných poznatkov, know-how a jadrových technológií na národnú úroveň bola spolupráca SR s MAAE zabezpečovaná o.i. aj realizáciou 2 národných, </w:t>
      </w:r>
      <w:r w:rsidRPr="00CE1760">
        <w:lastRenderedPageBreak/>
        <w:t xml:space="preserve">viac ako 30 regionálnych a 2 interregionálnych projektov v rámci Programu technickej spolupráce (TCP) MAAE. V nadväznosti na prípravnú fázu cyklu TCP MAAE na obdobie 2024-2025, Rada Guvernérov MAAE v novembri 2023 schválila 3 národné projekty 2 regionálne projekty navrhnuté SR. </w:t>
      </w:r>
    </w:p>
    <w:p w14:paraId="74365E97" w14:textId="2884ADBB" w:rsidR="00B505C4" w:rsidRPr="00CE1760" w:rsidRDefault="00B505C4" w:rsidP="00B505C4">
      <w:pPr>
        <w:jc w:val="both"/>
      </w:pPr>
      <w:r w:rsidRPr="00CE1760">
        <w:t>ÚJD SR sa zúčastňuje aj na práci Komisie pre bezpečnostné štandardy (</w:t>
      </w:r>
      <w:r w:rsidRPr="00380089">
        <w:t>CSS),</w:t>
      </w:r>
      <w:r w:rsidRPr="00CE1760">
        <w:t xml:space="preserve"> ktorej hlavnou náplňou je proces prípravy a posudzovania nových alebo novelizovaných bezpečnostných štandardov. </w:t>
      </w:r>
    </w:p>
    <w:p w14:paraId="410B6984" w14:textId="6E59E6AF" w:rsidR="00B505C4" w:rsidRPr="00CE1760" w:rsidRDefault="00B84562" w:rsidP="00B505C4">
      <w:pPr>
        <w:jc w:val="both"/>
      </w:pPr>
      <w:r>
        <w:t>Na</w:t>
      </w:r>
      <w:r w:rsidR="00B505C4" w:rsidRPr="005A676B">
        <w:t xml:space="preserve"> rok 2023 bol uhradený riadny členský príspevok SR do MAAE vo výške 531</w:t>
      </w:r>
      <w:r w:rsidR="00D835E9" w:rsidRPr="005A676B">
        <w:t> </w:t>
      </w:r>
      <w:r w:rsidR="00B505C4" w:rsidRPr="005A676B">
        <w:t>274</w:t>
      </w:r>
      <w:r w:rsidR="00D835E9" w:rsidRPr="005A676B">
        <w:t xml:space="preserve"> eur</w:t>
      </w:r>
      <w:r w:rsidR="00B505C4" w:rsidRPr="005A676B">
        <w:t xml:space="preserve"> a</w:t>
      </w:r>
      <w:r w:rsidR="00D835E9" w:rsidRPr="005A676B">
        <w:t> </w:t>
      </w:r>
      <w:r w:rsidR="00B505C4" w:rsidRPr="005A676B">
        <w:t>85</w:t>
      </w:r>
      <w:r w:rsidR="00D835E9" w:rsidRPr="005A676B">
        <w:t> </w:t>
      </w:r>
      <w:r w:rsidR="00B505C4" w:rsidRPr="005A676B">
        <w:t xml:space="preserve">843 </w:t>
      </w:r>
      <w:r w:rsidR="00D835E9" w:rsidRPr="005A676B">
        <w:t>amerických dolárov</w:t>
      </w:r>
      <w:r>
        <w:t xml:space="preserve">, </w:t>
      </w:r>
      <w:r w:rsidR="00B505C4" w:rsidRPr="005A676B">
        <w:t>príspevok do Fondu technickej spolupráce MAAE vo výške 139</w:t>
      </w:r>
      <w:r>
        <w:t> </w:t>
      </w:r>
      <w:r w:rsidR="00B505C4" w:rsidRPr="005A676B">
        <w:t xml:space="preserve">592 </w:t>
      </w:r>
      <w:r w:rsidR="00D835E9" w:rsidRPr="005A676B">
        <w:t>eur</w:t>
      </w:r>
      <w:r>
        <w:t xml:space="preserve"> a národný </w:t>
      </w:r>
      <w:proofErr w:type="spellStart"/>
      <w:r>
        <w:t>participačný</w:t>
      </w:r>
      <w:proofErr w:type="spellEnd"/>
      <w:r>
        <w:t xml:space="preserve"> príspevok vo výške 3 340 eur.</w:t>
      </w:r>
    </w:p>
    <w:p w14:paraId="02F9DD90" w14:textId="4528430E" w:rsidR="0076640B" w:rsidRPr="00CE1760" w:rsidRDefault="00B505C4" w:rsidP="00B505C4">
      <w:pPr>
        <w:jc w:val="both"/>
      </w:pPr>
      <w:r w:rsidRPr="00CE1760">
        <w:t>V úvode rok</w:t>
      </w:r>
      <w:r w:rsidR="00112F3A">
        <w:t>a</w:t>
      </w:r>
      <w:r w:rsidRPr="00CE1760">
        <w:t xml:space="preserve"> 2023 S</w:t>
      </w:r>
      <w:r w:rsidR="00040B75">
        <w:t>R</w:t>
      </w:r>
      <w:r w:rsidRPr="00CE1760">
        <w:t xml:space="preserve"> pripravovala a hostila medzinárodnú partnerskú hodnotiacu misiu MAAE ARTEMIS. V dňoch 12.</w:t>
      </w:r>
      <w:r w:rsidR="00D835E9">
        <w:t> – </w:t>
      </w:r>
      <w:r w:rsidRPr="00CE1760">
        <w:t>22.</w:t>
      </w:r>
      <w:r w:rsidR="00D835E9">
        <w:t> 2. </w:t>
      </w:r>
      <w:r w:rsidRPr="00CE1760">
        <w:t>2023 misia ARTEMIS posúdila vnútroštátnu politiku a vnútroštátny program nakladania s</w:t>
      </w:r>
      <w:r w:rsidR="00AB24BD">
        <w:t xml:space="preserve"> VJP</w:t>
      </w:r>
      <w:r w:rsidRPr="00CE1760">
        <w:t xml:space="preserve"> a s </w:t>
      </w:r>
      <w:r w:rsidR="00AB24BD">
        <w:t>RAO</w:t>
      </w:r>
      <w:r w:rsidRPr="00CE1760">
        <w:t xml:space="preserve">, vyraďovania </w:t>
      </w:r>
      <w:r w:rsidR="00123458">
        <w:t>JZ</w:t>
      </w:r>
      <w:r w:rsidRPr="00CE1760">
        <w:t xml:space="preserve"> a </w:t>
      </w:r>
      <w:proofErr w:type="spellStart"/>
      <w:r w:rsidRPr="00CE1760">
        <w:t>remediácie</w:t>
      </w:r>
      <w:proofErr w:type="spellEnd"/>
      <w:r w:rsidRPr="00CE1760">
        <w:t xml:space="preserve">. Misiu zastrešil Národný jadrový fond v spolupráci s ÚJD SR a ďalšími rezortmi a štátnymi organizáciami. Tím medzinárodných expertov posúdil situáciu v SR a odovzdal SR záverečnú správu obsahujúcu tiež identifikované dobré praxe, ako aj odporúčania a návrhy pre zlepšenie, ktoré budú zohľadnené v akčnom pláne a pri aktualizácii vnútroštátneho programu nakladania s VJP a RAO v SR. V novembri 2023 hostila SR ďalšiu hodnotiacu misiu MAAE, OSART, ktorá posúdila prevádzkovú bezpečnosť </w:t>
      </w:r>
      <w:r w:rsidR="00D835E9">
        <w:t>JE</w:t>
      </w:r>
      <w:r w:rsidRPr="00CE1760">
        <w:t xml:space="preserve"> V2 v Jaslovských Bohuniciach. V priebehu rok</w:t>
      </w:r>
      <w:r w:rsidR="00D835E9">
        <w:t>a</w:t>
      </w:r>
      <w:r w:rsidRPr="00CE1760">
        <w:t xml:space="preserve"> 2023 sa ÚJD SR v spolupráci s ďalšími štátnymi organizáciami podieľal na príprave a implementácii akčných plánov opatrení nadväzujúcich na vykonané misie IRRS z októbra 2022 a ARTEMIS.</w:t>
      </w:r>
    </w:p>
    <w:p w14:paraId="064D659B" w14:textId="77777777" w:rsidR="00B505C4" w:rsidRPr="00FF7C27" w:rsidRDefault="00B505C4" w:rsidP="00B505C4">
      <w:pPr>
        <w:jc w:val="both"/>
        <w:rPr>
          <w:iCs/>
          <w:color w:val="000000"/>
          <w:szCs w:val="24"/>
          <w:highlight w:val="green"/>
        </w:rPr>
      </w:pPr>
    </w:p>
    <w:p w14:paraId="46B57D62" w14:textId="60BB00B6" w:rsidR="0076640B" w:rsidRPr="00333861" w:rsidRDefault="0076640B" w:rsidP="00333861">
      <w:pPr>
        <w:pStyle w:val="Nadpis2"/>
        <w:ind w:hanging="556"/>
      </w:pPr>
      <w:bookmarkStart w:id="58" w:name="_Toc161214330"/>
      <w:r w:rsidRPr="00333861">
        <w:t xml:space="preserve">Spolupráca s Organizáciou </w:t>
      </w:r>
      <w:r w:rsidR="00EE2BCC" w:rsidRPr="00333861">
        <w:t>Z</w:t>
      </w:r>
      <w:r w:rsidRPr="00333861">
        <w:t>mluvy o všeobecnom zákaze jadrových skúšok (CTBTO)</w:t>
      </w:r>
      <w:bookmarkEnd w:id="58"/>
    </w:p>
    <w:p w14:paraId="3B97E88E" w14:textId="77777777" w:rsidR="0076640B" w:rsidRPr="00A82BBF" w:rsidRDefault="0076640B" w:rsidP="0076640B">
      <w:pPr>
        <w:pStyle w:val="Zkladntext"/>
        <w:spacing w:after="0"/>
        <w:jc w:val="both"/>
      </w:pPr>
    </w:p>
    <w:p w14:paraId="3A610246" w14:textId="4EA78812" w:rsidR="00B505C4" w:rsidRPr="00CE1760" w:rsidRDefault="00B505C4" w:rsidP="00B505C4">
      <w:pPr>
        <w:jc w:val="both"/>
      </w:pPr>
      <w:r w:rsidRPr="00CE1760">
        <w:t>Dňa 3.</w:t>
      </w:r>
      <w:r w:rsidR="00D85803">
        <w:t> 3. </w:t>
      </w:r>
      <w:r w:rsidRPr="00CE1760">
        <w:t>1998 vláda SR ratifikovala Zmluvu o všeobecnom zákaze jadrových skúšok (The Comprehensive Nuclear-Test-Ban Treaty: CTBT) a uznesením č. 514/1997 uložila ÚJD SR zabezpečiť vykonávanie funkcie Národného orgánu pre styk s Prípravnou komisiou Organizácie Zmluvy o všeobecnom zákaze jadrových skúšok (CTBTO). Napriek silnej medzinárodnej podpore Zmluva do dnešného dňa nevstúpila do platnosti. Zmluva CTBT je v súčasnosti považovaná za jeden zo základných pilierov globálneho jadrového odzbrojenia.</w:t>
      </w:r>
    </w:p>
    <w:p w14:paraId="5A93A795" w14:textId="7DDDA4A8" w:rsidR="00B505C4" w:rsidRPr="00CE1760" w:rsidRDefault="00B505C4" w:rsidP="00B505C4">
      <w:pPr>
        <w:jc w:val="both"/>
      </w:pPr>
      <w:r w:rsidRPr="00CE1760">
        <w:t>ÚJD SR sa aktívne zúčastňuje na procese prípravy na vstup zmluvy CTBT do platnosti, a to predovšetkým prostredníctvom účasti svojich zástupcov na zasadnutiach Prípravnej komisie CTBTO a jej pracovných skupín, hostenia výcvikových kurzov CTBTO na území SR pre oblasť tzv. Inšpekcií na mieste (On-Site Inspections) a podpory vzdelávania expertov a budúcich inšpektorov CTBT.</w:t>
      </w:r>
    </w:p>
    <w:p w14:paraId="6D8C3DF7" w14:textId="195F7E92" w:rsidR="00B505C4" w:rsidRPr="00CE1760" w:rsidRDefault="00B505C4" w:rsidP="00B505C4">
      <w:pPr>
        <w:jc w:val="both"/>
      </w:pPr>
      <w:r w:rsidRPr="00CE1760">
        <w:t>V rámci expertno-technického i medzinárodného významu členstva SR v CTBTO sa presadzovanie záujmov SR na pôde CTBTO v roku 2023 zabezpečovalo prostredníctvom účasti SR na zasadnutiach Prípravnej komisie CTBTO v termínoch 12.</w:t>
      </w:r>
      <w:r w:rsidR="00D85803">
        <w:t> – </w:t>
      </w:r>
      <w:r w:rsidRPr="00CE1760">
        <w:t>14.</w:t>
      </w:r>
      <w:r w:rsidR="00D85803">
        <w:t> </w:t>
      </w:r>
      <w:r w:rsidRPr="00CE1760">
        <w:t>6.</w:t>
      </w:r>
      <w:r w:rsidR="00D85803">
        <w:t xml:space="preserve"> 2023</w:t>
      </w:r>
      <w:r w:rsidRPr="00CE1760">
        <w:t xml:space="preserve"> a 13.</w:t>
      </w:r>
      <w:r w:rsidR="00D85803">
        <w:t> – </w:t>
      </w:r>
      <w:r w:rsidRPr="00CE1760">
        <w:t>15.</w:t>
      </w:r>
      <w:r w:rsidR="00D85803">
        <w:t> </w:t>
      </w:r>
      <w:r w:rsidRPr="00CE1760">
        <w:t>11.</w:t>
      </w:r>
      <w:r w:rsidR="00D85803">
        <w:t> 2023</w:t>
      </w:r>
      <w:r w:rsidRPr="00CE1760">
        <w:t>; zasadnutiach pracovnej skupiny A v termínoch 24.</w:t>
      </w:r>
      <w:r w:rsidR="00D85803">
        <w:t> – </w:t>
      </w:r>
      <w:r w:rsidRPr="00CE1760">
        <w:t>25.</w:t>
      </w:r>
      <w:r w:rsidR="00D85803">
        <w:t> </w:t>
      </w:r>
      <w:r w:rsidRPr="00CE1760">
        <w:t>5.</w:t>
      </w:r>
      <w:r w:rsidR="00D85803">
        <w:t> 2023</w:t>
      </w:r>
      <w:r w:rsidRPr="00CE1760">
        <w:t xml:space="preserve"> a 16.</w:t>
      </w:r>
      <w:r w:rsidR="00D85803">
        <w:t> – 1</w:t>
      </w:r>
      <w:r w:rsidRPr="00CE1760">
        <w:t>8.</w:t>
      </w:r>
      <w:r w:rsidR="00D85803">
        <w:t> </w:t>
      </w:r>
      <w:r w:rsidRPr="00CE1760">
        <w:t>10.</w:t>
      </w:r>
      <w:r w:rsidR="00D85803">
        <w:t> 2023</w:t>
      </w:r>
      <w:r w:rsidRPr="00CE1760">
        <w:t>; a zasadnutiach pracovnej skupiny B v termínoch 13.</w:t>
      </w:r>
      <w:r w:rsidR="00D85803">
        <w:t> – </w:t>
      </w:r>
      <w:r w:rsidRPr="00CE1760">
        <w:t>24.</w:t>
      </w:r>
      <w:r w:rsidR="00D85803">
        <w:t> </w:t>
      </w:r>
      <w:r w:rsidRPr="00CE1760">
        <w:t>3.</w:t>
      </w:r>
      <w:r w:rsidR="00D85803">
        <w:t> 2023</w:t>
      </w:r>
      <w:r w:rsidRPr="00CE1760">
        <w:t xml:space="preserve"> a 21.</w:t>
      </w:r>
      <w:r w:rsidR="00D85803">
        <w:t> </w:t>
      </w:r>
      <w:r w:rsidRPr="00CE1760">
        <w:t>8.</w:t>
      </w:r>
      <w:r w:rsidR="00D85803">
        <w:t> – </w:t>
      </w:r>
      <w:r w:rsidRPr="00CE1760">
        <w:t>1.</w:t>
      </w:r>
      <w:r w:rsidR="00D85803">
        <w:t> </w:t>
      </w:r>
      <w:r w:rsidRPr="00CE1760">
        <w:t>9.</w:t>
      </w:r>
      <w:r w:rsidR="00D85803">
        <w:t> 2023.</w:t>
      </w:r>
    </w:p>
    <w:p w14:paraId="73F34C9C" w14:textId="1D3A5626" w:rsidR="00B505C4" w:rsidRPr="00CE1760" w:rsidRDefault="00B505C4" w:rsidP="00B505C4">
      <w:pPr>
        <w:jc w:val="both"/>
      </w:pPr>
      <w:r w:rsidRPr="00CE1760">
        <w:t>V dňoch 24.</w:t>
      </w:r>
      <w:r w:rsidR="00BB2C2B">
        <w:t> – </w:t>
      </w:r>
      <w:r w:rsidRPr="00CE1760">
        <w:t>30.</w:t>
      </w:r>
      <w:r w:rsidR="00BB2C2B">
        <w:t> </w:t>
      </w:r>
      <w:r w:rsidRPr="00CE1760">
        <w:t>4.</w:t>
      </w:r>
      <w:r w:rsidR="00BB2C2B">
        <w:t> </w:t>
      </w:r>
      <w:r w:rsidRPr="00CE1760">
        <w:t xml:space="preserve">2023 sa uskutočnil 25. úvodný regionálny kurz pre budúcich inšpektorov CTBTO – cvičenie RIC-25, ktoré organizoval Dočasný sekretariát Prípravnej komisie CTBTO v spolupráci s ÚJD SR, ako vecne príslušným gestorom pre spoluprácu s CTBTO, v priestoroch účelového zariadenia Kancelárie NR SR Častá-Papiernička a priľahlých lesných oblastiach. Cieľom cvičenia RIC-25 bolo oboznámiť expertov nominovaných signatárskymi štátmi zmluvy CTBT s priebehom a technikami potrebnými na výkon inšpekcií na mieste (On-Site Inspection – OSI), rozšíriť okruh expertov z geografického regiónu Východnej Európy a identifikovať </w:t>
      </w:r>
      <w:r w:rsidRPr="00CE1760">
        <w:lastRenderedPageBreak/>
        <w:t xml:space="preserve">možných kandidátov na budúcich inšpektorov CTBTO. ÚJD SR zabezpečil organizačnú prípravu a samotné hosťovanie cvičenia RIC-25 vrátane splnenia potrebných administratívnych, technických, logistických a vecných úloh súvisiacich s jeho konaním (v súlade s Implementačným protokolom uzatvoreným vo forme výmeny listov v zmysle čl. 6 Dohody medzi vládou SR a Prípravnou komisiou CTBTO o vzájomnej spolupráci pri výcviku a realizácií činností Komisie týkajúcich sa inšpekcií na mieste). </w:t>
      </w:r>
    </w:p>
    <w:p w14:paraId="57CEE652" w14:textId="092F5730" w:rsidR="00B505C4" w:rsidRPr="00CE1760" w:rsidRDefault="00B505C4" w:rsidP="00B505C4">
      <w:pPr>
        <w:jc w:val="both"/>
      </w:pPr>
      <w:r w:rsidRPr="00CE1760">
        <w:t>V dňoch 19.</w:t>
      </w:r>
      <w:r w:rsidR="00BB2C2B">
        <w:t> – </w:t>
      </w:r>
      <w:r w:rsidRPr="00CE1760">
        <w:t>23.</w:t>
      </w:r>
      <w:r w:rsidR="00BB2C2B">
        <w:t> </w:t>
      </w:r>
      <w:r w:rsidRPr="00CE1760">
        <w:t>6.</w:t>
      </w:r>
      <w:r w:rsidR="00BB2C2B">
        <w:t> </w:t>
      </w:r>
      <w:r w:rsidRPr="00CE1760">
        <w:t xml:space="preserve">2023 prebehla vo Viedni vedecká konferencia </w:t>
      </w:r>
      <w:proofErr w:type="spellStart"/>
      <w:r w:rsidR="000C4534">
        <w:t>Science</w:t>
      </w:r>
      <w:proofErr w:type="spellEnd"/>
      <w:r w:rsidR="000C4534">
        <w:t xml:space="preserve"> and </w:t>
      </w:r>
      <w:proofErr w:type="spellStart"/>
      <w:r w:rsidR="000C4534">
        <w:t>Technology</w:t>
      </w:r>
      <w:proofErr w:type="spellEnd"/>
      <w:r w:rsidR="000C4534">
        <w:t xml:space="preserve"> </w:t>
      </w:r>
      <w:proofErr w:type="spellStart"/>
      <w:r w:rsidR="000C4534">
        <w:t>Conference</w:t>
      </w:r>
      <w:proofErr w:type="spellEnd"/>
      <w:r w:rsidR="000C4534">
        <w:t xml:space="preserve"> 2023 (</w:t>
      </w:r>
      <w:proofErr w:type="spellStart"/>
      <w:r w:rsidR="000C4534">
        <w:t>SnT</w:t>
      </w:r>
      <w:proofErr w:type="spellEnd"/>
      <w:r w:rsidR="000C4534">
        <w:t xml:space="preserve">) </w:t>
      </w:r>
      <w:r w:rsidRPr="00CE1760">
        <w:t>organizovaná pod záštitou CTBTO. Jednou z hlavných tém konferencie boli inšpekcie na mieste, v</w:t>
      </w:r>
      <w:r w:rsidR="008F7135">
        <w:t xml:space="preserve"> oblasti</w:t>
      </w:r>
      <w:r w:rsidRPr="00CE1760">
        <w:t> ktorých sa angažuje aj S</w:t>
      </w:r>
      <w:r w:rsidR="00040B75">
        <w:t>R</w:t>
      </w:r>
      <w:r w:rsidRPr="00CE1760">
        <w:t xml:space="preserve">. </w:t>
      </w:r>
    </w:p>
    <w:p w14:paraId="2B39B2BA" w14:textId="78307F89" w:rsidR="00B505C4" w:rsidRPr="00CE1760" w:rsidRDefault="00B505C4" w:rsidP="00B505C4">
      <w:pPr>
        <w:jc w:val="both"/>
      </w:pPr>
      <w:r w:rsidRPr="00CE1760">
        <w:t xml:space="preserve">ÚJD SR dlhodobo podporuje výchovu expertov a budúcich inšpektorov CTBTO a aktívne spolupracuje s Fakultou matematiky, fyziky a informatiky Univerzity Komenského v </w:t>
      </w:r>
      <w:r w:rsidRPr="008F7135">
        <w:t xml:space="preserve">Bratislave a so Slovenskou akadémiou vied. </w:t>
      </w:r>
    </w:p>
    <w:p w14:paraId="56F87426" w14:textId="7C81B385" w:rsidR="00B505C4" w:rsidRPr="00CE1760" w:rsidRDefault="00B505C4" w:rsidP="00B505C4">
      <w:pPr>
        <w:jc w:val="both"/>
      </w:pPr>
      <w:r w:rsidRPr="005A676B">
        <w:t xml:space="preserve">Za rok 2023 bol uhradený riadny členský príspevok SR do CTBTO vo výške 118 416 </w:t>
      </w:r>
      <w:r w:rsidR="00BB2C2B" w:rsidRPr="005A676B">
        <w:t>amerických dolárov</w:t>
      </w:r>
      <w:r w:rsidRPr="005A676B">
        <w:t xml:space="preserve"> a 85 446 eur.</w:t>
      </w:r>
    </w:p>
    <w:p w14:paraId="148CBB56" w14:textId="77777777" w:rsidR="00B505C4" w:rsidRPr="00CE1760" w:rsidRDefault="00B505C4" w:rsidP="00B505C4">
      <w:pPr>
        <w:jc w:val="both"/>
      </w:pPr>
    </w:p>
    <w:p w14:paraId="1D2EFFB1" w14:textId="77777777" w:rsidR="0076640B" w:rsidRPr="00333861" w:rsidRDefault="0076640B" w:rsidP="00333861">
      <w:pPr>
        <w:pStyle w:val="Nadpis2"/>
        <w:ind w:hanging="556"/>
        <w:rPr>
          <w:rStyle w:val="Nadpis2Char"/>
        </w:rPr>
      </w:pPr>
      <w:bookmarkStart w:id="59" w:name="_Toc161214331"/>
      <w:r w:rsidRPr="00333861">
        <w:t xml:space="preserve">Spolupráca s Agentúrou </w:t>
      </w:r>
      <w:r w:rsidRPr="00333861">
        <w:rPr>
          <w:rStyle w:val="Nadpis2Char"/>
          <w:b/>
          <w:bCs/>
        </w:rPr>
        <w:t>pre jadrovú energiu pri Organizácii pre hospodársku spoluprácu a rozvoj (OECD/NEA)</w:t>
      </w:r>
      <w:bookmarkEnd w:id="59"/>
    </w:p>
    <w:p w14:paraId="2F13E94A" w14:textId="77777777" w:rsidR="0076640B" w:rsidRPr="00CE1760" w:rsidRDefault="0076640B" w:rsidP="00B505C4">
      <w:pPr>
        <w:jc w:val="both"/>
      </w:pPr>
    </w:p>
    <w:p w14:paraId="5781C2D4" w14:textId="315D3858" w:rsidR="00B505C4" w:rsidRPr="00CE1760" w:rsidRDefault="00B505C4" w:rsidP="00B505C4">
      <w:pPr>
        <w:jc w:val="both"/>
      </w:pPr>
      <w:r w:rsidRPr="00CE1760">
        <w:t xml:space="preserve">ÚJD SR ako gestor spolupráce s OECD/NEA na základe uznesenia vlády SR č. 245/2001 koordinuje spoluprácu SR s OECD/NEA a zabezpečuje plnenie záväzkov SR vyplývajúcich z tohto členstva. </w:t>
      </w:r>
      <w:r w:rsidR="002F06D2">
        <w:t xml:space="preserve">Zároveň sa </w:t>
      </w:r>
      <w:r w:rsidRPr="00CE1760">
        <w:t>ÚJD SR aktívne zapája do činnosti OECD/NEA</w:t>
      </w:r>
      <w:r w:rsidR="005C6A24">
        <w:t>, ktorú</w:t>
      </w:r>
      <w:r w:rsidR="007210F2">
        <w:t xml:space="preserve"> riadi Riadiaci výbor (RV) pre jadrovú energiu</w:t>
      </w:r>
      <w:r w:rsidR="005C6A24">
        <w:t>. O</w:t>
      </w:r>
      <w:r w:rsidR="007210F2">
        <w:t xml:space="preserve">d roku 2016 </w:t>
      </w:r>
      <w:r w:rsidR="005C6A24">
        <w:t>je na čele RV</w:t>
      </w:r>
      <w:r w:rsidR="007210F2">
        <w:t xml:space="preserve"> predsedníčka ÚJD SR.</w:t>
      </w:r>
      <w:r w:rsidRPr="00CE1760">
        <w:t xml:space="preserve"> </w:t>
      </w:r>
      <w:r w:rsidR="002F06D2">
        <w:t>Komplexná informácia o vyhodnotení</w:t>
      </w:r>
      <w:r w:rsidRPr="00CE1760">
        <w:t xml:space="preserve"> spolupráce SR s OECD/NEA za 4. štvrťrok 2022 a 1. štvrťrok 2023</w:t>
      </w:r>
      <w:r w:rsidR="002F06D2">
        <w:t xml:space="preserve"> bola odoslaná</w:t>
      </w:r>
      <w:r w:rsidRPr="00CE1760">
        <w:t xml:space="preserve"> na MZVEZ SR dňa 28.</w:t>
      </w:r>
      <w:r w:rsidR="000F50E8">
        <w:t> 3. </w:t>
      </w:r>
      <w:r w:rsidRPr="00CE1760">
        <w:t>2023 a za 2. a 3. štvrťrok 2023 dňa 2.</w:t>
      </w:r>
      <w:r w:rsidR="000F50E8">
        <w:t> 10. </w:t>
      </w:r>
      <w:r w:rsidRPr="00CE1760">
        <w:t>2023</w:t>
      </w:r>
      <w:r w:rsidR="005C6A24">
        <w:t xml:space="preserve">. </w:t>
      </w:r>
      <w:r w:rsidR="00745FEC">
        <w:t>Z</w:t>
      </w:r>
      <w:r w:rsidRPr="00CE1760">
        <w:t>ástupcov</w:t>
      </w:r>
      <w:r w:rsidR="00745FEC">
        <w:t>ia</w:t>
      </w:r>
      <w:r w:rsidRPr="00CE1760">
        <w:t xml:space="preserve"> ÚJD SR</w:t>
      </w:r>
      <w:r w:rsidR="00745FEC">
        <w:t xml:space="preserve"> sa </w:t>
      </w:r>
      <w:r w:rsidR="008C6295">
        <w:t xml:space="preserve">v roku 2023 </w:t>
      </w:r>
      <w:r w:rsidR="00745FEC">
        <w:t>zúčastnili</w:t>
      </w:r>
      <w:r w:rsidRPr="00CE1760">
        <w:t xml:space="preserve"> na 145. a 146. zasadnutí RV OECD/NEA, </w:t>
      </w:r>
      <w:r w:rsidR="00745FEC">
        <w:t xml:space="preserve">na </w:t>
      </w:r>
      <w:r w:rsidRPr="00CE1760">
        <w:t xml:space="preserve">zasadnutiach Byra RV OECD/NEA, ako aj na virtuálnych rozpočtových stretnutiach RV OECD/NEA a koordinačných stretnutiach EÚ </w:t>
      </w:r>
      <w:r w:rsidR="002F06D2">
        <w:t>k</w:t>
      </w:r>
      <w:r w:rsidRPr="00CE1760">
        <w:t xml:space="preserve"> programu 145. a 146. zasadnutia RV OECD/NEA</w:t>
      </w:r>
      <w:r w:rsidR="00745FEC">
        <w:t xml:space="preserve">. Rovnako sa </w:t>
      </w:r>
      <w:r w:rsidRPr="00CE1760">
        <w:t>zástupcov</w:t>
      </w:r>
      <w:r w:rsidR="00745FEC">
        <w:t>ia</w:t>
      </w:r>
      <w:r w:rsidRPr="00CE1760">
        <w:t xml:space="preserve"> ÚJD SR</w:t>
      </w:r>
      <w:r w:rsidR="008C6295">
        <w:t xml:space="preserve"> počas roka 2023</w:t>
      </w:r>
      <w:r w:rsidR="00745FEC">
        <w:t xml:space="preserve"> zúčastňovali</w:t>
      </w:r>
      <w:r w:rsidRPr="00CE1760">
        <w:t xml:space="preserve"> na zasadnutiach stálych technických výborov a pracovných a expertných skupín OECD/NEA</w:t>
      </w:r>
      <w:r w:rsidR="00745FEC">
        <w:t>. P</w:t>
      </w:r>
      <w:r w:rsidRPr="00CE1760">
        <w:t>okračovala aktívna spolupráca so Stálou misiou SR pri OECD v Paríži (napr. nominácie zástupov SR do jednotlivých útvarov OECD/NEA, registrácie zástupcov SR na príslušné zasadnutia, organizácia večerí Byra RV OECD/NEA, konzultácie v rámci prípravy na príslušné zasadnutia).</w:t>
      </w:r>
    </w:p>
    <w:p w14:paraId="281C2DFC" w14:textId="6CEC731A" w:rsidR="00B505C4" w:rsidRPr="00CE1760" w:rsidRDefault="00B505C4" w:rsidP="00B505C4">
      <w:pPr>
        <w:jc w:val="both"/>
      </w:pPr>
      <w:r w:rsidRPr="00CE1760">
        <w:t xml:space="preserve">Členské príspevky za rok 2023 do OECD/NEA </w:t>
      </w:r>
      <w:r w:rsidR="002F06D2">
        <w:t xml:space="preserve">v sume </w:t>
      </w:r>
      <w:r w:rsidRPr="00CE1760">
        <w:t>47</w:t>
      </w:r>
      <w:r w:rsidR="000F50E8">
        <w:t> </w:t>
      </w:r>
      <w:r w:rsidRPr="00CE1760">
        <w:t>963</w:t>
      </w:r>
      <w:r w:rsidR="000F50E8">
        <w:t xml:space="preserve"> eur</w:t>
      </w:r>
      <w:r w:rsidRPr="00CE1760">
        <w:t xml:space="preserve"> a NEA </w:t>
      </w:r>
      <w:proofErr w:type="spellStart"/>
      <w:r w:rsidRPr="00CE1760">
        <w:t>Data</w:t>
      </w:r>
      <w:proofErr w:type="spellEnd"/>
      <w:r w:rsidRPr="00CE1760">
        <w:t xml:space="preserve"> Bank </w:t>
      </w:r>
      <w:r w:rsidR="002F06D2">
        <w:t xml:space="preserve">v sume </w:t>
      </w:r>
      <w:r w:rsidRPr="00CE1760">
        <w:t>12 104,01</w:t>
      </w:r>
      <w:r w:rsidR="008C6295">
        <w:t> </w:t>
      </w:r>
      <w:r w:rsidR="000F50E8">
        <w:t>eur</w:t>
      </w:r>
      <w:r w:rsidRPr="00CE1760">
        <w:t xml:space="preserve"> boli uhradené včas a v plnom rozsahu.</w:t>
      </w:r>
    </w:p>
    <w:p w14:paraId="6D68F10F" w14:textId="77777777" w:rsidR="00B505C4" w:rsidRPr="00B505C4" w:rsidRDefault="00B505C4" w:rsidP="00B505C4">
      <w:pPr>
        <w:jc w:val="both"/>
        <w:rPr>
          <w:noProof/>
          <w:szCs w:val="24"/>
        </w:rPr>
      </w:pPr>
    </w:p>
    <w:p w14:paraId="7F1D9C36" w14:textId="78049B84" w:rsidR="0076640B" w:rsidRPr="00333861" w:rsidRDefault="0076640B" w:rsidP="00333861">
      <w:pPr>
        <w:pStyle w:val="Nadpis2"/>
        <w:ind w:hanging="556"/>
      </w:pPr>
      <w:bookmarkStart w:id="60" w:name="_Toc161214332"/>
      <w:r w:rsidRPr="00333861">
        <w:t>Plnenie záväzkov vyplývajúcich z medzinárodných zmluvných dokumentov</w:t>
      </w:r>
      <w:bookmarkEnd w:id="60"/>
    </w:p>
    <w:p w14:paraId="2DFEB343" w14:textId="77777777" w:rsidR="0076640B" w:rsidRPr="0079384E" w:rsidRDefault="0076640B" w:rsidP="008B6E63">
      <w:pPr>
        <w:jc w:val="both"/>
      </w:pPr>
    </w:p>
    <w:p w14:paraId="1F2FDDB2" w14:textId="77777777" w:rsidR="0076640B" w:rsidRPr="0079384E" w:rsidRDefault="0076640B" w:rsidP="008B6E63">
      <w:pPr>
        <w:jc w:val="both"/>
        <w:rPr>
          <w:b/>
          <w:szCs w:val="24"/>
        </w:rPr>
      </w:pPr>
      <w:r w:rsidRPr="0079384E">
        <w:rPr>
          <w:b/>
          <w:szCs w:val="24"/>
        </w:rPr>
        <w:t>Dohovor o jadrovej bezpečnosti</w:t>
      </w:r>
    </w:p>
    <w:p w14:paraId="06E4B5AD" w14:textId="25596625" w:rsidR="0076640B" w:rsidRDefault="00033008" w:rsidP="008B6E63">
      <w:pPr>
        <w:pStyle w:val="Zarkazkladnhotextu"/>
        <w:spacing w:after="0"/>
        <w:ind w:left="0"/>
        <w:jc w:val="both"/>
      </w:pPr>
      <w:r w:rsidRPr="00033008">
        <w:t>Dohovor o jadrovej bezpečnosti bol ratifikovaný S</w:t>
      </w:r>
      <w:r w:rsidR="00707CE0">
        <w:t>R</w:t>
      </w:r>
      <w:r w:rsidRPr="00033008">
        <w:t xml:space="preserve"> dňa 23.</w:t>
      </w:r>
      <w:r w:rsidR="00885424">
        <w:t> 2. </w:t>
      </w:r>
      <w:r w:rsidRPr="00033008">
        <w:t>1995. SR v súlade s článkom 5 dohovoru vypracovala v poradí už deviatu Národnú správu S</w:t>
      </w:r>
      <w:r w:rsidR="00DF49C6">
        <w:t>R</w:t>
      </w:r>
      <w:r w:rsidRPr="00033008">
        <w:t>, ktorá bola v mesiaci august 2022 zaslaná na MAAE vo Viedni. Národná správa obsahuje základné informácie o tom ako SR plní ustanovenia tohto dohovoru. Predmetná národná správa bola následná prerokovaná na spoločnom 8. a 9. posudzovacom zasadnutí dohovoru, ktoré sa uskutočnilo v dňoch 20. – 31.</w:t>
      </w:r>
      <w:r w:rsidR="00707CE0">
        <w:t> 3. </w:t>
      </w:r>
      <w:r w:rsidRPr="00033008">
        <w:t xml:space="preserve">2023 v sídle MAAE vo Viedni. Zástupcovia zmluvných štátov sa pozitívne vyjadrili o komplexnom a informatívnom charaktere národnej správy, vysoko ocenili jej kompaktnosť, transparentnosť a množstvo poskytnutých technických informácií (národná správa z roku 2022 je prístupná na webovom sídle ÚJD SR na adrese </w:t>
      </w:r>
      <w:hyperlink r:id="rId8" w:history="1">
        <w:r w:rsidRPr="00C331F7">
          <w:rPr>
            <w:rStyle w:val="Hypertextovprepojenie"/>
          </w:rPr>
          <w:t>www.ujd.gov.sk</w:t>
        </w:r>
      </w:hyperlink>
      <w:r w:rsidRPr="00033008">
        <w:t>).</w:t>
      </w:r>
    </w:p>
    <w:p w14:paraId="512F10E4" w14:textId="54801ED0" w:rsidR="00033008" w:rsidRDefault="00033008" w:rsidP="008B6E63">
      <w:pPr>
        <w:pStyle w:val="Zarkazkladnhotextu"/>
        <w:spacing w:after="0"/>
        <w:ind w:left="0"/>
        <w:jc w:val="both"/>
        <w:rPr>
          <w:highlight w:val="green"/>
        </w:rPr>
      </w:pPr>
    </w:p>
    <w:p w14:paraId="522AF930" w14:textId="77777777" w:rsidR="0071738A" w:rsidRPr="00F90244" w:rsidRDefault="0071738A" w:rsidP="008B6E63">
      <w:pPr>
        <w:pStyle w:val="Zarkazkladnhotextu"/>
        <w:spacing w:after="0"/>
        <w:ind w:left="0"/>
        <w:jc w:val="both"/>
        <w:rPr>
          <w:highlight w:val="green"/>
        </w:rPr>
      </w:pPr>
    </w:p>
    <w:p w14:paraId="0F1A5F01" w14:textId="77777777" w:rsidR="0076640B" w:rsidRPr="0079384E" w:rsidRDefault="0076640B" w:rsidP="008B6E63">
      <w:pPr>
        <w:pStyle w:val="Zarkazkladnhotextu"/>
        <w:spacing w:after="0"/>
        <w:ind w:left="0"/>
        <w:jc w:val="both"/>
        <w:rPr>
          <w:b/>
        </w:rPr>
      </w:pPr>
      <w:r w:rsidRPr="0079384E">
        <w:rPr>
          <w:b/>
        </w:rPr>
        <w:lastRenderedPageBreak/>
        <w:t>Spoločný dohovor o bezpečnosti nakladania s VJP a o bezpečnosti nakladania s RAO</w:t>
      </w:r>
    </w:p>
    <w:p w14:paraId="0872B2DA" w14:textId="78CBE84F" w:rsidR="00552A93" w:rsidRDefault="00033008" w:rsidP="00033008">
      <w:pPr>
        <w:jc w:val="both"/>
      </w:pPr>
      <w:r w:rsidRPr="00033008">
        <w:t>Spoločný dohovor o bezpečnosti nakladania s </w:t>
      </w:r>
      <w:r w:rsidR="00AB24BD">
        <w:t>VJP</w:t>
      </w:r>
      <w:r w:rsidRPr="00033008">
        <w:t xml:space="preserve"> a o bezpečnosti nakladania s rádioaktívnym odpadom (Spoločný dohovor) nadobudol platnosť dňa 18.</w:t>
      </w:r>
      <w:r w:rsidR="00707CE0">
        <w:t> 6. </w:t>
      </w:r>
      <w:r w:rsidRPr="00033008">
        <w:t>2001.</w:t>
      </w:r>
      <w:r w:rsidR="00497EA7">
        <w:t xml:space="preserve"> </w:t>
      </w:r>
      <w:r w:rsidRPr="00033008">
        <w:t>V súlade s opatreniami čl.</w:t>
      </w:r>
      <w:r w:rsidR="00497EA7">
        <w:t> </w:t>
      </w:r>
      <w:r w:rsidRPr="00033008">
        <w:t>30 Spoločného dohovoru SR v priebehu roka 2023 iniciovala proces príprav v poradí už ôsmej Národnej správy SR, ktorá bude finalizovaná a zaslaná MAAE vo Viedni a ostatným zmluvným štátom na posúdenie na jeseň 2024. Predmetná národná správa bude prerokovaná na 8.</w:t>
      </w:r>
      <w:r w:rsidR="00497EA7">
        <w:t> </w:t>
      </w:r>
      <w:r w:rsidRPr="00033008">
        <w:t>posudzovacom zasadnutí zmluvných strán Spoločného dohovoru, ktoré sa uskutoční v</w:t>
      </w:r>
      <w:r>
        <w:t> </w:t>
      </w:r>
      <w:r w:rsidRPr="00033008">
        <w:t>dňoch</w:t>
      </w:r>
      <w:r>
        <w:t xml:space="preserve"> </w:t>
      </w:r>
      <w:r w:rsidRPr="00033008">
        <w:t xml:space="preserve">17. – 28. </w:t>
      </w:r>
      <w:r w:rsidR="00552A93">
        <w:t>3.</w:t>
      </w:r>
      <w:r w:rsidRPr="00033008">
        <w:t xml:space="preserve"> 2025 v sídle MAAE vo Viedni</w:t>
      </w:r>
      <w:r w:rsidR="00552A93">
        <w:t>.</w:t>
      </w:r>
    </w:p>
    <w:p w14:paraId="43731A9A" w14:textId="7C5ABE05" w:rsidR="0003688A" w:rsidRDefault="0003688A" w:rsidP="008B6E63">
      <w:pPr>
        <w:pStyle w:val="Zarkazkladnhotextu"/>
        <w:spacing w:after="0"/>
        <w:ind w:left="0"/>
        <w:jc w:val="both"/>
      </w:pPr>
    </w:p>
    <w:p w14:paraId="72E543EF" w14:textId="77777777" w:rsidR="0076640B" w:rsidRPr="0079384E" w:rsidRDefault="0076640B" w:rsidP="0076640B">
      <w:pPr>
        <w:autoSpaceDE w:val="0"/>
        <w:autoSpaceDN w:val="0"/>
        <w:adjustRightInd w:val="0"/>
        <w:jc w:val="both"/>
        <w:rPr>
          <w:b/>
          <w:szCs w:val="24"/>
        </w:rPr>
      </w:pPr>
      <w:r w:rsidRPr="0079384E">
        <w:rPr>
          <w:b/>
          <w:szCs w:val="24"/>
        </w:rPr>
        <w:t>Zmluva o nešírení jadrových zbraní</w:t>
      </w:r>
    </w:p>
    <w:p w14:paraId="5AE651B6" w14:textId="0170F17D" w:rsidR="00033008" w:rsidRPr="00033008" w:rsidRDefault="00033008" w:rsidP="00033008">
      <w:pPr>
        <w:jc w:val="both"/>
        <w:rPr>
          <w:szCs w:val="24"/>
        </w:rPr>
      </w:pPr>
      <w:r w:rsidRPr="00033008">
        <w:rPr>
          <w:szCs w:val="24"/>
        </w:rPr>
        <w:t xml:space="preserve">Na základe Dohody medzi Belgickým kráľovstvom, Dánskym kráľovstvom, Spolkovou republikou Nemecko, Írskou republikou, Talianskou republikou, Luxemburským veľkovojvodstvom, Holandským kráľovstvom, Európskym spoločenstvom pre atómovú energiu o implementácii článku III ods. 1 a 4 Zmluvy o nešírení jadrových zbraní a jeho Dodatkového protokolu, vykonávali inšpektori Euratomu a MAAE inšpekcie. Ani v jednom prípade nebolo konštatované porušovanie záväzkov SR v oblasti nešírenia jadrových zbraní a </w:t>
      </w:r>
      <w:proofErr w:type="spellStart"/>
      <w:r w:rsidRPr="00033008">
        <w:rPr>
          <w:szCs w:val="24"/>
        </w:rPr>
        <w:t>zárukového</w:t>
      </w:r>
      <w:proofErr w:type="spellEnd"/>
      <w:r w:rsidRPr="00033008">
        <w:rPr>
          <w:szCs w:val="24"/>
        </w:rPr>
        <w:t xml:space="preserve"> systému. </w:t>
      </w:r>
    </w:p>
    <w:p w14:paraId="43790B61" w14:textId="197202AC" w:rsidR="0076640B" w:rsidRDefault="00033008" w:rsidP="00033008">
      <w:pPr>
        <w:jc w:val="both"/>
        <w:rPr>
          <w:szCs w:val="24"/>
        </w:rPr>
      </w:pPr>
      <w:r w:rsidRPr="00033008">
        <w:rPr>
          <w:szCs w:val="24"/>
        </w:rPr>
        <w:t xml:space="preserve">V nadväznosti na 10. </w:t>
      </w:r>
      <w:r w:rsidR="00497EA7">
        <w:rPr>
          <w:szCs w:val="24"/>
        </w:rPr>
        <w:t>h</w:t>
      </w:r>
      <w:r w:rsidRPr="00033008">
        <w:rPr>
          <w:szCs w:val="24"/>
        </w:rPr>
        <w:t>odnotiacu konferenciu zmluvných strán Zmluvy o nešírení jadrových zbraní (HK NPT), ktorá sa uskutočnila v dňoch 1.</w:t>
      </w:r>
      <w:r w:rsidR="00707CE0">
        <w:rPr>
          <w:szCs w:val="24"/>
        </w:rPr>
        <w:t> – </w:t>
      </w:r>
      <w:r w:rsidRPr="00033008">
        <w:rPr>
          <w:szCs w:val="24"/>
        </w:rPr>
        <w:t>26.</w:t>
      </w:r>
      <w:r w:rsidR="00707CE0">
        <w:rPr>
          <w:szCs w:val="24"/>
        </w:rPr>
        <w:t> </w:t>
      </w:r>
      <w:r w:rsidRPr="00033008">
        <w:rPr>
          <w:szCs w:val="24"/>
        </w:rPr>
        <w:t>8.</w:t>
      </w:r>
      <w:r w:rsidR="00707CE0">
        <w:rPr>
          <w:szCs w:val="24"/>
        </w:rPr>
        <w:t> </w:t>
      </w:r>
      <w:r w:rsidRPr="00033008">
        <w:rPr>
          <w:szCs w:val="24"/>
        </w:rPr>
        <w:t>2022 v New Yorku bol v roku 2023 zahájený prípravný proces k ďalšiemu hodnotiacemu cyklu. V kontexte prípravného procesu k 11. HK NPT sa v termíne 31.</w:t>
      </w:r>
      <w:r w:rsidR="00707CE0">
        <w:rPr>
          <w:szCs w:val="24"/>
        </w:rPr>
        <w:t> </w:t>
      </w:r>
      <w:r w:rsidRPr="00033008">
        <w:rPr>
          <w:szCs w:val="24"/>
        </w:rPr>
        <w:t>7.</w:t>
      </w:r>
      <w:r w:rsidR="00707CE0">
        <w:rPr>
          <w:szCs w:val="24"/>
        </w:rPr>
        <w:t> – </w:t>
      </w:r>
      <w:r w:rsidRPr="00033008">
        <w:rPr>
          <w:szCs w:val="24"/>
        </w:rPr>
        <w:t>11.</w:t>
      </w:r>
      <w:r w:rsidR="00707CE0">
        <w:rPr>
          <w:szCs w:val="24"/>
        </w:rPr>
        <w:t> </w:t>
      </w:r>
      <w:r w:rsidRPr="00033008">
        <w:rPr>
          <w:szCs w:val="24"/>
        </w:rPr>
        <w:t>8.</w:t>
      </w:r>
      <w:r w:rsidR="00707CE0">
        <w:rPr>
          <w:szCs w:val="24"/>
        </w:rPr>
        <w:t> </w:t>
      </w:r>
      <w:r w:rsidRPr="00033008">
        <w:rPr>
          <w:szCs w:val="24"/>
        </w:rPr>
        <w:t>2023 uskutočnilo prvé zasadnutie Prípravného výboru Zmluvy NPT vo Viedni. Ďalšie zasadnutie Prípravného výboru NPT sa uskutoční v roku 2024 v Ženeve.</w:t>
      </w:r>
    </w:p>
    <w:p w14:paraId="0A7B6464" w14:textId="77777777" w:rsidR="00033008" w:rsidRDefault="00033008" w:rsidP="00033008">
      <w:pPr>
        <w:jc w:val="both"/>
      </w:pPr>
    </w:p>
    <w:p w14:paraId="171A1EAF" w14:textId="77777777" w:rsidR="0076640B" w:rsidRPr="00333861" w:rsidRDefault="0076640B" w:rsidP="00333861">
      <w:pPr>
        <w:pStyle w:val="Nadpis2"/>
        <w:ind w:hanging="556"/>
      </w:pPr>
      <w:bookmarkStart w:id="61" w:name="_Toc161214333"/>
      <w:r w:rsidRPr="00333861">
        <w:t>Bilaterálna spolupráca</w:t>
      </w:r>
      <w:bookmarkEnd w:id="61"/>
    </w:p>
    <w:p w14:paraId="6017EC86" w14:textId="77777777" w:rsidR="0076640B" w:rsidRPr="00F90244" w:rsidRDefault="0076640B" w:rsidP="0076640B">
      <w:pPr>
        <w:jc w:val="both"/>
        <w:rPr>
          <w:bCs/>
          <w:szCs w:val="24"/>
          <w:highlight w:val="green"/>
        </w:rPr>
      </w:pPr>
    </w:p>
    <w:p w14:paraId="0FE735E6" w14:textId="0BDFB418" w:rsidR="00033008" w:rsidRDefault="00033008" w:rsidP="00033008">
      <w:pPr>
        <w:jc w:val="both"/>
      </w:pPr>
      <w:r>
        <w:t xml:space="preserve">Bilaterálna spolupráca sa realizuje na vládnej úrovni, predovšetkým so susednými štátmi, a na úrovni dozorných orgánov nad jadrovou a radiačnou bezpečnosťou. ÚJD SR pravidelne organizuje stretnutia s predstaviteľmi vládnych a iných partnerských organizácií susedných štátov. </w:t>
      </w:r>
    </w:p>
    <w:p w14:paraId="340B7A45" w14:textId="7B807034" w:rsidR="00033008" w:rsidRDefault="00033008" w:rsidP="00033008">
      <w:pPr>
        <w:jc w:val="both"/>
      </w:pPr>
      <w:r>
        <w:t xml:space="preserve">V roku 2023 sa uskutočnili pravidelné každoročné bilaterálne a multilaterálne stretnutia k otázkam spoločného záujmu v oblasti jadrovej a radiačnej bezpečnosti. </w:t>
      </w:r>
    </w:p>
    <w:p w14:paraId="375E6802" w14:textId="6A8EB50E" w:rsidR="00033008" w:rsidRDefault="00033008" w:rsidP="00033008">
      <w:pPr>
        <w:jc w:val="both"/>
      </w:pPr>
      <w:r>
        <w:t>V dňoch 27. a 28.</w:t>
      </w:r>
      <w:r w:rsidR="00E158C2">
        <w:t> 2. </w:t>
      </w:r>
      <w:r>
        <w:t>2023 sa v Smoleniciach uskutočnilo bilaterálne stretnutie delegácií S</w:t>
      </w:r>
      <w:r w:rsidR="00DF49C6">
        <w:t>R</w:t>
      </w:r>
      <w:r>
        <w:t xml:space="preserve"> a Českej republiky k otázkam spoločného záujmu v oblasti štátneho dozoru nad jadrovou a radiačnou bezpečnosťou</w:t>
      </w:r>
      <w:r w:rsidR="003A17BB">
        <w:t xml:space="preserve">, počas ktorého si delegácie </w:t>
      </w:r>
      <w:r>
        <w:t xml:space="preserve">vymenili informácie o inštitucionálnom stave dozorov, vývoji v oblasti legislatívy, o prevádzke a udalostiach na </w:t>
      </w:r>
      <w:r w:rsidR="00DB6B0E">
        <w:t>JZ</w:t>
      </w:r>
      <w:r>
        <w:t>, stave radiačnej ochrany, medzinárodnej spolupráci, diverzifikácii jadrového paliva a sankciách v oblasti jadrovej energetiky</w:t>
      </w:r>
      <w:r w:rsidR="003A17BB">
        <w:t xml:space="preserve"> za ostatné obdobie</w:t>
      </w:r>
      <w:r>
        <w:t>. Ďalšie bilaterálne stretnutie sa uskutoční budúci rok v Českej republike.</w:t>
      </w:r>
    </w:p>
    <w:p w14:paraId="3BC8DE62" w14:textId="2255C374" w:rsidR="00033008" w:rsidRDefault="00033008" w:rsidP="00033008">
      <w:pPr>
        <w:jc w:val="both"/>
      </w:pPr>
      <w:r>
        <w:t>V dňoch 14. a 15.</w:t>
      </w:r>
      <w:r w:rsidR="00E158C2">
        <w:t> 6. </w:t>
      </w:r>
      <w:r>
        <w:t xml:space="preserve">2023 sa v Oponiciach konalo </w:t>
      </w:r>
      <w:proofErr w:type="spellStart"/>
      <w:r>
        <w:t>kvadrilaterálne</w:t>
      </w:r>
      <w:proofErr w:type="spellEnd"/>
      <w:r>
        <w:t xml:space="preserve"> stretnutie zástupcov dozorných orgánov nad jadrovou bezpečnosťou S</w:t>
      </w:r>
      <w:r w:rsidR="00E158C2">
        <w:t>R</w:t>
      </w:r>
      <w:r>
        <w:t xml:space="preserve">, Českej republiky, Maďarskej republiky a Slovinskej republiky, na ktoré boli prvýkrát pozvaní aj zástupcovia z fínskeho dozorného orgánu (STUK). Na stretnutí sa odsúhlasilo rozšírenie jeho formátu o fínsky dozorný orgán ako jeho nového stáleho člena. Účastníci stretnutia sa vzájomne informovali o aktuálnom vývoji aktivít dozorných orgánov a najdôležitejších činnostiach vykonaných v období od predchádzajúceho </w:t>
      </w:r>
      <w:proofErr w:type="spellStart"/>
      <w:r>
        <w:t>kvadrilaterálneho</w:t>
      </w:r>
      <w:proofErr w:type="spellEnd"/>
      <w:r>
        <w:t xml:space="preserve"> stretnutia. Diskutovali aj o aktuálnych otázkach týkajúcich sa bezpečnosti </w:t>
      </w:r>
      <w:r w:rsidR="00DB6B0E">
        <w:t>JZ</w:t>
      </w:r>
      <w:r>
        <w:t xml:space="preserve"> v ich štátoch, dozorných a legislatívnych rámcoch, vývoji medzinárodných záležitostí (vrátane EÚ/</w:t>
      </w:r>
      <w:proofErr w:type="spellStart"/>
      <w:r>
        <w:t>E</w:t>
      </w:r>
      <w:r w:rsidR="003A7FFA">
        <w:t>uratom</w:t>
      </w:r>
      <w:proofErr w:type="spellEnd"/>
      <w:r>
        <w:t xml:space="preserve">), novom nástroji Európskej skupiny dozorov nad jadrovou bezpečnosťou (ENSREG) na podporu dozorných orgánov v súvislosti s novými výzvami a medzinárodných projektoch, do ktorých sú dozorné orgány z týchto piatich štátov zapojené. </w:t>
      </w:r>
      <w:proofErr w:type="spellStart"/>
      <w:r>
        <w:lastRenderedPageBreak/>
        <w:t>Kvadrilaterálne</w:t>
      </w:r>
      <w:proofErr w:type="spellEnd"/>
      <w:r>
        <w:t xml:space="preserve"> stretnutie v rozšírenom formáte sa ďalej uskutočnilo dňa 27.</w:t>
      </w:r>
      <w:r w:rsidR="00E158C2">
        <w:t> 9. </w:t>
      </w:r>
      <w:r>
        <w:t xml:space="preserve">2023 </w:t>
      </w:r>
      <w:r w:rsidR="003A17BB">
        <w:t>počas</w:t>
      </w:r>
      <w:r>
        <w:t xml:space="preserve"> 67. zasadnutia G</w:t>
      </w:r>
      <w:r w:rsidR="00FB1B08">
        <w:t>K</w:t>
      </w:r>
      <w:r>
        <w:t xml:space="preserve"> MAAE vo Viedni v rámci spoločného obeda všetkých piatich dozorných orgánov a ďalšie stretnutie v tomto rozšírenom formáte sa plánuje uskutočniť v dňoch 14.</w:t>
      </w:r>
      <w:r w:rsidR="003F0536">
        <w:t> </w:t>
      </w:r>
      <w:r>
        <w:t>a</w:t>
      </w:r>
      <w:r w:rsidR="003F0536">
        <w:t> </w:t>
      </w:r>
      <w:r>
        <w:t>15.</w:t>
      </w:r>
      <w:r w:rsidR="00E158C2">
        <w:t> 5. </w:t>
      </w:r>
      <w:r>
        <w:t xml:space="preserve">2024 v </w:t>
      </w:r>
      <w:proofErr w:type="spellStart"/>
      <w:r>
        <w:t>Balatonfürede</w:t>
      </w:r>
      <w:proofErr w:type="spellEnd"/>
      <w:r>
        <w:t xml:space="preserve"> v Maďarsku.</w:t>
      </w:r>
    </w:p>
    <w:p w14:paraId="24081E49" w14:textId="5BEE2EB5" w:rsidR="00033008" w:rsidRDefault="00033008" w:rsidP="00033008">
      <w:pPr>
        <w:jc w:val="both"/>
      </w:pPr>
      <w:r>
        <w:t>V dňoch 28. a 29.</w:t>
      </w:r>
      <w:r w:rsidR="00E158C2">
        <w:t> 6. </w:t>
      </w:r>
      <w:r>
        <w:t xml:space="preserve">2023 sa v dolnorakúskom St. </w:t>
      </w:r>
      <w:proofErr w:type="spellStart"/>
      <w:r>
        <w:t>Pöltene</w:t>
      </w:r>
      <w:proofErr w:type="spellEnd"/>
      <w:r>
        <w:t xml:space="preserve"> uskutočnilo 30. bilaterálne stretnutie delegácií S</w:t>
      </w:r>
      <w:r w:rsidR="00E158C2">
        <w:t>R</w:t>
      </w:r>
      <w:r>
        <w:t xml:space="preserve"> a Rakúskej republiky k otázkam spoločného záujmu týkajúcich sa jadrovej bezpečnosti a radiačnej ochrany. Obe delegácie sa navzájom informovali o aktuálnom vývoji v rámci portfólia jadrovej a radiačnej bezpečnosti, aktivitách dozorných orgánov a ostatných relevantných organizácií a inštitúcií, prevádzke </w:t>
      </w:r>
      <w:r w:rsidR="00123458">
        <w:t>JZ</w:t>
      </w:r>
      <w:r>
        <w:t xml:space="preserve">, zmenách v legislatíve, medzinárodných partnerských hodnoteniach a misiách, ako aj o vývoji v oblasti radiačného monitoringu v oboch štátoch. Prerokované témy taktiež zahŕňali oblasť havarijnej pripravenosti, vyraďovania </w:t>
      </w:r>
      <w:r w:rsidR="00E158C2">
        <w:t>JZ</w:t>
      </w:r>
      <w:r>
        <w:t xml:space="preserve">, nakladania s </w:t>
      </w:r>
      <w:r w:rsidR="00E158C2">
        <w:t>RAO</w:t>
      </w:r>
      <w:r>
        <w:t xml:space="preserve"> a nového jadrového zdroja </w:t>
      </w:r>
      <w:r w:rsidR="003A17BB">
        <w:t>v SR</w:t>
      </w:r>
      <w:r>
        <w:t xml:space="preserve">. Ďalšie bilaterálne stretnutie sa uskutoční v roku 2024 </w:t>
      </w:r>
      <w:r w:rsidR="003A17BB">
        <w:t>v SR</w:t>
      </w:r>
      <w:r>
        <w:t>.</w:t>
      </w:r>
    </w:p>
    <w:p w14:paraId="667E9156" w14:textId="77777777" w:rsidR="00033008" w:rsidRDefault="00033008" w:rsidP="00033008">
      <w:pPr>
        <w:jc w:val="both"/>
      </w:pPr>
      <w:r>
        <w:t>Komunikácia s ďalšími partnermi v roku 2023 naďalej pokračovala na vysokej úrovni. Prebiehala výmena informácií o stave jadrovej bezpečnosti na územiach štátov a konzultovali sa otázky spoločného záujmu, ku ktorým sa prijímajú spoločné stanoviská.</w:t>
      </w:r>
    </w:p>
    <w:p w14:paraId="477BE507" w14:textId="7003A18E" w:rsidR="001402AE" w:rsidRDefault="00033008" w:rsidP="00033008">
      <w:pPr>
        <w:jc w:val="both"/>
      </w:pPr>
      <w:r>
        <w:t>Počas 67. zasadnutia G</w:t>
      </w:r>
      <w:r w:rsidR="00CC507D">
        <w:t>K</w:t>
      </w:r>
      <w:r>
        <w:t xml:space="preserve"> MAAE sa dňa 25. </w:t>
      </w:r>
      <w:r w:rsidR="0029232C">
        <w:t>9. </w:t>
      </w:r>
      <w:r>
        <w:t>2023 vo Viedni podpísalo Memorandum o porozumení medzi Ú</w:t>
      </w:r>
      <w:r w:rsidR="00907F76">
        <w:t>JD SR</w:t>
      </w:r>
      <w:r>
        <w:t xml:space="preserve"> a Dozornou radou pre atómovú energiu Indickej republiky o výmene technických informácií a spolupráci v oblasti dozoru nad bezpečným využívaním jadrovej energie na mierové účely.</w:t>
      </w:r>
    </w:p>
    <w:p w14:paraId="26D8D974" w14:textId="77777777" w:rsidR="00033008" w:rsidRPr="00D67B2D" w:rsidRDefault="00033008" w:rsidP="00033008">
      <w:pPr>
        <w:jc w:val="both"/>
        <w:rPr>
          <w:szCs w:val="24"/>
        </w:rPr>
      </w:pPr>
    </w:p>
    <w:p w14:paraId="6B7EB619" w14:textId="49ACE97D" w:rsidR="003661AC" w:rsidRPr="00345090" w:rsidRDefault="001C18F4" w:rsidP="005B072A">
      <w:pPr>
        <w:pStyle w:val="Nadpis1"/>
        <w:numPr>
          <w:ilvl w:val="0"/>
          <w:numId w:val="1"/>
        </w:numPr>
        <w:tabs>
          <w:tab w:val="clear" w:pos="360"/>
        </w:tabs>
        <w:ind w:left="425" w:hanging="425"/>
        <w:jc w:val="both"/>
      </w:pPr>
      <w:bookmarkStart w:id="62" w:name="_Toc161214334"/>
      <w:r w:rsidRPr="00345090">
        <w:t>Komunikácia s verejnosťou</w:t>
      </w:r>
      <w:bookmarkEnd w:id="62"/>
    </w:p>
    <w:p w14:paraId="09862D97" w14:textId="4D64B711" w:rsidR="00A5398D" w:rsidRPr="00094067" w:rsidRDefault="00A5398D" w:rsidP="005B072A">
      <w:pPr>
        <w:jc w:val="both"/>
        <w:rPr>
          <w:lang w:val="x-none" w:eastAsia="cs-CZ"/>
        </w:rPr>
      </w:pPr>
    </w:p>
    <w:p w14:paraId="0DA61513" w14:textId="77777777" w:rsidR="004D3EEE" w:rsidRPr="0010181B" w:rsidRDefault="004D3EEE" w:rsidP="004D3EEE">
      <w:pPr>
        <w:jc w:val="both"/>
      </w:pPr>
      <w:r>
        <w:t>Komunikácia a informovanie verejnosti všetkými dostupnými komunikačnými prostriedkami a kanálmi je jednou z hlavných priorít ÚJD SR, ktorá vyplýva z jeho postavenia a pôsobnosti.</w:t>
      </w:r>
    </w:p>
    <w:p w14:paraId="378344D5" w14:textId="77777777" w:rsidR="004D3EEE" w:rsidRDefault="004D3EEE" w:rsidP="004D3EEE">
      <w:pPr>
        <w:jc w:val="both"/>
      </w:pPr>
      <w:r w:rsidRPr="00DE7F6F">
        <w:t>Aj v roku 2023 prebiehala komunikácia úradu smerom navonok v súlade s metodickým usmernením obsiahnutým v Stratégii</w:t>
      </w:r>
      <w:r w:rsidRPr="0010181B">
        <w:t xml:space="preserve"> </w:t>
      </w:r>
      <w:bookmarkStart w:id="63" w:name="_Hlk159238097"/>
      <w:r w:rsidRPr="0010181B">
        <w:t xml:space="preserve">komunikácie </w:t>
      </w:r>
      <w:r>
        <w:t xml:space="preserve">ÚJD SR </w:t>
      </w:r>
      <w:r w:rsidRPr="0010181B">
        <w:t xml:space="preserve">s verejnosťou do roku </w:t>
      </w:r>
      <w:bookmarkEnd w:id="63"/>
      <w:r w:rsidRPr="0010181B">
        <w:t xml:space="preserve">2023. Dokument definuje cieľ </w:t>
      </w:r>
      <w:r>
        <w:t>úradu</w:t>
      </w:r>
      <w:r w:rsidRPr="0010181B">
        <w:t xml:space="preserve"> v oblasti komunikácie s verejnosťou, určuje stratégiu a prostriedky na dosiahnutie cieľa, cieľové skupiny a zásady komunikácie s verejnosťou. Na </w:t>
      </w:r>
      <w:r>
        <w:t>dokument</w:t>
      </w:r>
      <w:r w:rsidRPr="0010181B">
        <w:t xml:space="preserve"> priamo reflektuje </w:t>
      </w:r>
      <w:bookmarkStart w:id="64" w:name="_Hlk159238121"/>
      <w:r w:rsidRPr="0010181B">
        <w:t>Akčný plán komunikácie ÚJD</w:t>
      </w:r>
      <w:r>
        <w:t> </w:t>
      </w:r>
      <w:r w:rsidRPr="0010181B">
        <w:t>SR s verejnosťou a médiami na roky 202</w:t>
      </w:r>
      <w:r>
        <w:t>2 </w:t>
      </w:r>
      <w:r w:rsidRPr="0010181B">
        <w:t>–</w:t>
      </w:r>
      <w:r>
        <w:t> </w:t>
      </w:r>
      <w:r w:rsidRPr="0010181B">
        <w:t>202</w:t>
      </w:r>
      <w:r>
        <w:t>3</w:t>
      </w:r>
      <w:bookmarkEnd w:id="64"/>
      <w:r w:rsidRPr="0010181B">
        <w:t>, ktorý obsahuje úlohy, termíny a </w:t>
      </w:r>
      <w:r>
        <w:t>určuje</w:t>
      </w:r>
      <w:r w:rsidRPr="0010181B">
        <w:t xml:space="preserve"> zodpovednosti</w:t>
      </w:r>
      <w:r>
        <w:t xml:space="preserve"> vedúce</w:t>
      </w:r>
      <w:r w:rsidRPr="0010181B">
        <w:t xml:space="preserve"> k splneniu vytýčeného cieľa.</w:t>
      </w:r>
      <w:r>
        <w:t xml:space="preserve"> </w:t>
      </w:r>
      <w:r w:rsidRPr="00DE7F6F">
        <w:t>V závere roka 2023 boli aktualizované a schválené dokumenty Stratégia komunikácie s verejnosťou do roku 2028 a Akčný plán komunikácie ÚJD SR s verejnosťou a médiami na roky 2024 – 2025, ktoré obsahujú metodiku a aktivity v oblasti komunikácie ÚJD SR do nasledujúceho obdobia.</w:t>
      </w:r>
    </w:p>
    <w:p w14:paraId="51F0BDC9" w14:textId="77777777" w:rsidR="00220CF7" w:rsidRDefault="004D3EEE" w:rsidP="004D3EEE">
      <w:pPr>
        <w:jc w:val="both"/>
      </w:pPr>
      <w:r>
        <w:t>Primárnym c</w:t>
      </w:r>
      <w:r w:rsidRPr="0010181B">
        <w:t>ieľom komunikácie s verejnosťou je informovať domácu a zahraničnú verejnosť o dianí v</w:t>
      </w:r>
      <w:r>
        <w:t> </w:t>
      </w:r>
      <w:r w:rsidRPr="0010181B">
        <w:t>pôsobnosti ÚJD</w:t>
      </w:r>
      <w:r>
        <w:t> </w:t>
      </w:r>
      <w:r w:rsidRPr="0010181B">
        <w:t>SR a prostredníctvom aktuálneho, objektívneho a zrozumiteľného informovania a obojstrannej otvorenej komunikácie budovať dôveru verejnosti k činnosti ÚJD</w:t>
      </w:r>
      <w:r>
        <w:t> </w:t>
      </w:r>
      <w:r w:rsidRPr="0010181B">
        <w:t xml:space="preserve">SR. </w:t>
      </w:r>
      <w:r>
        <w:t>Úrad a</w:t>
      </w:r>
      <w:r w:rsidRPr="0010181B">
        <w:t>ko objektívny a nezávislý dozorný orgán neustále vytvára podmienky na zabezpečenie</w:t>
      </w:r>
      <w:r>
        <w:t xml:space="preserve"> proaktívneho</w:t>
      </w:r>
      <w:r w:rsidRPr="0010181B">
        <w:t xml:space="preserve"> informovania verejnosti a médií prostredníctvom vydávania tlačových správ, aktualít zverejňovaných na webovom sídle úradu, ale aj prostredníctvom profil</w:t>
      </w:r>
      <w:r>
        <w:t>ov</w:t>
      </w:r>
      <w:r w:rsidRPr="0010181B">
        <w:t xml:space="preserve"> na sociálnej sieti Facebook</w:t>
      </w:r>
      <w:r>
        <w:t xml:space="preserve"> a </w:t>
      </w:r>
      <w:r w:rsidRPr="00DE7F6F">
        <w:t>LinkedIn.</w:t>
      </w:r>
      <w:r w:rsidRPr="0010181B">
        <w:t xml:space="preserve"> Pre zahraničnú verejnosť je prevádzkované webové sídlo aj v anglickej mutácii. </w:t>
      </w:r>
    </w:p>
    <w:p w14:paraId="41F46B6E" w14:textId="51333897" w:rsidR="004D3EEE" w:rsidRPr="0010181B" w:rsidRDefault="004D3EEE" w:rsidP="004D3EEE">
      <w:pPr>
        <w:jc w:val="both"/>
      </w:pPr>
      <w:r>
        <w:t>N</w:t>
      </w:r>
      <w:r w:rsidRPr="0010181B">
        <w:t>osným komunikačným kanálom s</w:t>
      </w:r>
      <w:r>
        <w:t> </w:t>
      </w:r>
      <w:r w:rsidRPr="0010181B">
        <w:t>verejnosťou</w:t>
      </w:r>
      <w:r>
        <w:t xml:space="preserve"> je</w:t>
      </w:r>
      <w:r w:rsidRPr="0010181B">
        <w:t xml:space="preserve"> práve webové sídlo, preto sú na ňom </w:t>
      </w:r>
      <w:r>
        <w:t xml:space="preserve">okrem iného </w:t>
      </w:r>
      <w:r w:rsidRPr="0010181B">
        <w:t>zverejnené a priebežne aktualizované</w:t>
      </w:r>
      <w:r>
        <w:t xml:space="preserve"> aj</w:t>
      </w:r>
      <w:r w:rsidRPr="0010181B">
        <w:t xml:space="preserve"> zákony a predpisy v oblasti jadrovej bezpečnosti, súvisiace právne predpisy, celé znenia </w:t>
      </w:r>
      <w:r>
        <w:t>BN,</w:t>
      </w:r>
      <w:r w:rsidRPr="0010181B">
        <w:t xml:space="preserve"> rozhodnutia, ktoré ÚJD</w:t>
      </w:r>
      <w:r>
        <w:t> </w:t>
      </w:r>
      <w:r w:rsidRPr="0010181B">
        <w:t>SR vydal, ako i </w:t>
      </w:r>
      <w:r>
        <w:t>prebiehajúce</w:t>
      </w:r>
      <w:r w:rsidRPr="0010181B">
        <w:t xml:space="preserve"> správne konania úradu. ÚJD</w:t>
      </w:r>
      <w:r>
        <w:t> </w:t>
      </w:r>
      <w:r w:rsidRPr="0010181B">
        <w:t>SR na webovom sídle, a tiež prostredníctvom portálu otvorených údajov data.</w:t>
      </w:r>
      <w:r w:rsidR="00641C85">
        <w:t>slovensko</w:t>
      </w:r>
      <w:r w:rsidRPr="0010181B">
        <w:t xml:space="preserve">.sk, trvalo sprístupňuje vybrané súbory otvorených údajov, tzv. </w:t>
      </w:r>
      <w:proofErr w:type="spellStart"/>
      <w:r w:rsidRPr="0010181B">
        <w:t>datasety</w:t>
      </w:r>
      <w:proofErr w:type="spellEnd"/>
      <w:r w:rsidRPr="0010181B">
        <w:t>, ako sú napríklad všetky objednávky, zmluvy, faktúry a zoznam držiteľov povolení.</w:t>
      </w:r>
    </w:p>
    <w:p w14:paraId="58CA42CF" w14:textId="77777777" w:rsidR="004D3EEE" w:rsidRPr="0010181B" w:rsidRDefault="004D3EEE" w:rsidP="004D3EEE">
      <w:pPr>
        <w:jc w:val="both"/>
      </w:pPr>
      <w:r>
        <w:lastRenderedPageBreak/>
        <w:t>W</w:t>
      </w:r>
      <w:r w:rsidRPr="0010181B">
        <w:t>ebové sídlo, ktoré</w:t>
      </w:r>
      <w:r>
        <w:t xml:space="preserve"> bolo v roku 2021 sprístupnené verejnosti v novom formáte spĺňajúcom</w:t>
      </w:r>
      <w:r w:rsidRPr="0010181B">
        <w:t xml:space="preserve"> požiadavk</w:t>
      </w:r>
      <w:r>
        <w:t>y</w:t>
      </w:r>
      <w:r w:rsidRPr="0010181B">
        <w:t xml:space="preserve"> platnej legislatívy týkajúcej sa štandardov pre informačné systémy verejnej správy</w:t>
      </w:r>
      <w:r>
        <w:t>,</w:t>
      </w:r>
      <w:r w:rsidRPr="0010181B">
        <w:t xml:space="preserve"> zabezpečuje návštevníkom efektívny a prehľadný prístup k požadovaným informáciám.</w:t>
      </w:r>
      <w:r>
        <w:t xml:space="preserve"> ÚJD SR počas roka 2023 kontinuálne pracoval na vylepšovaní prístupnosti a funkcionalít nového webového sídla a na dopĺňaní jeho obsahu v oboch jazykových mutáciách tak, aby verejnosť vedela jednoducho získať komplexné a aktuálne informácie o činnosti dozorného orgánu. </w:t>
      </w:r>
      <w:r w:rsidRPr="0010181B">
        <w:t>Keďže komunikácia a poskytovanie informácií je jednou z priorít ÚJD</w:t>
      </w:r>
      <w:r>
        <w:t> </w:t>
      </w:r>
      <w:r w:rsidRPr="0010181B">
        <w:t xml:space="preserve">SR, úrad umožňuje verejnosti a médiám priamy kontakt prostredníctvom špeciálnej emailovej adresy </w:t>
      </w:r>
      <w:hyperlink r:id="rId9" w:history="1">
        <w:r w:rsidRPr="00C102A7">
          <w:t>info@ujd.gov.sk</w:t>
        </w:r>
      </w:hyperlink>
      <w:r w:rsidRPr="0010181B">
        <w:t xml:space="preserve">. </w:t>
      </w:r>
    </w:p>
    <w:p w14:paraId="6271F5F5" w14:textId="4A4685A3" w:rsidR="004D3EEE" w:rsidRDefault="004D3EEE" w:rsidP="004D3EEE">
      <w:pPr>
        <w:jc w:val="both"/>
      </w:pPr>
      <w:r w:rsidRPr="0010181B">
        <w:t>ÚJD</w:t>
      </w:r>
      <w:r>
        <w:t> </w:t>
      </w:r>
      <w:r w:rsidRPr="0010181B">
        <w:t>SR v roku 202</w:t>
      </w:r>
      <w:r>
        <w:t>3</w:t>
      </w:r>
      <w:r w:rsidRPr="0010181B">
        <w:t xml:space="preserve"> odpovedal na otázky domácich a zahraničných médií, ktoré sa týkali prevažne dostavby a uvádzania 3. a 4. bloku JE Mochovce do prevádzky</w:t>
      </w:r>
      <w:r>
        <w:t xml:space="preserve"> a jadrovej bezpečnosti na Ukrajine</w:t>
      </w:r>
      <w:r w:rsidRPr="0010181B">
        <w:t>. Okrem toho úrad počas celého roka vydával tlačové správy nielen k uvedenej problematike</w:t>
      </w:r>
      <w:r w:rsidR="004E1E3C">
        <w:t>. P</w:t>
      </w:r>
      <w:r>
        <w:t xml:space="preserve">redsedníčka ÚJD SR </w:t>
      </w:r>
      <w:r w:rsidRPr="0010181B">
        <w:t>poskytoval</w:t>
      </w:r>
      <w:r>
        <w:t>a</w:t>
      </w:r>
      <w:r w:rsidRPr="0010181B">
        <w:t xml:space="preserve"> rozhovory na témy, ktoré úzko súvisia s výkonom činností úradu. V súvislosti s dostavbou a</w:t>
      </w:r>
      <w:r>
        <w:t> </w:t>
      </w:r>
      <w:r w:rsidRPr="0010181B">
        <w:t>uvádzaním 3. a 4. bloku JE Mochovce do prevádzky úrad pravidelne inform</w:t>
      </w:r>
      <w:r>
        <w:t xml:space="preserve">oval </w:t>
      </w:r>
      <w:r w:rsidRPr="0010181B">
        <w:t>o jednotlivých krokoch nielen prostredníctvom správnych konaní, tlačových správ a odpovedí na otázky zo strany médií, ale aj pravidelnou aktualizáciou podstránky webového sídla venovanej výlučne dostavbe a uvádzaniu do prevádzky.</w:t>
      </w:r>
    </w:p>
    <w:p w14:paraId="5EB7DC97" w14:textId="77777777" w:rsidR="00220CF7" w:rsidRDefault="004D3EEE" w:rsidP="004D3EEE">
      <w:pPr>
        <w:jc w:val="both"/>
      </w:pPr>
      <w:r w:rsidRPr="00173B86">
        <w:t xml:space="preserve">Keďže ÚJD SR v roku 2023 oslávil 30. výročie svojho vzniku, bola na túto tému v spolupráci s Levickou televíziou pripravená </w:t>
      </w:r>
      <w:r>
        <w:t>video</w:t>
      </w:r>
      <w:r w:rsidRPr="00173B86">
        <w:t xml:space="preserve"> reportáž, ktorá mapuje celú históriu úradu až po súčasnosť. </w:t>
      </w:r>
      <w:r>
        <w:t>Verejnosť má možnosť pozrieť si tento dokument vo vysielaní Levickej televízie ako aj na webovom sídle ÚJD SR.</w:t>
      </w:r>
    </w:p>
    <w:p w14:paraId="48F5B462" w14:textId="6E557008" w:rsidR="004D3EEE" w:rsidRDefault="004D3EEE" w:rsidP="004D3EEE">
      <w:pPr>
        <w:jc w:val="both"/>
      </w:pPr>
      <w:r w:rsidRPr="00173B86">
        <w:t xml:space="preserve">Možnosťou pripomenúť si dôležité míľniky z histórie a tiež sumarizovať najväčšie výzvy do budúcnosti bola </w:t>
      </w:r>
      <w:r>
        <w:t xml:space="preserve">aj </w:t>
      </w:r>
      <w:r w:rsidRPr="00173B86">
        <w:t>Slávnostná konferencia k 30. výročiu ÚJD SR, ktorá sa uskutočnila 18. 5. 2023, za účasti súčasných aj bývalých zamestnancov a množstva vedúcich predstaviteľov spolupracujúcich rezortov, organizácií a inštitúcií. Prostredníctvom videotechniky pozdravili účastníkov konferencie aj GR MAAE, GR OECD/NEA a tiež</w:t>
      </w:r>
      <w:r>
        <w:t xml:space="preserve"> predsedovia partnerských zahraničných dozorov USA, Fínska, Maďarska, Poľska, Bulharska, či Slovinska. Predsedníčka českého dozorného orgánu už tradične pozdravila zhromaždenie osobne. Zaujímavou časťou programu bola diskusia súčasnej predsedníčky a dvoch bývalých predsedov ÚJD SR, ktorá priniesla osobné postrehy zúčastnených k začiatkom fungovania úradu, dôležitým rozhodnutiam a udalostiam počas výkonu funkcie predsedu. </w:t>
      </w:r>
    </w:p>
    <w:p w14:paraId="15160186" w14:textId="77777777" w:rsidR="004D3EEE" w:rsidRPr="00344F17" w:rsidRDefault="004D3EEE" w:rsidP="004D3EEE">
      <w:pPr>
        <w:jc w:val="both"/>
        <w:rPr>
          <w:highlight w:val="green"/>
        </w:rPr>
      </w:pPr>
      <w:r w:rsidRPr="0010181B">
        <w:t>Úrad ako ústredný orgán štátnej správy odpovedal počas roka aj na žiadosti o informácie podľa zákona č.</w:t>
      </w:r>
      <w:r>
        <w:t> </w:t>
      </w:r>
      <w:r w:rsidRPr="0010181B">
        <w:t xml:space="preserve">211/2000 Z. z. o slobodnom prístupe k informáciám a o zmene a doplnení niektorých zákonov (zákon o slobode informácií) v znení neskorších predpisov. </w:t>
      </w:r>
      <w:r w:rsidRPr="00173B86">
        <w:t xml:space="preserve">V roku 2023 </w:t>
      </w:r>
      <w:r>
        <w:t>zaevidoval</w:t>
      </w:r>
      <w:r w:rsidRPr="00173B86">
        <w:t xml:space="preserve"> ÚJD SR spolu 17 žiadostí o sprístupnenie informácie v zmysle zákona o slobode informácií. Z toho bolo 16 žiadostí vybavených úplne a 1 žiadosť bola vybavená čiastočným sprístupnením informácie, čiastočným postúpením a vydaním rozhodnutia o nesprístupnení informácie sčasti.</w:t>
      </w:r>
    </w:p>
    <w:p w14:paraId="08453711" w14:textId="06803282" w:rsidR="004D3EEE" w:rsidRPr="0010181B" w:rsidRDefault="004D3EEE" w:rsidP="004D3EEE">
      <w:pPr>
        <w:jc w:val="both"/>
      </w:pPr>
      <w:r w:rsidRPr="0010181B">
        <w:t xml:space="preserve">Komunikačnú </w:t>
      </w:r>
      <w:r>
        <w:t xml:space="preserve">a informačnú </w:t>
      </w:r>
      <w:r w:rsidRPr="0010181B">
        <w:t>funkciu pre verejnosť plní aj dotykový informačný kiosk, ktorý úrad prevádzkuje od roku 2016</w:t>
      </w:r>
      <w:r w:rsidR="00BD6D2A">
        <w:t>. Kiosk</w:t>
      </w:r>
      <w:r w:rsidRPr="0010181B">
        <w:t xml:space="preserve"> je umiestnený pri vchode do budovy sídla ÚJD</w:t>
      </w:r>
      <w:r>
        <w:t> </w:t>
      </w:r>
      <w:r w:rsidRPr="0010181B">
        <w:t>SR v Bratislave a je prístupný verejnosti 24 hodín denne. Okrem toho, že kiosk slúži ako elektronická úradná tabuľa</w:t>
      </w:r>
      <w:r>
        <w:t xml:space="preserve"> ÚJD SR</w:t>
      </w:r>
      <w:r w:rsidRPr="0010181B">
        <w:t xml:space="preserve">, kde sa prehľadne zobrazujú </w:t>
      </w:r>
      <w:r>
        <w:t xml:space="preserve">prebiehajúce </w:t>
      </w:r>
      <w:r w:rsidRPr="0010181B">
        <w:t xml:space="preserve">správne konania a všetky rozhodnutia vydané úradom, má verejnosť prostredníctvom </w:t>
      </w:r>
      <w:r w:rsidR="00BD6D2A">
        <w:t>neho</w:t>
      </w:r>
      <w:r w:rsidRPr="0010181B">
        <w:t xml:space="preserve"> plný prístup aj na webové sídlo. Pre väčšiu prehľadnosť a jednoduchší prístup k informáciám o rozhodovacej činnosti </w:t>
      </w:r>
      <w:r>
        <w:t>úradu</w:t>
      </w:r>
      <w:r w:rsidRPr="0010181B">
        <w:t xml:space="preserve"> je na webovom sídle vytvorená sekcia „Úradná tabuľa ÚJD</w:t>
      </w:r>
      <w:r>
        <w:t> </w:t>
      </w:r>
      <w:r w:rsidRPr="0010181B">
        <w:t>SR“, kde sú prehľadne zobrazené prebiehajúce správne konania a vydané rozhodnutia</w:t>
      </w:r>
      <w:r>
        <w:t xml:space="preserve"> ÚJD SR</w:t>
      </w:r>
      <w:r w:rsidRPr="0010181B">
        <w:t>.</w:t>
      </w:r>
    </w:p>
    <w:p w14:paraId="3F1DD7DD" w14:textId="77777777" w:rsidR="00220CF7" w:rsidRDefault="004D3EEE" w:rsidP="004D3EEE">
      <w:pPr>
        <w:jc w:val="both"/>
      </w:pPr>
      <w:r w:rsidRPr="0010181B">
        <w:t>ÚJD</w:t>
      </w:r>
      <w:r>
        <w:t> </w:t>
      </w:r>
      <w:r w:rsidRPr="0010181B">
        <w:t xml:space="preserve">SR prehlbuje informovanosť verejnosti o svojej činnosti a poslaní s cieľom </w:t>
      </w:r>
      <w:r>
        <w:t>budovania a zvyšovania dôvery</w:t>
      </w:r>
      <w:r w:rsidRPr="0010181B">
        <w:t xml:space="preserve"> </w:t>
      </w:r>
      <w:r>
        <w:t>k</w:t>
      </w:r>
      <w:r w:rsidRPr="0010181B">
        <w:t xml:space="preserve"> odborn</w:t>
      </w:r>
      <w:r>
        <w:t>ému</w:t>
      </w:r>
      <w:r w:rsidRPr="0010181B">
        <w:t xml:space="preserve"> a spoľahl</w:t>
      </w:r>
      <w:r>
        <w:t>ivému</w:t>
      </w:r>
      <w:r w:rsidRPr="0010181B">
        <w:t xml:space="preserve"> dozor</w:t>
      </w:r>
      <w:r>
        <w:t>nému orgánu</w:t>
      </w:r>
      <w:r w:rsidRPr="0010181B">
        <w:t xml:space="preserve">, ktorý je hodnoverným zdrojom informácií aj prípravou a zverejňovaním informačných materiálov, predovšetkým každoročným vydávaním </w:t>
      </w:r>
      <w:r w:rsidR="00BD6D2A">
        <w:t>v</w:t>
      </w:r>
      <w:r w:rsidRPr="0010181B">
        <w:t xml:space="preserve">ýročnej správy. Trvalá pozornosť sa venuje zrozumiteľnému </w:t>
      </w:r>
      <w:r w:rsidRPr="0010181B">
        <w:lastRenderedPageBreak/>
        <w:t>informovaniu verejnosti a</w:t>
      </w:r>
      <w:r>
        <w:t xml:space="preserve"> tiež</w:t>
      </w:r>
      <w:r w:rsidRPr="0010181B">
        <w:t> korektnosti publikovaných informácií</w:t>
      </w:r>
      <w:r>
        <w:t>, vrátane medzirezortnej spolupráce v boji proti šíreniu dezinformác</w:t>
      </w:r>
      <w:r w:rsidR="00BD6D2A">
        <w:t>i</w:t>
      </w:r>
      <w:r>
        <w:t>í</w:t>
      </w:r>
      <w:r w:rsidRPr="0010181B">
        <w:t>.</w:t>
      </w:r>
    </w:p>
    <w:p w14:paraId="625E424B" w14:textId="76EF08C8" w:rsidR="004D3EEE" w:rsidRDefault="004D3EEE" w:rsidP="004D3EEE">
      <w:pPr>
        <w:jc w:val="both"/>
      </w:pPr>
      <w:r w:rsidRPr="0010181B">
        <w:t>Zároveň sa ÚJD</w:t>
      </w:r>
      <w:r>
        <w:t> </w:t>
      </w:r>
      <w:r w:rsidRPr="0010181B">
        <w:t>SR snažil aj v roku 202</w:t>
      </w:r>
      <w:r>
        <w:t>3</w:t>
      </w:r>
      <w:r w:rsidRPr="0010181B">
        <w:t xml:space="preserve"> budovať osvetu verejnosti v otázke mierového a bezpečného využívania jadrovej energie prostredníctvom odborného časopisu Jadrová energia, v redakčnej rade ktorého má priame zastúpenie a ktorý bezplatne distribuuje do vybraných škôl, knižníc a inštitúcií.</w:t>
      </w:r>
    </w:p>
    <w:p w14:paraId="55221D26" w14:textId="688BBE1E" w:rsidR="004D3EEE" w:rsidRDefault="004D3EEE" w:rsidP="004D3EEE">
      <w:pPr>
        <w:jc w:val="both"/>
      </w:pPr>
      <w:r>
        <w:t>Plánovanie a uskutočňovanie aktivít ÚJD SR smerom k informovaniu verejnosti je do veľkej miery ovplyvnené aj výsledkami prieskumov verejnej mienky, ktoré úrad vykonáva na pravidelnej báze v dvoch úrovniach. V ročnom intervale sa strieda celoslovenský prieskum verejnej mienky s lokalitným prieskumom, kde respondenti odpovedajú na otázky týkajúce sa vnímania jadrovej bezpečnosti, poskytovania informácií zo strany držiteľa povolenia a štátneho dozoru či miery dôvery voči zainteresovaným stranám</w:t>
      </w:r>
      <w:r w:rsidRPr="001A492B">
        <w:t>. V roku 2023 sa uskutočnil celoplošný prieskum verejnej mienky, ktorý realizovala agentúra FOCUS</w:t>
      </w:r>
      <w:r>
        <w:t xml:space="preserve"> v mesiaci jún</w:t>
      </w:r>
      <w:r w:rsidRPr="001A492B">
        <w:t>. V prieskume sa okrem iného zisťovala aj informovanosť obyvateľstva o tom, ako sa správať v prípade jadrovej havárie. Len 5</w:t>
      </w:r>
      <w:r w:rsidR="00BD6D2A">
        <w:t> </w:t>
      </w:r>
      <w:r w:rsidRPr="001A492B">
        <w:t>% respondentov deklarovalo, že vie presne ako sa správať v prípade jadrovej havárie a až 32</w:t>
      </w:r>
      <w:r w:rsidR="00BD6D2A">
        <w:t> </w:t>
      </w:r>
      <w:r w:rsidRPr="001A492B">
        <w:t>% respondentov deklaruje, že sú úplne neinformovaní ako sa v takomto prípade majú správať.</w:t>
      </w:r>
      <w:r>
        <w:t xml:space="preserve"> Pozitívnou správou pre hodnotenie aktivít úradu v oblasti komunikácie s verejnosťou je účastníkmi prieskumu deklarovaná trvale vysoká dôveryhodnosť úradu z hľadiska poskytovania informácií o jadrovej energii a jadrovej bezpečnosti. Oproti predchádzajúcemu prieskumu v roku 2021 dôveryhodnosť národného dozorného orgánu narástla z</w:t>
      </w:r>
      <w:r w:rsidR="00BD6D2A">
        <w:t> </w:t>
      </w:r>
      <w:r>
        <w:t>56</w:t>
      </w:r>
      <w:r w:rsidR="00BD6D2A">
        <w:t> </w:t>
      </w:r>
      <w:r>
        <w:t>% na súčasných 63</w:t>
      </w:r>
      <w:r w:rsidR="00BD6D2A">
        <w:t> </w:t>
      </w:r>
      <w:r>
        <w:t xml:space="preserve">%. </w:t>
      </w:r>
      <w:r w:rsidRPr="001A492B">
        <w:t>Kompletné výsledky aktuálneho prieskumu a rovnako aj výsledky predchádzajúcich prieskumov sú dostupné na webovom sídle úradu.</w:t>
      </w:r>
      <w:r>
        <w:t xml:space="preserve"> </w:t>
      </w:r>
    </w:p>
    <w:p w14:paraId="18C515D8" w14:textId="77777777" w:rsidR="004D3EEE" w:rsidRDefault="004D3EEE" w:rsidP="004D3EEE">
      <w:pPr>
        <w:jc w:val="both"/>
      </w:pPr>
      <w:r>
        <w:t xml:space="preserve">Zástupcovia ÚJD SR v roku 2023 naďalej udržiavali komunikáciu s poslancami, predstaviteľmi ústrednej štátnej správy, orgánmi miestnej štátnej správy a samosprávy. </w:t>
      </w:r>
      <w:r w:rsidRPr="00C102A7">
        <w:t>Aktívne sa zúčastňovali na rokovaniach Občianskych informačných komisií (OIK) v regiónoch JZ v Bohuniciach a v Mochovciach, ako i na rokovaniach Združenia miest a obcí, región JE Jaslovské Bohunice a Záujmového regionálneho združenia miest a obcí Slovenska, región JE Mochovce. Na stretnutiach boli prezentované informácie o aktuálnych otázkach v oblasti jadrovej bezpečnosti v SR i v zahraničí, ako i o aktivitách ÚJD SR. Na vyžiadanie boli tiež priebežne poskytované informácie predstaviteľom miestnych samospráv pre potreby korektného a aktuálneho informovania obyvateľov.</w:t>
      </w:r>
    </w:p>
    <w:p w14:paraId="4D5131AD" w14:textId="77777777" w:rsidR="004D3EEE" w:rsidRDefault="004D3EEE" w:rsidP="004D3EEE">
      <w:pPr>
        <w:jc w:val="both"/>
      </w:pPr>
    </w:p>
    <w:p w14:paraId="7DDC3B82" w14:textId="5A3F894D" w:rsidR="003661AC" w:rsidRPr="003D7AAC" w:rsidRDefault="003661AC" w:rsidP="003D0B6B">
      <w:pPr>
        <w:pStyle w:val="Nadpis1"/>
        <w:numPr>
          <w:ilvl w:val="0"/>
          <w:numId w:val="1"/>
        </w:numPr>
        <w:tabs>
          <w:tab w:val="clear" w:pos="360"/>
        </w:tabs>
        <w:ind w:left="425" w:hanging="425"/>
        <w:jc w:val="both"/>
      </w:pPr>
      <w:bookmarkStart w:id="65" w:name="_Toc161214335"/>
      <w:r w:rsidRPr="003D7AAC">
        <w:t>EKONOMICKÉ ÚDAJE</w:t>
      </w:r>
      <w:bookmarkEnd w:id="65"/>
    </w:p>
    <w:p w14:paraId="16A42656" w14:textId="325F5F07" w:rsidR="00372D7C" w:rsidRPr="006A229D" w:rsidRDefault="00372D7C" w:rsidP="003300C4">
      <w:pPr>
        <w:jc w:val="both"/>
        <w:rPr>
          <w:highlight w:val="green"/>
          <w:lang w:val="x-none" w:eastAsia="cs-CZ"/>
        </w:rPr>
      </w:pPr>
    </w:p>
    <w:p w14:paraId="3A574982" w14:textId="77777777" w:rsidR="00220CF7" w:rsidRDefault="000F273D" w:rsidP="000F273D">
      <w:pPr>
        <w:jc w:val="both"/>
      </w:pPr>
      <w:r w:rsidRPr="001343D8">
        <w:t>ÚJD SR ako rozpočtová kapitola je svojimi príjmami a výdavkami napojená na štátny rozpočet. Atómovým zákonom boli od 1. 1. 2008 zavedené ročné príspevky na výkon štátneho dozoru nad jadrovou bezpečnosťou, ktorý uložil povinnosť držiteľom povolenia platiť ročné príspevky na výkon štátneho dozoru nad jadrovou bezpečnosťou.</w:t>
      </w:r>
    </w:p>
    <w:p w14:paraId="76ABE8EF" w14:textId="77777777" w:rsidR="00220CF7" w:rsidRDefault="000F273D" w:rsidP="000F273D">
      <w:pPr>
        <w:jc w:val="both"/>
      </w:pPr>
      <w:r w:rsidRPr="001343D8">
        <w:t>Príjmy na rok 2023 boli pre ÚJD SR rozpočtované vo výške 9 946 000 eur, rozpočet príjmov v priebehu roka nebol upravovaný rozpočtovým opatrením. V skutočnosti dosiahli príjmy sumu 10 043 899 eur, z toho administratívne poplatky dosiahli 10 014 597 eur a iné nedaňové príjmy 29 302 eur.</w:t>
      </w:r>
    </w:p>
    <w:p w14:paraId="06F7DF93" w14:textId="71708E22" w:rsidR="000F273D" w:rsidRPr="001343D8" w:rsidRDefault="000F273D" w:rsidP="000F273D">
      <w:pPr>
        <w:jc w:val="both"/>
      </w:pPr>
      <w:r w:rsidRPr="001343D8">
        <w:t>Limit výdavkov na rok 2023 bol pre ÚJD SR schválený vo výške 11 793 821 eur. Po rozpočtových opatreniach bol limit výdavkov upravený na sumu 13 254 423 eur. Celkový objem výdavkov na činnosť ÚJD SR k 31. 12. 2023 dosiahol sumu 12 3</w:t>
      </w:r>
      <w:r w:rsidR="0019625F">
        <w:t>89 891</w:t>
      </w:r>
      <w:r w:rsidRPr="001343D8">
        <w:t>  eur. Z toho na financovanie bežnej činnosti sa vynaložili výdavky vo výške 10</w:t>
      </w:r>
      <w:r w:rsidR="0019625F">
        <w:t> 396 942</w:t>
      </w:r>
      <w:r w:rsidRPr="001343D8">
        <w:t xml:space="preserve"> eur a na obstaranie kapitálových aktív výdavky vo výške 1 992 949 eur. </w:t>
      </w:r>
    </w:p>
    <w:p w14:paraId="6E48ADC4" w14:textId="575368E3" w:rsidR="000F273D" w:rsidRDefault="000F273D" w:rsidP="000F273D">
      <w:pPr>
        <w:jc w:val="both"/>
      </w:pPr>
    </w:p>
    <w:p w14:paraId="35EBBAC3" w14:textId="2F688CB4" w:rsidR="004C18D7" w:rsidRDefault="004C18D7" w:rsidP="000F273D">
      <w:pPr>
        <w:jc w:val="both"/>
      </w:pPr>
    </w:p>
    <w:p w14:paraId="58EAA244" w14:textId="77777777" w:rsidR="004C18D7" w:rsidRPr="001343D8" w:rsidRDefault="004C18D7" w:rsidP="000F273D">
      <w:pPr>
        <w:jc w:val="both"/>
      </w:pPr>
    </w:p>
    <w:p w14:paraId="194F3D59" w14:textId="1A8D7554" w:rsidR="000F273D" w:rsidRPr="0036514D" w:rsidRDefault="000F273D" w:rsidP="00F23AC6">
      <w:pPr>
        <w:jc w:val="both"/>
        <w:rPr>
          <w:sz w:val="22"/>
          <w:szCs w:val="22"/>
        </w:rPr>
      </w:pPr>
      <w:r w:rsidRPr="0036514D">
        <w:rPr>
          <w:sz w:val="22"/>
          <w:szCs w:val="22"/>
        </w:rPr>
        <w:lastRenderedPageBreak/>
        <w:t xml:space="preserve">Tab. </w:t>
      </w:r>
      <w:r w:rsidR="002A1E40" w:rsidRPr="0036514D">
        <w:rPr>
          <w:sz w:val="22"/>
          <w:szCs w:val="22"/>
        </w:rPr>
        <w:t>6</w:t>
      </w:r>
      <w:r w:rsidRPr="0036514D">
        <w:rPr>
          <w:sz w:val="22"/>
          <w:szCs w:val="22"/>
        </w:rPr>
        <w:t xml:space="preserve"> </w:t>
      </w:r>
      <w:r w:rsidRPr="0036514D">
        <w:rPr>
          <w:bCs/>
          <w:sz w:val="22"/>
          <w:szCs w:val="22"/>
        </w:rPr>
        <w:t>Hospodárske výsledky za rok 2023</w:t>
      </w:r>
    </w:p>
    <w:tbl>
      <w:tblPr>
        <w:tblW w:w="9010" w:type="dxa"/>
        <w:jc w:val="right"/>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941"/>
        <w:gridCol w:w="2069"/>
      </w:tblGrid>
      <w:tr w:rsidR="000F273D" w:rsidRPr="006F17C5" w14:paraId="28992995" w14:textId="77777777" w:rsidTr="006F2ADD">
        <w:trPr>
          <w:trHeight w:val="279"/>
          <w:jc w:val="right"/>
        </w:trPr>
        <w:tc>
          <w:tcPr>
            <w:tcW w:w="6941" w:type="dxa"/>
            <w:tcBorders>
              <w:top w:val="single" w:sz="4" w:space="0" w:color="auto"/>
              <w:left w:val="single" w:sz="4" w:space="0" w:color="auto"/>
            </w:tcBorders>
            <w:shd w:val="clear" w:color="auto" w:fill="D9D9D9" w:themeFill="background1" w:themeFillShade="D9"/>
            <w:noWrap/>
            <w:vAlign w:val="center"/>
          </w:tcPr>
          <w:p w14:paraId="0FF143D2" w14:textId="77777777" w:rsidR="000F273D" w:rsidRPr="006F17C5" w:rsidRDefault="000F273D" w:rsidP="000F273D">
            <w:pPr>
              <w:jc w:val="center"/>
              <w:rPr>
                <w:b/>
                <w:bCs/>
                <w:sz w:val="22"/>
                <w:szCs w:val="22"/>
              </w:rPr>
            </w:pPr>
            <w:r w:rsidRPr="006F17C5">
              <w:rPr>
                <w:b/>
                <w:bCs/>
                <w:sz w:val="22"/>
                <w:szCs w:val="22"/>
              </w:rPr>
              <w:t>Položka</w:t>
            </w:r>
          </w:p>
        </w:tc>
        <w:tc>
          <w:tcPr>
            <w:tcW w:w="2069" w:type="dxa"/>
            <w:tcBorders>
              <w:top w:val="single" w:sz="4" w:space="0" w:color="auto"/>
              <w:right w:val="single" w:sz="4" w:space="0" w:color="auto"/>
            </w:tcBorders>
            <w:shd w:val="clear" w:color="auto" w:fill="D9D9D9" w:themeFill="background1" w:themeFillShade="D9"/>
            <w:vAlign w:val="center"/>
          </w:tcPr>
          <w:p w14:paraId="35C38384" w14:textId="210F4F21" w:rsidR="000F273D" w:rsidRPr="006F17C5" w:rsidRDefault="000F273D" w:rsidP="000F273D">
            <w:pPr>
              <w:jc w:val="center"/>
              <w:rPr>
                <w:b/>
                <w:bCs/>
                <w:sz w:val="22"/>
                <w:szCs w:val="22"/>
              </w:rPr>
            </w:pPr>
            <w:r w:rsidRPr="006F17C5">
              <w:rPr>
                <w:b/>
                <w:bCs/>
                <w:sz w:val="22"/>
                <w:szCs w:val="22"/>
              </w:rPr>
              <w:t>Suma (v eurách)</w:t>
            </w:r>
          </w:p>
        </w:tc>
      </w:tr>
      <w:tr w:rsidR="000F273D" w:rsidRPr="000F273D" w14:paraId="0B575668" w14:textId="77777777" w:rsidTr="006F2ADD">
        <w:trPr>
          <w:trHeight w:val="285"/>
          <w:jc w:val="right"/>
        </w:trPr>
        <w:tc>
          <w:tcPr>
            <w:tcW w:w="6941" w:type="dxa"/>
            <w:tcBorders>
              <w:left w:val="single" w:sz="4" w:space="0" w:color="auto"/>
            </w:tcBorders>
            <w:shd w:val="clear" w:color="auto" w:fill="FFFFFF"/>
            <w:noWrap/>
            <w:vAlign w:val="bottom"/>
          </w:tcPr>
          <w:p w14:paraId="16DD0FAD" w14:textId="77777777" w:rsidR="000F273D" w:rsidRPr="000F273D" w:rsidRDefault="000F273D" w:rsidP="000F273D">
            <w:pPr>
              <w:rPr>
                <w:b/>
                <w:bCs/>
                <w:szCs w:val="22"/>
              </w:rPr>
            </w:pPr>
            <w:r w:rsidRPr="000F273D">
              <w:rPr>
                <w:b/>
                <w:bCs/>
                <w:sz w:val="22"/>
                <w:szCs w:val="22"/>
              </w:rPr>
              <w:t xml:space="preserve">Limit príjmov </w:t>
            </w:r>
          </w:p>
        </w:tc>
        <w:tc>
          <w:tcPr>
            <w:tcW w:w="2069" w:type="dxa"/>
            <w:tcBorders>
              <w:right w:val="single" w:sz="4" w:space="0" w:color="auto"/>
            </w:tcBorders>
            <w:shd w:val="clear" w:color="auto" w:fill="FFFFFF"/>
            <w:noWrap/>
            <w:vAlign w:val="center"/>
          </w:tcPr>
          <w:p w14:paraId="39AF0B75" w14:textId="77777777" w:rsidR="000F273D" w:rsidRPr="000F273D" w:rsidRDefault="000F273D" w:rsidP="00762F07">
            <w:pPr>
              <w:tabs>
                <w:tab w:val="left" w:pos="4821"/>
                <w:tab w:val="left" w:pos="5033"/>
              </w:tabs>
              <w:ind w:right="113" w:firstLine="682"/>
              <w:jc w:val="right"/>
              <w:rPr>
                <w:szCs w:val="22"/>
              </w:rPr>
            </w:pPr>
            <w:r w:rsidRPr="000F273D">
              <w:rPr>
                <w:sz w:val="22"/>
                <w:szCs w:val="22"/>
              </w:rPr>
              <w:t>9 946 000</w:t>
            </w:r>
          </w:p>
        </w:tc>
      </w:tr>
      <w:tr w:rsidR="000F273D" w:rsidRPr="000F273D" w14:paraId="4CF124B7" w14:textId="77777777" w:rsidTr="006F2ADD">
        <w:trPr>
          <w:trHeight w:val="261"/>
          <w:jc w:val="right"/>
        </w:trPr>
        <w:tc>
          <w:tcPr>
            <w:tcW w:w="6941" w:type="dxa"/>
            <w:tcBorders>
              <w:left w:val="single" w:sz="4" w:space="0" w:color="auto"/>
            </w:tcBorders>
            <w:shd w:val="clear" w:color="auto" w:fill="FFFFFF"/>
            <w:noWrap/>
            <w:vAlign w:val="bottom"/>
          </w:tcPr>
          <w:p w14:paraId="309A9186" w14:textId="77777777" w:rsidR="000F273D" w:rsidRPr="000F273D" w:rsidRDefault="000F273D" w:rsidP="000F273D">
            <w:pPr>
              <w:rPr>
                <w:szCs w:val="22"/>
              </w:rPr>
            </w:pPr>
            <w:r w:rsidRPr="000F273D">
              <w:rPr>
                <w:b/>
                <w:bCs/>
                <w:sz w:val="22"/>
                <w:szCs w:val="22"/>
              </w:rPr>
              <w:t>Skutočné príjmy spolu</w:t>
            </w:r>
          </w:p>
        </w:tc>
        <w:tc>
          <w:tcPr>
            <w:tcW w:w="2069" w:type="dxa"/>
            <w:tcBorders>
              <w:right w:val="single" w:sz="4" w:space="0" w:color="auto"/>
            </w:tcBorders>
            <w:shd w:val="clear" w:color="auto" w:fill="FFFFFF"/>
            <w:noWrap/>
            <w:vAlign w:val="center"/>
          </w:tcPr>
          <w:p w14:paraId="34CD8EEF" w14:textId="77777777" w:rsidR="000F273D" w:rsidRPr="000F273D" w:rsidRDefault="000F273D" w:rsidP="00762F07">
            <w:pPr>
              <w:tabs>
                <w:tab w:val="left" w:pos="4821"/>
                <w:tab w:val="left" w:pos="5033"/>
              </w:tabs>
              <w:ind w:right="113" w:firstLine="682"/>
              <w:jc w:val="right"/>
              <w:rPr>
                <w:b/>
                <w:i/>
                <w:szCs w:val="22"/>
              </w:rPr>
            </w:pPr>
            <w:r w:rsidRPr="000F273D">
              <w:rPr>
                <w:b/>
                <w:sz w:val="22"/>
                <w:szCs w:val="22"/>
              </w:rPr>
              <w:t>  10 043 899</w:t>
            </w:r>
          </w:p>
        </w:tc>
      </w:tr>
      <w:tr w:rsidR="000F273D" w:rsidRPr="000F273D" w14:paraId="4755734A" w14:textId="77777777" w:rsidTr="006F2ADD">
        <w:trPr>
          <w:trHeight w:val="255"/>
          <w:jc w:val="right"/>
        </w:trPr>
        <w:tc>
          <w:tcPr>
            <w:tcW w:w="6941" w:type="dxa"/>
            <w:tcBorders>
              <w:left w:val="single" w:sz="4" w:space="0" w:color="auto"/>
            </w:tcBorders>
            <w:shd w:val="clear" w:color="auto" w:fill="FFFFFF"/>
            <w:noWrap/>
            <w:vAlign w:val="bottom"/>
          </w:tcPr>
          <w:p w14:paraId="5A1A5BAB" w14:textId="77777777" w:rsidR="000F273D" w:rsidRPr="000F273D" w:rsidRDefault="000F273D" w:rsidP="000F273D">
            <w:pPr>
              <w:rPr>
                <w:szCs w:val="22"/>
              </w:rPr>
            </w:pPr>
            <w:r w:rsidRPr="000F273D">
              <w:rPr>
                <w:sz w:val="22"/>
                <w:szCs w:val="22"/>
              </w:rPr>
              <w:t>z toho:</w:t>
            </w:r>
          </w:p>
        </w:tc>
        <w:tc>
          <w:tcPr>
            <w:tcW w:w="2069" w:type="dxa"/>
            <w:tcBorders>
              <w:right w:val="single" w:sz="4" w:space="0" w:color="auto"/>
            </w:tcBorders>
            <w:shd w:val="clear" w:color="auto" w:fill="FFFFFF"/>
            <w:noWrap/>
            <w:vAlign w:val="center"/>
          </w:tcPr>
          <w:p w14:paraId="403B8B22" w14:textId="77777777" w:rsidR="000F273D" w:rsidRPr="000F273D" w:rsidRDefault="000F273D" w:rsidP="00762F07">
            <w:pPr>
              <w:tabs>
                <w:tab w:val="left" w:pos="4821"/>
                <w:tab w:val="left" w:pos="5033"/>
              </w:tabs>
              <w:ind w:right="113" w:firstLine="682"/>
              <w:jc w:val="right"/>
              <w:rPr>
                <w:i/>
                <w:szCs w:val="22"/>
              </w:rPr>
            </w:pPr>
          </w:p>
        </w:tc>
      </w:tr>
      <w:tr w:rsidR="000F273D" w:rsidRPr="000F273D" w14:paraId="6F027F3B" w14:textId="77777777" w:rsidTr="006F2ADD">
        <w:trPr>
          <w:trHeight w:val="108"/>
          <w:jc w:val="right"/>
        </w:trPr>
        <w:tc>
          <w:tcPr>
            <w:tcW w:w="6941" w:type="dxa"/>
            <w:tcBorders>
              <w:left w:val="single" w:sz="4" w:space="0" w:color="auto"/>
            </w:tcBorders>
            <w:shd w:val="clear" w:color="auto" w:fill="FFFFFF"/>
            <w:noWrap/>
            <w:vAlign w:val="bottom"/>
          </w:tcPr>
          <w:p w14:paraId="3434B2DA" w14:textId="1F282283" w:rsidR="000F273D" w:rsidRPr="000F273D" w:rsidRDefault="000F273D" w:rsidP="00994B4E">
            <w:pPr>
              <w:ind w:left="719"/>
              <w:rPr>
                <w:i/>
                <w:szCs w:val="22"/>
              </w:rPr>
            </w:pPr>
            <w:r w:rsidRPr="000F273D">
              <w:rPr>
                <w:i/>
                <w:sz w:val="22"/>
                <w:szCs w:val="22"/>
              </w:rPr>
              <w:t>administratívne poplatky</w:t>
            </w:r>
          </w:p>
        </w:tc>
        <w:tc>
          <w:tcPr>
            <w:tcW w:w="2069" w:type="dxa"/>
            <w:tcBorders>
              <w:right w:val="single" w:sz="4" w:space="0" w:color="auto"/>
            </w:tcBorders>
            <w:shd w:val="clear" w:color="auto" w:fill="FFFFFF"/>
            <w:noWrap/>
            <w:vAlign w:val="center"/>
          </w:tcPr>
          <w:p w14:paraId="64BE2E48" w14:textId="77777777" w:rsidR="000F273D" w:rsidRPr="000F273D" w:rsidRDefault="000F273D" w:rsidP="00762F07">
            <w:pPr>
              <w:tabs>
                <w:tab w:val="left" w:pos="4821"/>
                <w:tab w:val="left" w:pos="5033"/>
              </w:tabs>
              <w:ind w:right="113" w:firstLine="682"/>
              <w:jc w:val="right"/>
              <w:rPr>
                <w:i/>
                <w:szCs w:val="22"/>
              </w:rPr>
            </w:pPr>
            <w:r w:rsidRPr="000F273D">
              <w:rPr>
                <w:i/>
                <w:sz w:val="22"/>
                <w:szCs w:val="22"/>
              </w:rPr>
              <w:t>10 014 597</w:t>
            </w:r>
          </w:p>
        </w:tc>
      </w:tr>
      <w:tr w:rsidR="000F273D" w:rsidRPr="000F273D" w14:paraId="5FDFCA39" w14:textId="77777777" w:rsidTr="006F2ADD">
        <w:trPr>
          <w:trHeight w:val="255"/>
          <w:jc w:val="right"/>
        </w:trPr>
        <w:tc>
          <w:tcPr>
            <w:tcW w:w="6941" w:type="dxa"/>
            <w:tcBorders>
              <w:left w:val="single" w:sz="4" w:space="0" w:color="auto"/>
            </w:tcBorders>
            <w:shd w:val="clear" w:color="auto" w:fill="FFFFFF"/>
            <w:noWrap/>
            <w:vAlign w:val="bottom"/>
          </w:tcPr>
          <w:p w14:paraId="4DD7FD08" w14:textId="77777777" w:rsidR="000F273D" w:rsidRPr="000F273D" w:rsidRDefault="000F273D" w:rsidP="00994B4E">
            <w:pPr>
              <w:ind w:left="719"/>
              <w:rPr>
                <w:b/>
                <w:bCs/>
                <w:i/>
                <w:szCs w:val="22"/>
              </w:rPr>
            </w:pPr>
            <w:r w:rsidRPr="000F273D">
              <w:rPr>
                <w:i/>
                <w:sz w:val="22"/>
                <w:szCs w:val="22"/>
              </w:rPr>
              <w:t>iné nedaňové príjmy</w:t>
            </w:r>
          </w:p>
        </w:tc>
        <w:tc>
          <w:tcPr>
            <w:tcW w:w="2069" w:type="dxa"/>
            <w:tcBorders>
              <w:right w:val="single" w:sz="4" w:space="0" w:color="auto"/>
            </w:tcBorders>
            <w:shd w:val="clear" w:color="auto" w:fill="FFFFFF"/>
            <w:noWrap/>
            <w:vAlign w:val="center"/>
          </w:tcPr>
          <w:p w14:paraId="72130CD2" w14:textId="77777777" w:rsidR="000F273D" w:rsidRPr="000F273D" w:rsidRDefault="000F273D" w:rsidP="00762F07">
            <w:pPr>
              <w:tabs>
                <w:tab w:val="left" w:pos="4821"/>
                <w:tab w:val="left" w:pos="5033"/>
              </w:tabs>
              <w:ind w:right="113" w:firstLine="682"/>
              <w:jc w:val="right"/>
              <w:rPr>
                <w:bCs/>
                <w:i/>
                <w:szCs w:val="22"/>
              </w:rPr>
            </w:pPr>
            <w:r w:rsidRPr="000F273D">
              <w:rPr>
                <w:bCs/>
                <w:i/>
                <w:sz w:val="22"/>
                <w:szCs w:val="22"/>
              </w:rPr>
              <w:t>29 302</w:t>
            </w:r>
          </w:p>
        </w:tc>
      </w:tr>
      <w:tr w:rsidR="000F273D" w:rsidRPr="000F273D" w14:paraId="381EBA10" w14:textId="77777777" w:rsidTr="006F2ADD">
        <w:trPr>
          <w:trHeight w:val="291"/>
          <w:jc w:val="right"/>
        </w:trPr>
        <w:tc>
          <w:tcPr>
            <w:tcW w:w="6941" w:type="dxa"/>
            <w:tcBorders>
              <w:left w:val="single" w:sz="4" w:space="0" w:color="auto"/>
            </w:tcBorders>
            <w:shd w:val="clear" w:color="auto" w:fill="FFFFFF"/>
            <w:noWrap/>
            <w:vAlign w:val="bottom"/>
          </w:tcPr>
          <w:p w14:paraId="275DE951" w14:textId="77777777" w:rsidR="000F273D" w:rsidRPr="000F273D" w:rsidRDefault="000F273D" w:rsidP="000F273D">
            <w:pPr>
              <w:rPr>
                <w:b/>
                <w:bCs/>
                <w:szCs w:val="22"/>
              </w:rPr>
            </w:pPr>
            <w:r w:rsidRPr="000F273D">
              <w:rPr>
                <w:b/>
                <w:bCs/>
                <w:sz w:val="22"/>
                <w:szCs w:val="22"/>
              </w:rPr>
              <w:t xml:space="preserve">Limit výdavkov </w:t>
            </w:r>
          </w:p>
        </w:tc>
        <w:tc>
          <w:tcPr>
            <w:tcW w:w="2069" w:type="dxa"/>
            <w:tcBorders>
              <w:right w:val="single" w:sz="4" w:space="0" w:color="auto"/>
            </w:tcBorders>
            <w:shd w:val="clear" w:color="auto" w:fill="FFFFFF"/>
            <w:noWrap/>
            <w:vAlign w:val="center"/>
          </w:tcPr>
          <w:p w14:paraId="58CC7E86" w14:textId="77777777" w:rsidR="000F273D" w:rsidRPr="000F273D" w:rsidRDefault="000F273D" w:rsidP="00762F07">
            <w:pPr>
              <w:tabs>
                <w:tab w:val="left" w:pos="4821"/>
                <w:tab w:val="left" w:pos="5033"/>
              </w:tabs>
              <w:ind w:right="113" w:firstLine="682"/>
              <w:jc w:val="right"/>
              <w:rPr>
                <w:b/>
                <w:bCs/>
                <w:szCs w:val="22"/>
              </w:rPr>
            </w:pPr>
            <w:r w:rsidRPr="000F273D">
              <w:rPr>
                <w:sz w:val="22"/>
                <w:szCs w:val="22"/>
              </w:rPr>
              <w:t>11 793 821</w:t>
            </w:r>
          </w:p>
        </w:tc>
      </w:tr>
      <w:tr w:rsidR="000F273D" w:rsidRPr="000F273D" w14:paraId="657CD933" w14:textId="77777777" w:rsidTr="006F2ADD">
        <w:trPr>
          <w:trHeight w:val="255"/>
          <w:jc w:val="right"/>
        </w:trPr>
        <w:tc>
          <w:tcPr>
            <w:tcW w:w="6941" w:type="dxa"/>
            <w:tcBorders>
              <w:left w:val="single" w:sz="4" w:space="0" w:color="auto"/>
            </w:tcBorders>
            <w:shd w:val="clear" w:color="auto" w:fill="FFFFFF"/>
            <w:noWrap/>
            <w:vAlign w:val="bottom"/>
          </w:tcPr>
          <w:p w14:paraId="0DD4DA6C" w14:textId="7601CDCB" w:rsidR="000F273D" w:rsidRPr="000F273D" w:rsidRDefault="000F273D" w:rsidP="000F273D">
            <w:pPr>
              <w:rPr>
                <w:b/>
                <w:bCs/>
                <w:szCs w:val="22"/>
              </w:rPr>
            </w:pPr>
            <w:r w:rsidRPr="000F273D">
              <w:rPr>
                <w:b/>
                <w:bCs/>
                <w:sz w:val="22"/>
                <w:szCs w:val="22"/>
              </w:rPr>
              <w:t>Skutočné výdavky spolu</w:t>
            </w:r>
          </w:p>
        </w:tc>
        <w:tc>
          <w:tcPr>
            <w:tcW w:w="2069" w:type="dxa"/>
            <w:tcBorders>
              <w:right w:val="single" w:sz="4" w:space="0" w:color="auto"/>
            </w:tcBorders>
            <w:shd w:val="clear" w:color="auto" w:fill="FFFFFF"/>
            <w:noWrap/>
            <w:vAlign w:val="center"/>
          </w:tcPr>
          <w:p w14:paraId="39CC1636" w14:textId="023F601A" w:rsidR="000F273D" w:rsidRPr="000F273D" w:rsidRDefault="000F273D" w:rsidP="00762F07">
            <w:pPr>
              <w:tabs>
                <w:tab w:val="left" w:pos="4821"/>
                <w:tab w:val="left" w:pos="5033"/>
              </w:tabs>
              <w:ind w:right="113" w:firstLine="682"/>
              <w:jc w:val="right"/>
              <w:rPr>
                <w:b/>
                <w:bCs/>
                <w:szCs w:val="22"/>
              </w:rPr>
            </w:pPr>
            <w:r w:rsidRPr="005829DC">
              <w:rPr>
                <w:b/>
                <w:sz w:val="22"/>
                <w:szCs w:val="22"/>
              </w:rPr>
              <w:t>12 3</w:t>
            </w:r>
            <w:r w:rsidR="0019625F" w:rsidRPr="005829DC">
              <w:rPr>
                <w:b/>
                <w:sz w:val="22"/>
                <w:szCs w:val="22"/>
              </w:rPr>
              <w:t>8</w:t>
            </w:r>
            <w:r w:rsidRPr="005829DC">
              <w:rPr>
                <w:b/>
                <w:sz w:val="22"/>
                <w:szCs w:val="22"/>
              </w:rPr>
              <w:t>9 8</w:t>
            </w:r>
            <w:r w:rsidR="0019625F" w:rsidRPr="005829DC">
              <w:rPr>
                <w:b/>
                <w:sz w:val="22"/>
                <w:szCs w:val="22"/>
              </w:rPr>
              <w:t>91</w:t>
            </w:r>
          </w:p>
        </w:tc>
      </w:tr>
      <w:tr w:rsidR="000F273D" w:rsidRPr="000F273D" w14:paraId="729744A9" w14:textId="77777777" w:rsidTr="006F2ADD">
        <w:trPr>
          <w:trHeight w:val="255"/>
          <w:jc w:val="right"/>
        </w:trPr>
        <w:tc>
          <w:tcPr>
            <w:tcW w:w="6941" w:type="dxa"/>
            <w:tcBorders>
              <w:left w:val="single" w:sz="4" w:space="0" w:color="auto"/>
            </w:tcBorders>
            <w:shd w:val="clear" w:color="auto" w:fill="FFFFFF"/>
            <w:noWrap/>
            <w:vAlign w:val="bottom"/>
          </w:tcPr>
          <w:p w14:paraId="01A57397" w14:textId="77777777" w:rsidR="000F273D" w:rsidRPr="000F273D" w:rsidRDefault="000F273D" w:rsidP="000F273D">
            <w:pPr>
              <w:rPr>
                <w:szCs w:val="22"/>
              </w:rPr>
            </w:pPr>
            <w:r w:rsidRPr="000F273D">
              <w:rPr>
                <w:sz w:val="22"/>
                <w:szCs w:val="22"/>
              </w:rPr>
              <w:t xml:space="preserve">z toho: </w:t>
            </w:r>
          </w:p>
        </w:tc>
        <w:tc>
          <w:tcPr>
            <w:tcW w:w="2069" w:type="dxa"/>
            <w:tcBorders>
              <w:right w:val="single" w:sz="4" w:space="0" w:color="auto"/>
            </w:tcBorders>
            <w:shd w:val="clear" w:color="auto" w:fill="FFFFFF"/>
            <w:noWrap/>
            <w:vAlign w:val="center"/>
          </w:tcPr>
          <w:p w14:paraId="43501736" w14:textId="77777777" w:rsidR="000F273D" w:rsidRPr="000F273D" w:rsidRDefault="000F273D" w:rsidP="00762F07">
            <w:pPr>
              <w:tabs>
                <w:tab w:val="left" w:pos="4821"/>
                <w:tab w:val="left" w:pos="5033"/>
              </w:tabs>
              <w:ind w:right="113" w:firstLine="682"/>
              <w:jc w:val="right"/>
              <w:rPr>
                <w:szCs w:val="22"/>
              </w:rPr>
            </w:pPr>
          </w:p>
        </w:tc>
      </w:tr>
      <w:tr w:rsidR="000F273D" w:rsidRPr="000F273D" w14:paraId="5863B5F0" w14:textId="77777777" w:rsidTr="006F2ADD">
        <w:trPr>
          <w:trHeight w:val="255"/>
          <w:jc w:val="right"/>
        </w:trPr>
        <w:tc>
          <w:tcPr>
            <w:tcW w:w="6941" w:type="dxa"/>
            <w:tcBorders>
              <w:left w:val="single" w:sz="4" w:space="0" w:color="auto"/>
            </w:tcBorders>
            <w:noWrap/>
            <w:vAlign w:val="bottom"/>
          </w:tcPr>
          <w:p w14:paraId="30320F17" w14:textId="77777777" w:rsidR="000F273D" w:rsidRPr="000F273D" w:rsidRDefault="000F273D" w:rsidP="00994B4E">
            <w:pPr>
              <w:tabs>
                <w:tab w:val="left" w:pos="828"/>
              </w:tabs>
              <w:ind w:left="719"/>
              <w:rPr>
                <w:i/>
                <w:szCs w:val="22"/>
              </w:rPr>
            </w:pPr>
            <w:r w:rsidRPr="000F273D">
              <w:rPr>
                <w:i/>
                <w:sz w:val="22"/>
                <w:szCs w:val="22"/>
              </w:rPr>
              <w:t>bežné výdavky</w:t>
            </w:r>
          </w:p>
        </w:tc>
        <w:tc>
          <w:tcPr>
            <w:tcW w:w="2069" w:type="dxa"/>
            <w:tcBorders>
              <w:right w:val="single" w:sz="4" w:space="0" w:color="auto"/>
            </w:tcBorders>
            <w:noWrap/>
            <w:vAlign w:val="center"/>
          </w:tcPr>
          <w:p w14:paraId="0B79BD66" w14:textId="2E7F4E4A" w:rsidR="000F273D" w:rsidRPr="000F273D" w:rsidRDefault="000F273D" w:rsidP="00762F07">
            <w:pPr>
              <w:tabs>
                <w:tab w:val="left" w:pos="4821"/>
                <w:tab w:val="left" w:pos="5033"/>
              </w:tabs>
              <w:ind w:right="113" w:firstLine="682"/>
              <w:jc w:val="right"/>
              <w:rPr>
                <w:i/>
                <w:szCs w:val="22"/>
              </w:rPr>
            </w:pPr>
            <w:r w:rsidRPr="005829DC">
              <w:rPr>
                <w:i/>
                <w:sz w:val="22"/>
                <w:szCs w:val="22"/>
              </w:rPr>
              <w:t xml:space="preserve">10 </w:t>
            </w:r>
            <w:r w:rsidR="0019625F" w:rsidRPr="005829DC">
              <w:rPr>
                <w:i/>
                <w:sz w:val="22"/>
                <w:szCs w:val="22"/>
              </w:rPr>
              <w:t>396</w:t>
            </w:r>
            <w:r w:rsidRPr="005829DC">
              <w:rPr>
                <w:i/>
                <w:sz w:val="22"/>
                <w:szCs w:val="22"/>
              </w:rPr>
              <w:t xml:space="preserve"> 9</w:t>
            </w:r>
            <w:r w:rsidR="0019625F" w:rsidRPr="005829DC">
              <w:rPr>
                <w:i/>
                <w:sz w:val="22"/>
                <w:szCs w:val="22"/>
              </w:rPr>
              <w:t>42</w:t>
            </w:r>
          </w:p>
        </w:tc>
      </w:tr>
      <w:tr w:rsidR="000F273D" w:rsidRPr="000F273D" w14:paraId="0AD253AA" w14:textId="77777777" w:rsidTr="006F2ADD">
        <w:trPr>
          <w:trHeight w:val="270"/>
          <w:jc w:val="right"/>
        </w:trPr>
        <w:tc>
          <w:tcPr>
            <w:tcW w:w="6941" w:type="dxa"/>
            <w:tcBorders>
              <w:left w:val="single" w:sz="4" w:space="0" w:color="auto"/>
              <w:bottom w:val="single" w:sz="4" w:space="0" w:color="auto"/>
            </w:tcBorders>
            <w:noWrap/>
            <w:vAlign w:val="bottom"/>
          </w:tcPr>
          <w:p w14:paraId="0447A7C2" w14:textId="4ABA71D6" w:rsidR="000F273D" w:rsidRPr="000F273D" w:rsidRDefault="000F273D" w:rsidP="00994B4E">
            <w:pPr>
              <w:ind w:left="719"/>
              <w:rPr>
                <w:i/>
                <w:szCs w:val="22"/>
              </w:rPr>
            </w:pPr>
            <w:r w:rsidRPr="000F273D">
              <w:rPr>
                <w:i/>
                <w:sz w:val="22"/>
                <w:szCs w:val="22"/>
              </w:rPr>
              <w:t>kapitálové výdavky</w:t>
            </w:r>
          </w:p>
        </w:tc>
        <w:tc>
          <w:tcPr>
            <w:tcW w:w="2069" w:type="dxa"/>
            <w:tcBorders>
              <w:bottom w:val="single" w:sz="4" w:space="0" w:color="auto"/>
              <w:right w:val="single" w:sz="4" w:space="0" w:color="auto"/>
            </w:tcBorders>
            <w:noWrap/>
            <w:vAlign w:val="center"/>
          </w:tcPr>
          <w:p w14:paraId="4BFB82B6" w14:textId="3CC2FB1B" w:rsidR="000F273D" w:rsidRPr="000F273D" w:rsidRDefault="000F273D" w:rsidP="00762F07">
            <w:pPr>
              <w:tabs>
                <w:tab w:val="left" w:pos="4821"/>
                <w:tab w:val="left" w:pos="5033"/>
              </w:tabs>
              <w:ind w:right="113" w:firstLine="682"/>
              <w:jc w:val="right"/>
              <w:rPr>
                <w:i/>
                <w:szCs w:val="22"/>
              </w:rPr>
            </w:pPr>
            <w:r w:rsidRPr="000F273D">
              <w:rPr>
                <w:i/>
                <w:sz w:val="22"/>
                <w:szCs w:val="22"/>
              </w:rPr>
              <w:t>1 992 949</w:t>
            </w:r>
          </w:p>
        </w:tc>
      </w:tr>
    </w:tbl>
    <w:p w14:paraId="5917506C" w14:textId="77777777" w:rsidR="000F273D" w:rsidRPr="001343D8" w:rsidRDefault="000F273D" w:rsidP="001343D8">
      <w:pPr>
        <w:autoSpaceDE w:val="0"/>
        <w:autoSpaceDN w:val="0"/>
        <w:adjustRightInd w:val="0"/>
        <w:jc w:val="both"/>
      </w:pPr>
    </w:p>
    <w:p w14:paraId="6E75145A" w14:textId="77777777" w:rsidR="000F273D" w:rsidRPr="001343D8" w:rsidRDefault="000F273D" w:rsidP="001343D8">
      <w:pPr>
        <w:jc w:val="both"/>
        <w:rPr>
          <w:b/>
          <w:bCs/>
          <w:i/>
          <w:iCs/>
        </w:rPr>
      </w:pPr>
      <w:r w:rsidRPr="001343D8">
        <w:rPr>
          <w:b/>
          <w:bCs/>
          <w:i/>
          <w:iCs/>
        </w:rPr>
        <w:t>Bežné výdavky</w:t>
      </w:r>
    </w:p>
    <w:p w14:paraId="1C9AA7B9" w14:textId="15F2D7AC" w:rsidR="000F273D" w:rsidRDefault="000F273D" w:rsidP="001343D8">
      <w:pPr>
        <w:autoSpaceDE w:val="0"/>
        <w:autoSpaceDN w:val="0"/>
        <w:adjustRightInd w:val="0"/>
        <w:jc w:val="both"/>
      </w:pPr>
      <w:r w:rsidRPr="001343D8">
        <w:t xml:space="preserve">V oblasti čerpania bežných výdavkov má výrazný podiel čerpanie na zahraničné transfery v celkovej sume 1 433 621 eur. </w:t>
      </w:r>
      <w:r w:rsidRPr="000F273D">
        <w:t xml:space="preserve">Tieto finančné prostriedky predstavujú úhradu príspevkov za členstvo v medzinárodných organizáciách. Pravidelné príspevky predstavujú dva bežné zahraničné transfery pre MAAE, a to riadny členský príspevok </w:t>
      </w:r>
      <w:r w:rsidRPr="000F273D">
        <w:rPr>
          <w:szCs w:val="18"/>
        </w:rPr>
        <w:t xml:space="preserve">v sume 655 424 eur a príspevok do Fondu technickej spolupráce v sume 282 632 eur. Ďalším príspevkom do MAAE bol </w:t>
      </w:r>
      <w:proofErr w:type="spellStart"/>
      <w:r w:rsidRPr="000F273D">
        <w:rPr>
          <w:szCs w:val="18"/>
        </w:rPr>
        <w:t>participačný</w:t>
      </w:r>
      <w:proofErr w:type="spellEnd"/>
      <w:r w:rsidRPr="000F273D">
        <w:rPr>
          <w:szCs w:val="18"/>
        </w:rPr>
        <w:t xml:space="preserve"> príspevok v sume 17 342 eur. ÚJD SR v roku 2023 uhradil aj príspevok SR do CTBTO v sume 391 726 eur. Ďalej boli uhradené aj príspevky SR </w:t>
      </w:r>
      <w:r w:rsidRPr="000F273D">
        <w:t xml:space="preserve">do OECD/NEA - do programu </w:t>
      </w:r>
      <w:proofErr w:type="spellStart"/>
      <w:r w:rsidRPr="000F273D">
        <w:t>PARt</w:t>
      </w:r>
      <w:proofErr w:type="spellEnd"/>
      <w:r w:rsidRPr="000F273D">
        <w:t xml:space="preserve"> II v sume 51 887 eur, príspevok do OECD/NEA/DATABANK - do programu </w:t>
      </w:r>
      <w:proofErr w:type="spellStart"/>
      <w:r w:rsidRPr="000F273D">
        <w:t>PARt</w:t>
      </w:r>
      <w:proofErr w:type="spellEnd"/>
      <w:r w:rsidRPr="000F273D">
        <w:t xml:space="preserve"> II v </w:t>
      </w:r>
      <w:r w:rsidRPr="000F273D">
        <w:rPr>
          <w:szCs w:val="18"/>
        </w:rPr>
        <w:t>sume 12</w:t>
      </w:r>
      <w:r w:rsidRPr="000F273D">
        <w:t xml:space="preserve"> 967 eur. </w:t>
      </w:r>
      <w:r w:rsidRPr="000F273D">
        <w:rPr>
          <w:szCs w:val="18"/>
        </w:rPr>
        <w:t>V rámci príspevkov na programy vedecko-technickej spolupráce sa uhradil príspevok n</w:t>
      </w:r>
      <w:r w:rsidRPr="000F273D">
        <w:t>a program v</w:t>
      </w:r>
      <w:r w:rsidRPr="000F273D">
        <w:rPr>
          <w:szCs w:val="24"/>
        </w:rPr>
        <w:t> </w:t>
      </w:r>
      <w:r w:rsidRPr="000F273D">
        <w:t xml:space="preserve">OECD/NEA </w:t>
      </w:r>
      <w:proofErr w:type="spellStart"/>
      <w:r w:rsidRPr="000F273D">
        <w:t>project</w:t>
      </w:r>
      <w:proofErr w:type="spellEnd"/>
      <w:r w:rsidRPr="000F273D">
        <w:t xml:space="preserve"> PKL3 (</w:t>
      </w:r>
      <w:proofErr w:type="spellStart"/>
      <w:r w:rsidRPr="000F273D">
        <w:t>Themis</w:t>
      </w:r>
      <w:proofErr w:type="spellEnd"/>
      <w:r w:rsidRPr="000F273D">
        <w:t xml:space="preserve">) </w:t>
      </w:r>
      <w:r w:rsidRPr="000F273D">
        <w:rPr>
          <w:szCs w:val="18"/>
        </w:rPr>
        <w:t>v sume 21 643</w:t>
      </w:r>
      <w:r w:rsidRPr="000F273D">
        <w:t xml:space="preserve"> </w:t>
      </w:r>
      <w:r w:rsidRPr="000F273D">
        <w:rPr>
          <w:szCs w:val="18"/>
        </w:rPr>
        <w:t>eur</w:t>
      </w:r>
      <w:r w:rsidRPr="000F273D">
        <w:t>.</w:t>
      </w:r>
    </w:p>
    <w:p w14:paraId="2048AC57" w14:textId="77777777" w:rsidR="00F23AC6" w:rsidRPr="000F273D" w:rsidRDefault="00F23AC6" w:rsidP="001343D8">
      <w:pPr>
        <w:autoSpaceDE w:val="0"/>
        <w:autoSpaceDN w:val="0"/>
        <w:adjustRightInd w:val="0"/>
        <w:jc w:val="both"/>
      </w:pPr>
    </w:p>
    <w:p w14:paraId="2B95D601" w14:textId="3DB63929" w:rsidR="000F273D" w:rsidRPr="0036514D" w:rsidRDefault="000F273D" w:rsidP="00B540EF">
      <w:pPr>
        <w:tabs>
          <w:tab w:val="left" w:pos="0"/>
        </w:tabs>
        <w:autoSpaceDE w:val="0"/>
        <w:autoSpaceDN w:val="0"/>
        <w:adjustRightInd w:val="0"/>
        <w:jc w:val="both"/>
        <w:rPr>
          <w:sz w:val="22"/>
          <w:szCs w:val="22"/>
        </w:rPr>
      </w:pPr>
      <w:r w:rsidRPr="0036514D">
        <w:rPr>
          <w:sz w:val="22"/>
          <w:szCs w:val="22"/>
        </w:rPr>
        <w:t xml:space="preserve">Tab. </w:t>
      </w:r>
      <w:r w:rsidR="002A1E40" w:rsidRPr="0036514D">
        <w:rPr>
          <w:sz w:val="22"/>
          <w:szCs w:val="22"/>
        </w:rPr>
        <w:t>7</w:t>
      </w:r>
      <w:r w:rsidRPr="0036514D">
        <w:rPr>
          <w:sz w:val="22"/>
          <w:szCs w:val="22"/>
        </w:rPr>
        <w:t xml:space="preserve"> Zahraničné transfery do medzinárodných organizácií</w:t>
      </w:r>
      <w:r w:rsidR="00267D3C">
        <w:rPr>
          <w:sz w:val="22"/>
          <w:szCs w:val="22"/>
        </w:rPr>
        <w:t xml:space="preserve"> v roku 2023</w:t>
      </w:r>
    </w:p>
    <w:tbl>
      <w:tblPr>
        <w:tblW w:w="498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9"/>
        <w:gridCol w:w="2092"/>
      </w:tblGrid>
      <w:tr w:rsidR="000F273D" w:rsidRPr="000F273D" w14:paraId="76EB6E1E" w14:textId="77777777" w:rsidTr="005D4EBA">
        <w:trPr>
          <w:trHeight w:val="288"/>
        </w:trPr>
        <w:tc>
          <w:tcPr>
            <w:tcW w:w="3842" w:type="pct"/>
            <w:shd w:val="clear" w:color="auto" w:fill="D9D9D9" w:themeFill="background1" w:themeFillShade="D9"/>
            <w:vAlign w:val="center"/>
          </w:tcPr>
          <w:p w14:paraId="2E3FB86F" w14:textId="77777777" w:rsidR="000F273D" w:rsidRPr="000F273D" w:rsidRDefault="000F273D" w:rsidP="000F273D">
            <w:pPr>
              <w:spacing w:after="120"/>
              <w:jc w:val="center"/>
              <w:rPr>
                <w:b/>
                <w:szCs w:val="24"/>
              </w:rPr>
            </w:pPr>
            <w:r w:rsidRPr="000F273D">
              <w:rPr>
                <w:b/>
                <w:szCs w:val="24"/>
              </w:rPr>
              <w:t>Finančné príspevky do medzinárodných organizácií</w:t>
            </w:r>
          </w:p>
        </w:tc>
        <w:tc>
          <w:tcPr>
            <w:tcW w:w="1158" w:type="pct"/>
            <w:shd w:val="clear" w:color="auto" w:fill="D9D9D9" w:themeFill="background1" w:themeFillShade="D9"/>
            <w:vAlign w:val="center"/>
          </w:tcPr>
          <w:p w14:paraId="5D934C85" w14:textId="6CB4151D" w:rsidR="000F273D" w:rsidRPr="000F273D" w:rsidRDefault="000F273D" w:rsidP="000F273D">
            <w:pPr>
              <w:spacing w:after="120"/>
              <w:ind w:left="27"/>
              <w:jc w:val="center"/>
              <w:rPr>
                <w:b/>
                <w:szCs w:val="24"/>
              </w:rPr>
            </w:pPr>
            <w:r w:rsidRPr="000F273D">
              <w:rPr>
                <w:b/>
                <w:szCs w:val="24"/>
              </w:rPr>
              <w:t>Suma (v eurách)</w:t>
            </w:r>
          </w:p>
        </w:tc>
      </w:tr>
      <w:tr w:rsidR="000F273D" w:rsidRPr="001343D8" w14:paraId="32A5FB39" w14:textId="77777777" w:rsidTr="005D4EBA">
        <w:trPr>
          <w:trHeight w:val="263"/>
        </w:trPr>
        <w:tc>
          <w:tcPr>
            <w:tcW w:w="3842" w:type="pct"/>
            <w:vAlign w:val="center"/>
          </w:tcPr>
          <w:p w14:paraId="40EC7301" w14:textId="77777777" w:rsidR="000F273D" w:rsidRPr="001343D8" w:rsidRDefault="000F273D" w:rsidP="001343D8">
            <w:pPr>
              <w:rPr>
                <w:sz w:val="22"/>
                <w:szCs w:val="22"/>
              </w:rPr>
            </w:pPr>
            <w:r w:rsidRPr="001343D8">
              <w:rPr>
                <w:sz w:val="22"/>
                <w:szCs w:val="22"/>
              </w:rPr>
              <w:t>MAAE - členský príspevok</w:t>
            </w:r>
          </w:p>
        </w:tc>
        <w:tc>
          <w:tcPr>
            <w:tcW w:w="1158" w:type="pct"/>
            <w:vAlign w:val="center"/>
          </w:tcPr>
          <w:p w14:paraId="4A04BBD0" w14:textId="77777777" w:rsidR="000F273D" w:rsidRPr="001343D8" w:rsidRDefault="000F273D" w:rsidP="00077CE6">
            <w:pPr>
              <w:jc w:val="right"/>
              <w:rPr>
                <w:sz w:val="22"/>
                <w:szCs w:val="22"/>
              </w:rPr>
            </w:pPr>
            <w:r w:rsidRPr="001343D8">
              <w:rPr>
                <w:sz w:val="22"/>
                <w:szCs w:val="22"/>
              </w:rPr>
              <w:t>655 424</w:t>
            </w:r>
          </w:p>
        </w:tc>
      </w:tr>
      <w:tr w:rsidR="000F273D" w:rsidRPr="001343D8" w14:paraId="6B60FC10" w14:textId="77777777" w:rsidTr="005D4EBA">
        <w:trPr>
          <w:trHeight w:val="263"/>
        </w:trPr>
        <w:tc>
          <w:tcPr>
            <w:tcW w:w="3842" w:type="pct"/>
            <w:vAlign w:val="center"/>
          </w:tcPr>
          <w:p w14:paraId="24A37953" w14:textId="77777777" w:rsidR="000F273D" w:rsidRPr="001343D8" w:rsidRDefault="000F273D" w:rsidP="001343D8">
            <w:pPr>
              <w:rPr>
                <w:sz w:val="22"/>
                <w:szCs w:val="22"/>
              </w:rPr>
            </w:pPr>
            <w:r w:rsidRPr="001343D8">
              <w:rPr>
                <w:sz w:val="22"/>
                <w:szCs w:val="22"/>
              </w:rPr>
              <w:t>MAAE – fond technickej spolupráce</w:t>
            </w:r>
          </w:p>
        </w:tc>
        <w:tc>
          <w:tcPr>
            <w:tcW w:w="1158" w:type="pct"/>
            <w:vAlign w:val="center"/>
          </w:tcPr>
          <w:p w14:paraId="2E7220CC" w14:textId="77777777" w:rsidR="000F273D" w:rsidRPr="001343D8" w:rsidRDefault="000F273D" w:rsidP="00077CE6">
            <w:pPr>
              <w:jc w:val="right"/>
              <w:rPr>
                <w:sz w:val="22"/>
                <w:szCs w:val="22"/>
              </w:rPr>
            </w:pPr>
            <w:r w:rsidRPr="001343D8">
              <w:rPr>
                <w:sz w:val="22"/>
                <w:szCs w:val="22"/>
              </w:rPr>
              <w:t xml:space="preserve"> 282 632</w:t>
            </w:r>
          </w:p>
        </w:tc>
      </w:tr>
      <w:tr w:rsidR="000F273D" w:rsidRPr="001343D8" w14:paraId="4284A41B" w14:textId="77777777" w:rsidTr="005D4EBA">
        <w:trPr>
          <w:trHeight w:val="263"/>
        </w:trPr>
        <w:tc>
          <w:tcPr>
            <w:tcW w:w="3842" w:type="pct"/>
            <w:vAlign w:val="center"/>
          </w:tcPr>
          <w:p w14:paraId="02B2D65F" w14:textId="77777777" w:rsidR="000F273D" w:rsidRPr="001343D8" w:rsidRDefault="000F273D" w:rsidP="001343D8">
            <w:pPr>
              <w:rPr>
                <w:sz w:val="22"/>
                <w:szCs w:val="22"/>
              </w:rPr>
            </w:pPr>
            <w:r w:rsidRPr="001343D8">
              <w:rPr>
                <w:sz w:val="22"/>
                <w:szCs w:val="22"/>
              </w:rPr>
              <w:t xml:space="preserve">MAAE – </w:t>
            </w:r>
            <w:proofErr w:type="spellStart"/>
            <w:r w:rsidRPr="001343D8">
              <w:rPr>
                <w:sz w:val="22"/>
                <w:szCs w:val="22"/>
              </w:rPr>
              <w:t>participačný</w:t>
            </w:r>
            <w:proofErr w:type="spellEnd"/>
            <w:r w:rsidRPr="001343D8">
              <w:rPr>
                <w:sz w:val="22"/>
                <w:szCs w:val="22"/>
              </w:rPr>
              <w:t xml:space="preserve"> príspevok</w:t>
            </w:r>
          </w:p>
        </w:tc>
        <w:tc>
          <w:tcPr>
            <w:tcW w:w="1158" w:type="pct"/>
            <w:vAlign w:val="center"/>
          </w:tcPr>
          <w:p w14:paraId="21D6A500" w14:textId="77777777" w:rsidR="000F273D" w:rsidRPr="001343D8" w:rsidRDefault="000F273D" w:rsidP="00077CE6">
            <w:pPr>
              <w:jc w:val="right"/>
              <w:rPr>
                <w:sz w:val="22"/>
                <w:szCs w:val="22"/>
              </w:rPr>
            </w:pPr>
            <w:r w:rsidRPr="001343D8">
              <w:rPr>
                <w:sz w:val="22"/>
                <w:szCs w:val="22"/>
              </w:rPr>
              <w:t>17 342</w:t>
            </w:r>
          </w:p>
        </w:tc>
      </w:tr>
      <w:tr w:rsidR="000F273D" w:rsidRPr="001343D8" w14:paraId="39C52D7A" w14:textId="77777777" w:rsidTr="005D4EBA">
        <w:trPr>
          <w:trHeight w:val="263"/>
        </w:trPr>
        <w:tc>
          <w:tcPr>
            <w:tcW w:w="3842" w:type="pct"/>
            <w:vAlign w:val="center"/>
          </w:tcPr>
          <w:p w14:paraId="759865A4" w14:textId="77777777" w:rsidR="000F273D" w:rsidRPr="001343D8" w:rsidRDefault="000F273D" w:rsidP="001343D8">
            <w:pPr>
              <w:rPr>
                <w:sz w:val="22"/>
                <w:szCs w:val="22"/>
              </w:rPr>
            </w:pPr>
            <w:r w:rsidRPr="001343D8">
              <w:rPr>
                <w:sz w:val="22"/>
                <w:szCs w:val="22"/>
              </w:rPr>
              <w:t>CTBTO - členský príspevok</w:t>
            </w:r>
          </w:p>
        </w:tc>
        <w:tc>
          <w:tcPr>
            <w:tcW w:w="1158" w:type="pct"/>
            <w:vAlign w:val="center"/>
          </w:tcPr>
          <w:p w14:paraId="72802981" w14:textId="77777777" w:rsidR="000F273D" w:rsidRPr="001343D8" w:rsidRDefault="000F273D" w:rsidP="00077CE6">
            <w:pPr>
              <w:jc w:val="right"/>
              <w:rPr>
                <w:sz w:val="22"/>
                <w:szCs w:val="22"/>
              </w:rPr>
            </w:pPr>
            <w:r w:rsidRPr="001343D8">
              <w:rPr>
                <w:sz w:val="22"/>
                <w:szCs w:val="22"/>
              </w:rPr>
              <w:t>391 726</w:t>
            </w:r>
          </w:p>
        </w:tc>
      </w:tr>
      <w:tr w:rsidR="000F273D" w:rsidRPr="001343D8" w14:paraId="78996DC1" w14:textId="77777777" w:rsidTr="005D4EBA">
        <w:trPr>
          <w:trHeight w:val="265"/>
        </w:trPr>
        <w:tc>
          <w:tcPr>
            <w:tcW w:w="3842" w:type="pct"/>
            <w:vAlign w:val="center"/>
          </w:tcPr>
          <w:p w14:paraId="5C6E85A6" w14:textId="77777777" w:rsidR="000F273D" w:rsidRPr="001343D8" w:rsidRDefault="000F273D" w:rsidP="001343D8">
            <w:pPr>
              <w:rPr>
                <w:sz w:val="22"/>
                <w:szCs w:val="22"/>
              </w:rPr>
            </w:pPr>
            <w:r w:rsidRPr="001343D8">
              <w:rPr>
                <w:sz w:val="22"/>
                <w:szCs w:val="22"/>
              </w:rPr>
              <w:t xml:space="preserve">OECD/NEA - program </w:t>
            </w:r>
            <w:proofErr w:type="spellStart"/>
            <w:r w:rsidRPr="001343D8">
              <w:rPr>
                <w:sz w:val="22"/>
                <w:szCs w:val="22"/>
              </w:rPr>
              <w:t>PARt</w:t>
            </w:r>
            <w:proofErr w:type="spellEnd"/>
            <w:r w:rsidRPr="001343D8">
              <w:rPr>
                <w:sz w:val="22"/>
                <w:szCs w:val="22"/>
              </w:rPr>
              <w:t xml:space="preserve"> II </w:t>
            </w:r>
          </w:p>
        </w:tc>
        <w:tc>
          <w:tcPr>
            <w:tcW w:w="1158" w:type="pct"/>
            <w:vAlign w:val="center"/>
          </w:tcPr>
          <w:p w14:paraId="170A1377" w14:textId="77777777" w:rsidR="000F273D" w:rsidRPr="001343D8" w:rsidRDefault="000F273D" w:rsidP="00077CE6">
            <w:pPr>
              <w:jc w:val="right"/>
              <w:rPr>
                <w:sz w:val="22"/>
                <w:szCs w:val="22"/>
              </w:rPr>
            </w:pPr>
            <w:r w:rsidRPr="001343D8">
              <w:rPr>
                <w:sz w:val="22"/>
                <w:szCs w:val="22"/>
              </w:rPr>
              <w:t>51 887</w:t>
            </w:r>
          </w:p>
        </w:tc>
      </w:tr>
      <w:tr w:rsidR="000F273D" w:rsidRPr="001343D8" w14:paraId="48E0ACDD" w14:textId="77777777" w:rsidTr="005D4EBA">
        <w:trPr>
          <w:trHeight w:val="263"/>
        </w:trPr>
        <w:tc>
          <w:tcPr>
            <w:tcW w:w="3842" w:type="pct"/>
            <w:vAlign w:val="center"/>
          </w:tcPr>
          <w:p w14:paraId="311487CA" w14:textId="77777777" w:rsidR="000F273D" w:rsidRPr="001343D8" w:rsidRDefault="000F273D" w:rsidP="001343D8">
            <w:pPr>
              <w:rPr>
                <w:sz w:val="22"/>
                <w:szCs w:val="22"/>
              </w:rPr>
            </w:pPr>
            <w:r w:rsidRPr="001343D8">
              <w:rPr>
                <w:sz w:val="22"/>
                <w:szCs w:val="22"/>
              </w:rPr>
              <w:t xml:space="preserve">OECD/NEA - </w:t>
            </w:r>
            <w:proofErr w:type="spellStart"/>
            <w:r w:rsidRPr="001343D8">
              <w:rPr>
                <w:sz w:val="22"/>
                <w:szCs w:val="22"/>
              </w:rPr>
              <w:t>Databank</w:t>
            </w:r>
            <w:proofErr w:type="spellEnd"/>
            <w:r w:rsidRPr="001343D8">
              <w:rPr>
                <w:sz w:val="22"/>
                <w:szCs w:val="22"/>
              </w:rPr>
              <w:t xml:space="preserve"> - program </w:t>
            </w:r>
            <w:proofErr w:type="spellStart"/>
            <w:r w:rsidRPr="001343D8">
              <w:rPr>
                <w:sz w:val="22"/>
                <w:szCs w:val="22"/>
              </w:rPr>
              <w:t>PARt</w:t>
            </w:r>
            <w:proofErr w:type="spellEnd"/>
            <w:r w:rsidRPr="001343D8">
              <w:rPr>
                <w:sz w:val="22"/>
                <w:szCs w:val="22"/>
              </w:rPr>
              <w:t xml:space="preserve"> II</w:t>
            </w:r>
          </w:p>
        </w:tc>
        <w:tc>
          <w:tcPr>
            <w:tcW w:w="1158" w:type="pct"/>
            <w:vAlign w:val="center"/>
          </w:tcPr>
          <w:p w14:paraId="7BAA21D4" w14:textId="77777777" w:rsidR="000F273D" w:rsidRPr="001343D8" w:rsidRDefault="000F273D" w:rsidP="00077CE6">
            <w:pPr>
              <w:jc w:val="right"/>
              <w:rPr>
                <w:sz w:val="22"/>
                <w:szCs w:val="22"/>
              </w:rPr>
            </w:pPr>
            <w:r w:rsidRPr="001343D8">
              <w:rPr>
                <w:sz w:val="22"/>
                <w:szCs w:val="22"/>
              </w:rPr>
              <w:t xml:space="preserve">12 967 </w:t>
            </w:r>
          </w:p>
        </w:tc>
      </w:tr>
      <w:tr w:rsidR="000F273D" w:rsidRPr="001343D8" w14:paraId="3F0C50D6" w14:textId="77777777" w:rsidTr="005D4EBA">
        <w:trPr>
          <w:trHeight w:val="263"/>
        </w:trPr>
        <w:tc>
          <w:tcPr>
            <w:tcW w:w="3842" w:type="pct"/>
            <w:vAlign w:val="center"/>
          </w:tcPr>
          <w:p w14:paraId="6E547505" w14:textId="77777777" w:rsidR="000F273D" w:rsidRPr="001343D8" w:rsidRDefault="000F273D" w:rsidP="001343D8">
            <w:pPr>
              <w:rPr>
                <w:sz w:val="22"/>
                <w:szCs w:val="22"/>
              </w:rPr>
            </w:pPr>
            <w:r w:rsidRPr="001343D8">
              <w:rPr>
                <w:sz w:val="22"/>
                <w:szCs w:val="22"/>
              </w:rPr>
              <w:t xml:space="preserve">OECD/NEA – projekt PKL3 </w:t>
            </w:r>
            <w:proofErr w:type="spellStart"/>
            <w:r w:rsidRPr="001343D8">
              <w:rPr>
                <w:sz w:val="22"/>
                <w:szCs w:val="22"/>
              </w:rPr>
              <w:t>Themis</w:t>
            </w:r>
            <w:proofErr w:type="spellEnd"/>
          </w:p>
        </w:tc>
        <w:tc>
          <w:tcPr>
            <w:tcW w:w="1158" w:type="pct"/>
            <w:vAlign w:val="center"/>
          </w:tcPr>
          <w:p w14:paraId="391A3FBF" w14:textId="77777777" w:rsidR="000F273D" w:rsidRPr="001343D8" w:rsidRDefault="000F273D" w:rsidP="00077CE6">
            <w:pPr>
              <w:jc w:val="right"/>
              <w:rPr>
                <w:sz w:val="22"/>
                <w:szCs w:val="22"/>
              </w:rPr>
            </w:pPr>
            <w:r w:rsidRPr="001343D8">
              <w:rPr>
                <w:sz w:val="22"/>
                <w:szCs w:val="22"/>
              </w:rPr>
              <w:t>21 643</w:t>
            </w:r>
          </w:p>
        </w:tc>
      </w:tr>
      <w:tr w:rsidR="000F273D" w:rsidRPr="001343D8" w14:paraId="7FF6B9E9" w14:textId="77777777" w:rsidTr="005D4EBA">
        <w:trPr>
          <w:trHeight w:val="263"/>
        </w:trPr>
        <w:tc>
          <w:tcPr>
            <w:tcW w:w="3842" w:type="pct"/>
            <w:shd w:val="clear" w:color="auto" w:fill="FFFFFF" w:themeFill="background1"/>
            <w:vAlign w:val="center"/>
          </w:tcPr>
          <w:p w14:paraId="56860266" w14:textId="77777777" w:rsidR="000F273D" w:rsidRPr="001343D8" w:rsidRDefault="000F273D" w:rsidP="000F273D">
            <w:pPr>
              <w:rPr>
                <w:b/>
                <w:bCs/>
                <w:sz w:val="22"/>
                <w:szCs w:val="22"/>
              </w:rPr>
            </w:pPr>
            <w:r w:rsidRPr="001343D8">
              <w:rPr>
                <w:b/>
                <w:bCs/>
                <w:sz w:val="22"/>
                <w:szCs w:val="22"/>
              </w:rPr>
              <w:t>Spolu</w:t>
            </w:r>
          </w:p>
        </w:tc>
        <w:tc>
          <w:tcPr>
            <w:tcW w:w="1158" w:type="pct"/>
            <w:vAlign w:val="center"/>
          </w:tcPr>
          <w:p w14:paraId="6E16E908" w14:textId="77777777" w:rsidR="000F273D" w:rsidRPr="001343D8" w:rsidRDefault="000F273D" w:rsidP="00077CE6">
            <w:pPr>
              <w:jc w:val="right"/>
              <w:rPr>
                <w:b/>
                <w:bCs/>
                <w:sz w:val="22"/>
                <w:szCs w:val="22"/>
              </w:rPr>
            </w:pPr>
            <w:r w:rsidRPr="001343D8">
              <w:rPr>
                <w:b/>
                <w:bCs/>
                <w:sz w:val="22"/>
                <w:szCs w:val="22"/>
              </w:rPr>
              <w:t>1 433 621</w:t>
            </w:r>
          </w:p>
        </w:tc>
      </w:tr>
    </w:tbl>
    <w:p w14:paraId="14228CFC" w14:textId="77777777" w:rsidR="00F23AC6" w:rsidRDefault="00F23AC6" w:rsidP="00F23AC6">
      <w:pPr>
        <w:widowControl w:val="0"/>
        <w:autoSpaceDE w:val="0"/>
        <w:autoSpaceDN w:val="0"/>
        <w:adjustRightInd w:val="0"/>
        <w:jc w:val="both"/>
      </w:pPr>
    </w:p>
    <w:p w14:paraId="71B77591" w14:textId="2DF213CA" w:rsidR="001343D8" w:rsidRDefault="000F273D" w:rsidP="00F23AC6">
      <w:pPr>
        <w:widowControl w:val="0"/>
        <w:autoSpaceDE w:val="0"/>
        <w:autoSpaceDN w:val="0"/>
        <w:adjustRightInd w:val="0"/>
        <w:jc w:val="both"/>
      </w:pPr>
      <w:r w:rsidRPr="001343D8">
        <w:t xml:space="preserve">Tuzemské transfery predstavujú sumu </w:t>
      </w:r>
      <w:r w:rsidR="0019625F">
        <w:t>197 027</w:t>
      </w:r>
      <w:r w:rsidRPr="001343D8">
        <w:t xml:space="preserve"> eur a boli použité na úhradu členského príspevku neziskovej organizácii Slovenská nukleárna spoločnosť</w:t>
      </w:r>
      <w:r w:rsidR="00AF4239">
        <w:t xml:space="preserve"> (SNUS)</w:t>
      </w:r>
      <w:r w:rsidRPr="001343D8">
        <w:t>, na náhradu príjmov zamestnancom pri dočasnej pracovnej neschopnosti, na finančný príspevok na stravovanie, na odstupné, na odchodné a na príplatky a príspevky (príplatok k nemocenskému).</w:t>
      </w:r>
      <w:r w:rsidR="001343D8">
        <w:t xml:space="preserve"> </w:t>
      </w:r>
    </w:p>
    <w:p w14:paraId="6CC9F24D" w14:textId="57A1B55C" w:rsidR="000F273D" w:rsidRPr="001343D8" w:rsidRDefault="000F273D" w:rsidP="00F23AC6">
      <w:pPr>
        <w:widowControl w:val="0"/>
        <w:autoSpaceDE w:val="0"/>
        <w:autoSpaceDN w:val="0"/>
        <w:adjustRightInd w:val="0"/>
        <w:ind w:right="1"/>
        <w:jc w:val="both"/>
      </w:pPr>
      <w:r w:rsidRPr="000F273D">
        <w:t xml:space="preserve">Nevyhnutnou podporou pri rozhodovacej, licenčnej a inšpekčnej činnosti ÚJD SR sú </w:t>
      </w:r>
      <w:r w:rsidRPr="001343D8">
        <w:t>expertízy, posudky a analýzy, na ktoré boli použité v roku 2023 výdavky v</w:t>
      </w:r>
      <w:r w:rsidRPr="000F273D">
        <w:t> sume</w:t>
      </w:r>
      <w:r w:rsidRPr="001343D8">
        <w:t xml:space="preserve"> 880 666 eur.</w:t>
      </w:r>
    </w:p>
    <w:p w14:paraId="1A6161BF" w14:textId="2F4E4BD0" w:rsidR="000F273D" w:rsidRDefault="000F273D" w:rsidP="00F23AC6">
      <w:pPr>
        <w:jc w:val="both"/>
      </w:pPr>
      <w:r w:rsidRPr="001343D8">
        <w:t>Na mzdové výdavky pre 120 zamestnancov sa čerpalo 4 736 977 eur a na odvody na zdravotné poistenie a sociálne zabezpečenie boli vynaložené výdavky v sume 1 840 610 eur.</w:t>
      </w:r>
    </w:p>
    <w:p w14:paraId="69BF3A49" w14:textId="682BE68C" w:rsidR="00B6369C" w:rsidRDefault="00B6369C" w:rsidP="00F23AC6">
      <w:pPr>
        <w:jc w:val="both"/>
      </w:pPr>
    </w:p>
    <w:p w14:paraId="77387581" w14:textId="6C3B00C4" w:rsidR="00B6369C" w:rsidRDefault="00B6369C" w:rsidP="00F23AC6">
      <w:pPr>
        <w:jc w:val="both"/>
      </w:pPr>
    </w:p>
    <w:p w14:paraId="2E99560A" w14:textId="77777777" w:rsidR="0036514D" w:rsidRDefault="0036514D" w:rsidP="00F23AC6">
      <w:pPr>
        <w:jc w:val="both"/>
      </w:pPr>
    </w:p>
    <w:p w14:paraId="538F050C" w14:textId="77777777" w:rsidR="00B6369C" w:rsidRPr="001343D8" w:rsidRDefault="00B6369C" w:rsidP="00F23AC6">
      <w:pPr>
        <w:jc w:val="both"/>
      </w:pPr>
    </w:p>
    <w:p w14:paraId="24EF93E9" w14:textId="77777777" w:rsidR="000F273D" w:rsidRPr="000F273D" w:rsidRDefault="000F273D" w:rsidP="00F23AC6">
      <w:pPr>
        <w:jc w:val="both"/>
        <w:rPr>
          <w:iCs/>
          <w:noProof/>
          <w:szCs w:val="18"/>
        </w:rPr>
      </w:pPr>
    </w:p>
    <w:p w14:paraId="160A1BFA" w14:textId="67B4DD36" w:rsidR="000F273D" w:rsidRPr="0036514D" w:rsidRDefault="000F273D" w:rsidP="00F23AC6">
      <w:pPr>
        <w:jc w:val="both"/>
        <w:rPr>
          <w:iCs/>
          <w:noProof/>
          <w:sz w:val="22"/>
          <w:szCs w:val="22"/>
        </w:rPr>
      </w:pPr>
      <w:r w:rsidRPr="0036514D">
        <w:rPr>
          <w:iCs/>
          <w:noProof/>
          <w:sz w:val="22"/>
          <w:szCs w:val="22"/>
        </w:rPr>
        <w:lastRenderedPageBreak/>
        <w:t xml:space="preserve">Tab. </w:t>
      </w:r>
      <w:r w:rsidR="002A1E40" w:rsidRPr="0036514D">
        <w:rPr>
          <w:iCs/>
          <w:noProof/>
          <w:sz w:val="22"/>
          <w:szCs w:val="22"/>
        </w:rPr>
        <w:t>8</w:t>
      </w:r>
      <w:r w:rsidRPr="0036514D">
        <w:rPr>
          <w:iCs/>
          <w:noProof/>
          <w:sz w:val="22"/>
          <w:szCs w:val="22"/>
        </w:rPr>
        <w:t xml:space="preserve"> Bežné výdavky (prostriedky štátneho rozpočtu)</w:t>
      </w:r>
      <w:r w:rsidR="00267D3C">
        <w:rPr>
          <w:iCs/>
          <w:noProof/>
          <w:sz w:val="22"/>
          <w:szCs w:val="22"/>
        </w:rPr>
        <w:t xml:space="preserve"> v roku 2023</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5"/>
        <w:gridCol w:w="2407"/>
      </w:tblGrid>
      <w:tr w:rsidR="000F273D" w:rsidRPr="006F17C5" w14:paraId="32D81B0D" w14:textId="77777777" w:rsidTr="0036514D">
        <w:trPr>
          <w:trHeight w:val="198"/>
        </w:trPr>
        <w:tc>
          <w:tcPr>
            <w:tcW w:w="3672" w:type="pct"/>
            <w:shd w:val="clear" w:color="auto" w:fill="D9D9D9" w:themeFill="background1" w:themeFillShade="D9"/>
            <w:noWrap/>
            <w:vAlign w:val="center"/>
          </w:tcPr>
          <w:p w14:paraId="1CE0007E" w14:textId="77777777" w:rsidR="000F273D" w:rsidRPr="006F17C5" w:rsidRDefault="000F273D" w:rsidP="000F273D">
            <w:pPr>
              <w:spacing w:after="120"/>
              <w:jc w:val="center"/>
              <w:rPr>
                <w:b/>
                <w:bCs/>
                <w:sz w:val="22"/>
                <w:szCs w:val="22"/>
              </w:rPr>
            </w:pPr>
            <w:r w:rsidRPr="006F17C5">
              <w:rPr>
                <w:b/>
                <w:bCs/>
                <w:sz w:val="22"/>
                <w:szCs w:val="22"/>
              </w:rPr>
              <w:t>Bežné výdavky</w:t>
            </w:r>
          </w:p>
        </w:tc>
        <w:tc>
          <w:tcPr>
            <w:tcW w:w="1328" w:type="pct"/>
            <w:shd w:val="clear" w:color="auto" w:fill="D9D9D9" w:themeFill="background1" w:themeFillShade="D9"/>
            <w:noWrap/>
            <w:vAlign w:val="center"/>
          </w:tcPr>
          <w:p w14:paraId="587F9DDD" w14:textId="635B5C0F" w:rsidR="000F273D" w:rsidRPr="006F17C5" w:rsidRDefault="000F273D" w:rsidP="000F273D">
            <w:pPr>
              <w:spacing w:after="120"/>
              <w:jc w:val="center"/>
              <w:rPr>
                <w:b/>
                <w:bCs/>
                <w:sz w:val="22"/>
                <w:szCs w:val="22"/>
              </w:rPr>
            </w:pPr>
            <w:r w:rsidRPr="006F17C5">
              <w:rPr>
                <w:b/>
                <w:bCs/>
                <w:sz w:val="22"/>
                <w:szCs w:val="22"/>
              </w:rPr>
              <w:t>Suma (v eurách)</w:t>
            </w:r>
          </w:p>
        </w:tc>
      </w:tr>
      <w:tr w:rsidR="000F273D" w:rsidRPr="001343D8" w14:paraId="77CAA761" w14:textId="77777777" w:rsidTr="0036514D">
        <w:trPr>
          <w:trHeight w:val="266"/>
        </w:trPr>
        <w:tc>
          <w:tcPr>
            <w:tcW w:w="3672" w:type="pct"/>
            <w:noWrap/>
            <w:vAlign w:val="bottom"/>
          </w:tcPr>
          <w:p w14:paraId="27928D8D" w14:textId="77777777" w:rsidR="000F273D" w:rsidRPr="001343D8" w:rsidRDefault="000F273D" w:rsidP="001343D8">
            <w:pPr>
              <w:rPr>
                <w:sz w:val="22"/>
                <w:szCs w:val="22"/>
              </w:rPr>
            </w:pPr>
            <w:r w:rsidRPr="001343D8">
              <w:rPr>
                <w:sz w:val="22"/>
                <w:szCs w:val="22"/>
              </w:rPr>
              <w:t>zahraničné transfery</w:t>
            </w:r>
          </w:p>
        </w:tc>
        <w:tc>
          <w:tcPr>
            <w:tcW w:w="1328" w:type="pct"/>
            <w:noWrap/>
            <w:vAlign w:val="bottom"/>
          </w:tcPr>
          <w:p w14:paraId="3C4D2D2B" w14:textId="77777777" w:rsidR="000F273D" w:rsidRPr="001343D8" w:rsidRDefault="000F273D" w:rsidP="00077CE6">
            <w:pPr>
              <w:jc w:val="right"/>
              <w:rPr>
                <w:sz w:val="22"/>
                <w:szCs w:val="22"/>
              </w:rPr>
            </w:pPr>
            <w:r w:rsidRPr="001343D8">
              <w:rPr>
                <w:sz w:val="22"/>
                <w:szCs w:val="22"/>
              </w:rPr>
              <w:t xml:space="preserve"> 1 433 621</w:t>
            </w:r>
          </w:p>
        </w:tc>
      </w:tr>
      <w:tr w:rsidR="000F273D" w:rsidRPr="001343D8" w14:paraId="1383B9B0" w14:textId="77777777" w:rsidTr="0036514D">
        <w:trPr>
          <w:trHeight w:val="266"/>
        </w:trPr>
        <w:tc>
          <w:tcPr>
            <w:tcW w:w="3672" w:type="pct"/>
            <w:noWrap/>
            <w:vAlign w:val="bottom"/>
          </w:tcPr>
          <w:p w14:paraId="34842F7F" w14:textId="77777777" w:rsidR="000F273D" w:rsidRPr="001343D8" w:rsidRDefault="000F273D" w:rsidP="001343D8">
            <w:pPr>
              <w:rPr>
                <w:sz w:val="22"/>
                <w:szCs w:val="22"/>
              </w:rPr>
            </w:pPr>
            <w:r w:rsidRPr="001343D8">
              <w:rPr>
                <w:sz w:val="22"/>
                <w:szCs w:val="22"/>
              </w:rPr>
              <w:t>expertízy, posudky, analýzy</w:t>
            </w:r>
          </w:p>
        </w:tc>
        <w:tc>
          <w:tcPr>
            <w:tcW w:w="1328" w:type="pct"/>
            <w:noWrap/>
            <w:vAlign w:val="bottom"/>
          </w:tcPr>
          <w:p w14:paraId="4E1EED55" w14:textId="77777777" w:rsidR="000F273D" w:rsidRPr="001343D8" w:rsidRDefault="000F273D" w:rsidP="00077CE6">
            <w:pPr>
              <w:jc w:val="right"/>
              <w:rPr>
                <w:sz w:val="22"/>
                <w:szCs w:val="22"/>
              </w:rPr>
            </w:pPr>
            <w:r w:rsidRPr="001343D8">
              <w:rPr>
                <w:sz w:val="22"/>
                <w:szCs w:val="22"/>
              </w:rPr>
              <w:t xml:space="preserve"> 880 666</w:t>
            </w:r>
          </w:p>
        </w:tc>
      </w:tr>
      <w:tr w:rsidR="000F273D" w:rsidRPr="001343D8" w14:paraId="44551529" w14:textId="77777777" w:rsidTr="0036514D">
        <w:trPr>
          <w:trHeight w:val="266"/>
        </w:trPr>
        <w:tc>
          <w:tcPr>
            <w:tcW w:w="3672" w:type="pct"/>
            <w:noWrap/>
            <w:vAlign w:val="bottom"/>
          </w:tcPr>
          <w:p w14:paraId="3F774651" w14:textId="3654D2A5" w:rsidR="000F273D" w:rsidRPr="001343D8" w:rsidRDefault="000F273D" w:rsidP="001343D8">
            <w:pPr>
              <w:rPr>
                <w:sz w:val="22"/>
                <w:szCs w:val="22"/>
              </w:rPr>
            </w:pPr>
            <w:r w:rsidRPr="001343D8">
              <w:rPr>
                <w:sz w:val="22"/>
                <w:szCs w:val="22"/>
              </w:rPr>
              <w:t>mzdy (pre 1</w:t>
            </w:r>
            <w:r w:rsidR="00B465C3">
              <w:rPr>
                <w:sz w:val="22"/>
                <w:szCs w:val="22"/>
              </w:rPr>
              <w:t>20</w:t>
            </w:r>
            <w:r w:rsidRPr="001343D8">
              <w:rPr>
                <w:sz w:val="22"/>
                <w:szCs w:val="22"/>
              </w:rPr>
              <w:t xml:space="preserve"> zamestnancov)</w:t>
            </w:r>
          </w:p>
        </w:tc>
        <w:tc>
          <w:tcPr>
            <w:tcW w:w="1328" w:type="pct"/>
            <w:noWrap/>
            <w:vAlign w:val="bottom"/>
          </w:tcPr>
          <w:p w14:paraId="5DD15FCD" w14:textId="77777777" w:rsidR="000F273D" w:rsidRPr="001343D8" w:rsidRDefault="000F273D" w:rsidP="00077CE6">
            <w:pPr>
              <w:jc w:val="right"/>
              <w:rPr>
                <w:sz w:val="22"/>
                <w:szCs w:val="22"/>
              </w:rPr>
            </w:pPr>
            <w:r w:rsidRPr="001343D8">
              <w:rPr>
                <w:sz w:val="22"/>
                <w:szCs w:val="22"/>
              </w:rPr>
              <w:t>4 736 977</w:t>
            </w:r>
          </w:p>
        </w:tc>
      </w:tr>
      <w:tr w:rsidR="000F273D" w:rsidRPr="001343D8" w14:paraId="6ED485C1" w14:textId="77777777" w:rsidTr="0036514D">
        <w:trPr>
          <w:trHeight w:val="266"/>
        </w:trPr>
        <w:tc>
          <w:tcPr>
            <w:tcW w:w="3672" w:type="pct"/>
            <w:noWrap/>
            <w:vAlign w:val="bottom"/>
          </w:tcPr>
          <w:p w14:paraId="0F19AFFF" w14:textId="77777777" w:rsidR="000F273D" w:rsidRPr="001343D8" w:rsidRDefault="000F273D" w:rsidP="001343D8">
            <w:pPr>
              <w:rPr>
                <w:sz w:val="22"/>
                <w:szCs w:val="22"/>
              </w:rPr>
            </w:pPr>
            <w:r w:rsidRPr="001343D8">
              <w:rPr>
                <w:sz w:val="22"/>
                <w:szCs w:val="22"/>
              </w:rPr>
              <w:t>zákonné poistenie zamestnancov</w:t>
            </w:r>
          </w:p>
        </w:tc>
        <w:tc>
          <w:tcPr>
            <w:tcW w:w="1328" w:type="pct"/>
            <w:noWrap/>
            <w:vAlign w:val="bottom"/>
          </w:tcPr>
          <w:p w14:paraId="678184E7" w14:textId="77777777" w:rsidR="000F273D" w:rsidRPr="001343D8" w:rsidRDefault="000F273D" w:rsidP="00077CE6">
            <w:pPr>
              <w:jc w:val="right"/>
              <w:rPr>
                <w:sz w:val="22"/>
                <w:szCs w:val="22"/>
              </w:rPr>
            </w:pPr>
            <w:r w:rsidRPr="001343D8">
              <w:rPr>
                <w:sz w:val="22"/>
                <w:szCs w:val="22"/>
              </w:rPr>
              <w:t>1 840 610</w:t>
            </w:r>
          </w:p>
        </w:tc>
      </w:tr>
      <w:tr w:rsidR="000F273D" w:rsidRPr="001343D8" w14:paraId="55DC7C9E" w14:textId="77777777" w:rsidTr="0036514D">
        <w:trPr>
          <w:trHeight w:val="266"/>
        </w:trPr>
        <w:tc>
          <w:tcPr>
            <w:tcW w:w="3672" w:type="pct"/>
            <w:noWrap/>
            <w:vAlign w:val="bottom"/>
          </w:tcPr>
          <w:p w14:paraId="6A1C3645" w14:textId="77777777" w:rsidR="000F273D" w:rsidRPr="001343D8" w:rsidRDefault="000F273D" w:rsidP="005C0697">
            <w:pPr>
              <w:ind w:left="-144" w:firstLine="144"/>
              <w:rPr>
                <w:sz w:val="22"/>
                <w:szCs w:val="22"/>
              </w:rPr>
            </w:pPr>
            <w:r w:rsidRPr="001343D8">
              <w:rPr>
                <w:sz w:val="22"/>
                <w:szCs w:val="22"/>
              </w:rPr>
              <w:t xml:space="preserve">tuzemské transfery </w:t>
            </w:r>
          </w:p>
        </w:tc>
        <w:tc>
          <w:tcPr>
            <w:tcW w:w="1328" w:type="pct"/>
            <w:noWrap/>
            <w:vAlign w:val="bottom"/>
          </w:tcPr>
          <w:p w14:paraId="575AEA54" w14:textId="2EF7AC81" w:rsidR="000F273D" w:rsidRPr="005829DC" w:rsidRDefault="000F273D" w:rsidP="00077CE6">
            <w:pPr>
              <w:jc w:val="right"/>
              <w:rPr>
                <w:sz w:val="22"/>
                <w:szCs w:val="22"/>
              </w:rPr>
            </w:pPr>
            <w:r w:rsidRPr="005829DC">
              <w:rPr>
                <w:sz w:val="22"/>
                <w:szCs w:val="22"/>
              </w:rPr>
              <w:t>1</w:t>
            </w:r>
            <w:r w:rsidR="0019625F" w:rsidRPr="005829DC">
              <w:rPr>
                <w:sz w:val="22"/>
                <w:szCs w:val="22"/>
              </w:rPr>
              <w:t>97</w:t>
            </w:r>
            <w:r w:rsidRPr="005829DC">
              <w:rPr>
                <w:sz w:val="22"/>
                <w:szCs w:val="22"/>
              </w:rPr>
              <w:t xml:space="preserve"> 02</w:t>
            </w:r>
            <w:r w:rsidR="0019625F" w:rsidRPr="005829DC">
              <w:rPr>
                <w:sz w:val="22"/>
                <w:szCs w:val="22"/>
              </w:rPr>
              <w:t>7</w:t>
            </w:r>
          </w:p>
        </w:tc>
      </w:tr>
      <w:tr w:rsidR="000F273D" w:rsidRPr="001343D8" w14:paraId="05AA7B29" w14:textId="77777777" w:rsidTr="0036514D">
        <w:trPr>
          <w:trHeight w:val="266"/>
        </w:trPr>
        <w:tc>
          <w:tcPr>
            <w:tcW w:w="3672" w:type="pct"/>
            <w:noWrap/>
            <w:vAlign w:val="bottom"/>
          </w:tcPr>
          <w:p w14:paraId="06A5AD04" w14:textId="77777777" w:rsidR="000F273D" w:rsidRPr="001343D8" w:rsidRDefault="000F273D" w:rsidP="001343D8">
            <w:pPr>
              <w:rPr>
                <w:sz w:val="22"/>
                <w:szCs w:val="22"/>
              </w:rPr>
            </w:pPr>
            <w:r w:rsidRPr="001343D8">
              <w:rPr>
                <w:sz w:val="22"/>
                <w:szCs w:val="22"/>
              </w:rPr>
              <w:t>tovary a služby</w:t>
            </w:r>
          </w:p>
        </w:tc>
        <w:tc>
          <w:tcPr>
            <w:tcW w:w="1328" w:type="pct"/>
            <w:noWrap/>
            <w:vAlign w:val="bottom"/>
          </w:tcPr>
          <w:p w14:paraId="1CEB3059" w14:textId="244F8B11" w:rsidR="000F273D" w:rsidRPr="005829DC" w:rsidRDefault="000F273D" w:rsidP="00077CE6">
            <w:pPr>
              <w:jc w:val="right"/>
              <w:rPr>
                <w:sz w:val="22"/>
                <w:szCs w:val="22"/>
              </w:rPr>
            </w:pPr>
            <w:r w:rsidRPr="005829DC">
              <w:rPr>
                <w:sz w:val="22"/>
                <w:szCs w:val="22"/>
              </w:rPr>
              <w:t>1 2</w:t>
            </w:r>
            <w:r w:rsidR="0019625F" w:rsidRPr="005829DC">
              <w:rPr>
                <w:sz w:val="22"/>
                <w:szCs w:val="22"/>
              </w:rPr>
              <w:t>19</w:t>
            </w:r>
            <w:r w:rsidRPr="005829DC">
              <w:rPr>
                <w:sz w:val="22"/>
                <w:szCs w:val="22"/>
              </w:rPr>
              <w:t xml:space="preserve"> </w:t>
            </w:r>
            <w:r w:rsidR="0019625F" w:rsidRPr="005829DC">
              <w:rPr>
                <w:sz w:val="22"/>
                <w:szCs w:val="22"/>
              </w:rPr>
              <w:t>964</w:t>
            </w:r>
            <w:r w:rsidRPr="005829DC">
              <w:rPr>
                <w:sz w:val="22"/>
                <w:szCs w:val="22"/>
              </w:rPr>
              <w:t xml:space="preserve"> </w:t>
            </w:r>
          </w:p>
        </w:tc>
      </w:tr>
      <w:tr w:rsidR="000F273D" w:rsidRPr="001343D8" w14:paraId="76A5F85D" w14:textId="77777777" w:rsidTr="0036514D">
        <w:trPr>
          <w:trHeight w:val="263"/>
        </w:trPr>
        <w:tc>
          <w:tcPr>
            <w:tcW w:w="3672" w:type="pct"/>
            <w:shd w:val="clear" w:color="auto" w:fill="FFFFFF" w:themeFill="background1"/>
          </w:tcPr>
          <w:p w14:paraId="7843898A" w14:textId="77777777" w:rsidR="000F273D" w:rsidRPr="001343D8" w:rsidRDefault="000F273D" w:rsidP="001343D8">
            <w:pPr>
              <w:rPr>
                <w:b/>
                <w:bCs/>
                <w:sz w:val="22"/>
                <w:szCs w:val="22"/>
              </w:rPr>
            </w:pPr>
            <w:r w:rsidRPr="001343D8">
              <w:rPr>
                <w:b/>
                <w:bCs/>
                <w:sz w:val="22"/>
                <w:szCs w:val="22"/>
              </w:rPr>
              <w:t>Spolu</w:t>
            </w:r>
          </w:p>
        </w:tc>
        <w:tc>
          <w:tcPr>
            <w:tcW w:w="1328" w:type="pct"/>
            <w:shd w:val="clear" w:color="auto" w:fill="FFFFFF" w:themeFill="background1"/>
          </w:tcPr>
          <w:p w14:paraId="5200756F" w14:textId="3D851E2F" w:rsidR="000F273D" w:rsidRPr="005829DC" w:rsidRDefault="000F273D" w:rsidP="00994B4E">
            <w:pPr>
              <w:jc w:val="right"/>
              <w:rPr>
                <w:b/>
                <w:bCs/>
                <w:sz w:val="22"/>
                <w:szCs w:val="22"/>
              </w:rPr>
            </w:pPr>
            <w:r w:rsidRPr="005829DC">
              <w:rPr>
                <w:b/>
                <w:bCs/>
                <w:sz w:val="22"/>
                <w:szCs w:val="22"/>
              </w:rPr>
              <w:t>10 3</w:t>
            </w:r>
            <w:r w:rsidR="0019625F" w:rsidRPr="005829DC">
              <w:rPr>
                <w:b/>
                <w:bCs/>
                <w:sz w:val="22"/>
                <w:szCs w:val="22"/>
              </w:rPr>
              <w:t>08</w:t>
            </w:r>
            <w:r w:rsidRPr="005829DC">
              <w:rPr>
                <w:b/>
                <w:bCs/>
                <w:sz w:val="22"/>
                <w:szCs w:val="22"/>
              </w:rPr>
              <w:t xml:space="preserve"> </w:t>
            </w:r>
            <w:r w:rsidR="0019625F" w:rsidRPr="005829DC">
              <w:rPr>
                <w:b/>
                <w:bCs/>
                <w:sz w:val="22"/>
                <w:szCs w:val="22"/>
              </w:rPr>
              <w:t>865</w:t>
            </w:r>
          </w:p>
        </w:tc>
      </w:tr>
    </w:tbl>
    <w:p w14:paraId="2CCBDC00" w14:textId="77777777" w:rsidR="000F273D" w:rsidRPr="000F273D" w:rsidRDefault="000F273D" w:rsidP="000F273D">
      <w:pPr>
        <w:jc w:val="both"/>
        <w:rPr>
          <w:szCs w:val="18"/>
        </w:rPr>
      </w:pPr>
    </w:p>
    <w:p w14:paraId="23C3B030" w14:textId="0B7F6A6A" w:rsidR="000F273D" w:rsidRPr="000F273D" w:rsidRDefault="000F273D" w:rsidP="000F273D">
      <w:pPr>
        <w:jc w:val="both"/>
        <w:rPr>
          <w:szCs w:val="18"/>
        </w:rPr>
      </w:pPr>
      <w:r w:rsidRPr="000F273D">
        <w:rPr>
          <w:szCs w:val="18"/>
        </w:rPr>
        <w:t>Na obstaranie tovarov a služieb nevyhnutných na prevádzku ÚJD SR boli vynaložené finančné prostriedky v sume 1</w:t>
      </w:r>
      <w:r w:rsidR="0019625F">
        <w:rPr>
          <w:szCs w:val="18"/>
        </w:rPr>
        <w:t> </w:t>
      </w:r>
      <w:r w:rsidRPr="000F273D">
        <w:rPr>
          <w:szCs w:val="18"/>
        </w:rPr>
        <w:t>2</w:t>
      </w:r>
      <w:r w:rsidR="0019625F">
        <w:rPr>
          <w:szCs w:val="18"/>
        </w:rPr>
        <w:t>19 964</w:t>
      </w:r>
      <w:r w:rsidRPr="000F273D">
        <w:rPr>
          <w:szCs w:val="18"/>
        </w:rPr>
        <w:t xml:space="preserve"> eur. Základné druhové členenie týchto výdavkov vyplýva z ekonomickej rozpočtovej klasifikácie výdavkov a ich čerpanie bolo nasledovné:</w:t>
      </w:r>
    </w:p>
    <w:p w14:paraId="254AE028" w14:textId="77777777" w:rsidR="000F273D" w:rsidRPr="000F273D" w:rsidRDefault="000F273D" w:rsidP="000F273D">
      <w:pPr>
        <w:jc w:val="both"/>
        <w:rPr>
          <w:szCs w:val="18"/>
        </w:rPr>
      </w:pPr>
    </w:p>
    <w:p w14:paraId="669E8633" w14:textId="563D071E" w:rsidR="000F273D" w:rsidRPr="0036514D" w:rsidRDefault="000F273D" w:rsidP="00D04D3E">
      <w:pPr>
        <w:jc w:val="both"/>
        <w:rPr>
          <w:sz w:val="22"/>
          <w:szCs w:val="22"/>
        </w:rPr>
      </w:pPr>
      <w:r w:rsidRPr="0036514D">
        <w:rPr>
          <w:sz w:val="22"/>
          <w:szCs w:val="22"/>
        </w:rPr>
        <w:t xml:space="preserve">Tab. </w:t>
      </w:r>
      <w:r w:rsidR="002A1E40" w:rsidRPr="0036514D">
        <w:rPr>
          <w:sz w:val="22"/>
          <w:szCs w:val="22"/>
        </w:rPr>
        <w:t>9</w:t>
      </w:r>
      <w:r w:rsidRPr="0036514D">
        <w:rPr>
          <w:sz w:val="22"/>
          <w:szCs w:val="22"/>
        </w:rPr>
        <w:t xml:space="preserve"> Čerpanie výdavkov na obstaranie tovarov a služieb v roku 2023</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438"/>
      </w:tblGrid>
      <w:tr w:rsidR="000F273D" w:rsidRPr="006F17C5" w14:paraId="64F61D9A" w14:textId="77777777" w:rsidTr="0036514D">
        <w:trPr>
          <w:trHeight w:val="273"/>
        </w:trPr>
        <w:tc>
          <w:tcPr>
            <w:tcW w:w="6634" w:type="dxa"/>
            <w:shd w:val="clear" w:color="auto" w:fill="D9D9D9" w:themeFill="background1" w:themeFillShade="D9"/>
            <w:vAlign w:val="center"/>
          </w:tcPr>
          <w:p w14:paraId="6A8F3295" w14:textId="77777777" w:rsidR="000F273D" w:rsidRPr="006F17C5" w:rsidRDefault="000F273D" w:rsidP="000F273D">
            <w:pPr>
              <w:jc w:val="center"/>
              <w:rPr>
                <w:b/>
                <w:sz w:val="22"/>
                <w:szCs w:val="22"/>
              </w:rPr>
            </w:pPr>
            <w:r w:rsidRPr="006F17C5">
              <w:rPr>
                <w:b/>
                <w:sz w:val="22"/>
                <w:szCs w:val="22"/>
              </w:rPr>
              <w:t>Položka</w:t>
            </w:r>
          </w:p>
        </w:tc>
        <w:tc>
          <w:tcPr>
            <w:tcW w:w="2438" w:type="dxa"/>
            <w:shd w:val="clear" w:color="auto" w:fill="D9D9D9" w:themeFill="background1" w:themeFillShade="D9"/>
            <w:vAlign w:val="center"/>
          </w:tcPr>
          <w:p w14:paraId="12947917" w14:textId="77777777" w:rsidR="000F273D" w:rsidRPr="006F17C5" w:rsidRDefault="000F273D" w:rsidP="000F273D">
            <w:pPr>
              <w:jc w:val="center"/>
              <w:rPr>
                <w:b/>
                <w:sz w:val="22"/>
                <w:szCs w:val="22"/>
              </w:rPr>
            </w:pPr>
            <w:r w:rsidRPr="006F17C5">
              <w:rPr>
                <w:b/>
                <w:sz w:val="22"/>
                <w:szCs w:val="22"/>
              </w:rPr>
              <w:t>Suma (v eurách)</w:t>
            </w:r>
          </w:p>
        </w:tc>
      </w:tr>
      <w:tr w:rsidR="000F273D" w:rsidRPr="00825126" w14:paraId="2788C144" w14:textId="77777777" w:rsidTr="0036514D">
        <w:tc>
          <w:tcPr>
            <w:tcW w:w="6634" w:type="dxa"/>
          </w:tcPr>
          <w:p w14:paraId="50DA8A44" w14:textId="77777777" w:rsidR="000F273D" w:rsidRPr="00825126" w:rsidRDefault="000F273D" w:rsidP="000F273D">
            <w:pPr>
              <w:rPr>
                <w:sz w:val="22"/>
                <w:szCs w:val="22"/>
              </w:rPr>
            </w:pPr>
            <w:bookmarkStart w:id="66" w:name="_Hlk380439313"/>
            <w:r w:rsidRPr="00825126">
              <w:rPr>
                <w:sz w:val="22"/>
                <w:szCs w:val="22"/>
              </w:rPr>
              <w:t>cestovné výdavky</w:t>
            </w:r>
          </w:p>
        </w:tc>
        <w:tc>
          <w:tcPr>
            <w:tcW w:w="2438" w:type="dxa"/>
          </w:tcPr>
          <w:p w14:paraId="6AF72D10" w14:textId="77777777" w:rsidR="000F273D" w:rsidRPr="00825126" w:rsidRDefault="000F273D" w:rsidP="00825126">
            <w:pPr>
              <w:jc w:val="right"/>
              <w:rPr>
                <w:sz w:val="22"/>
                <w:szCs w:val="22"/>
              </w:rPr>
            </w:pPr>
            <w:r w:rsidRPr="00825126">
              <w:rPr>
                <w:sz w:val="22"/>
                <w:szCs w:val="22"/>
              </w:rPr>
              <w:t>159 952</w:t>
            </w:r>
          </w:p>
        </w:tc>
      </w:tr>
      <w:tr w:rsidR="000F273D" w:rsidRPr="00825126" w14:paraId="6297E6A6" w14:textId="77777777" w:rsidTr="0036514D">
        <w:tc>
          <w:tcPr>
            <w:tcW w:w="6634" w:type="dxa"/>
          </w:tcPr>
          <w:p w14:paraId="446B0A52" w14:textId="77777777" w:rsidR="000F273D" w:rsidRPr="00825126" w:rsidRDefault="000F273D" w:rsidP="000F273D">
            <w:pPr>
              <w:rPr>
                <w:sz w:val="22"/>
                <w:szCs w:val="22"/>
              </w:rPr>
            </w:pPr>
            <w:r w:rsidRPr="00825126">
              <w:rPr>
                <w:sz w:val="22"/>
                <w:szCs w:val="22"/>
              </w:rPr>
              <w:t>komunikácie a energie</w:t>
            </w:r>
          </w:p>
        </w:tc>
        <w:tc>
          <w:tcPr>
            <w:tcW w:w="2438" w:type="dxa"/>
          </w:tcPr>
          <w:p w14:paraId="5977C39B" w14:textId="77777777" w:rsidR="000F273D" w:rsidRPr="00825126" w:rsidRDefault="000F273D" w:rsidP="00825126">
            <w:pPr>
              <w:jc w:val="right"/>
              <w:rPr>
                <w:sz w:val="22"/>
                <w:szCs w:val="22"/>
              </w:rPr>
            </w:pPr>
            <w:r w:rsidRPr="00825126">
              <w:rPr>
                <w:sz w:val="22"/>
                <w:szCs w:val="22"/>
              </w:rPr>
              <w:t>93 786</w:t>
            </w:r>
          </w:p>
        </w:tc>
      </w:tr>
      <w:tr w:rsidR="000F273D" w:rsidRPr="00825126" w14:paraId="4549B740" w14:textId="77777777" w:rsidTr="0036514D">
        <w:tc>
          <w:tcPr>
            <w:tcW w:w="6634" w:type="dxa"/>
          </w:tcPr>
          <w:p w14:paraId="78786A3C" w14:textId="77777777" w:rsidR="000F273D" w:rsidRPr="00825126" w:rsidRDefault="000F273D" w:rsidP="000F273D">
            <w:pPr>
              <w:rPr>
                <w:sz w:val="22"/>
                <w:szCs w:val="22"/>
              </w:rPr>
            </w:pPr>
            <w:r w:rsidRPr="00825126">
              <w:rPr>
                <w:sz w:val="22"/>
                <w:szCs w:val="22"/>
              </w:rPr>
              <w:t xml:space="preserve">materiál </w:t>
            </w:r>
          </w:p>
        </w:tc>
        <w:tc>
          <w:tcPr>
            <w:tcW w:w="2438" w:type="dxa"/>
          </w:tcPr>
          <w:p w14:paraId="3E906A45" w14:textId="77777777" w:rsidR="000F273D" w:rsidRPr="00825126" w:rsidRDefault="000F273D" w:rsidP="00825126">
            <w:pPr>
              <w:jc w:val="right"/>
              <w:rPr>
                <w:sz w:val="22"/>
                <w:szCs w:val="22"/>
              </w:rPr>
            </w:pPr>
            <w:r w:rsidRPr="00825126">
              <w:rPr>
                <w:sz w:val="22"/>
                <w:szCs w:val="22"/>
              </w:rPr>
              <w:t>121 134</w:t>
            </w:r>
          </w:p>
        </w:tc>
      </w:tr>
      <w:tr w:rsidR="000F273D" w:rsidRPr="00825126" w14:paraId="58E525E4" w14:textId="77777777" w:rsidTr="0036514D">
        <w:tc>
          <w:tcPr>
            <w:tcW w:w="6634" w:type="dxa"/>
          </w:tcPr>
          <w:p w14:paraId="3807F874" w14:textId="77777777" w:rsidR="000F273D" w:rsidRPr="00825126" w:rsidRDefault="000F273D" w:rsidP="000F273D">
            <w:pPr>
              <w:rPr>
                <w:sz w:val="22"/>
                <w:szCs w:val="22"/>
              </w:rPr>
            </w:pPr>
            <w:r w:rsidRPr="00825126">
              <w:rPr>
                <w:sz w:val="22"/>
                <w:szCs w:val="22"/>
              </w:rPr>
              <w:t>autodoprava</w:t>
            </w:r>
          </w:p>
        </w:tc>
        <w:tc>
          <w:tcPr>
            <w:tcW w:w="2438" w:type="dxa"/>
          </w:tcPr>
          <w:p w14:paraId="24D34AB1" w14:textId="77777777" w:rsidR="000F273D" w:rsidRPr="00825126" w:rsidRDefault="000F273D" w:rsidP="00825126">
            <w:pPr>
              <w:jc w:val="right"/>
              <w:rPr>
                <w:sz w:val="22"/>
                <w:szCs w:val="22"/>
              </w:rPr>
            </w:pPr>
            <w:r w:rsidRPr="00825126">
              <w:rPr>
                <w:sz w:val="22"/>
                <w:szCs w:val="22"/>
              </w:rPr>
              <w:t>45 819</w:t>
            </w:r>
          </w:p>
        </w:tc>
      </w:tr>
      <w:tr w:rsidR="000F273D" w:rsidRPr="00825126" w14:paraId="069D89DD" w14:textId="77777777" w:rsidTr="0036514D">
        <w:tc>
          <w:tcPr>
            <w:tcW w:w="6634" w:type="dxa"/>
          </w:tcPr>
          <w:p w14:paraId="69EB8181" w14:textId="77777777" w:rsidR="000F273D" w:rsidRPr="00825126" w:rsidRDefault="000F273D" w:rsidP="000F273D">
            <w:pPr>
              <w:rPr>
                <w:sz w:val="22"/>
                <w:szCs w:val="22"/>
              </w:rPr>
            </w:pPr>
            <w:r w:rsidRPr="00825126">
              <w:rPr>
                <w:sz w:val="22"/>
                <w:szCs w:val="22"/>
              </w:rPr>
              <w:t>rutinná a štandardná údržba budovy a prevádzkových zariadení</w:t>
            </w:r>
          </w:p>
        </w:tc>
        <w:tc>
          <w:tcPr>
            <w:tcW w:w="2438" w:type="dxa"/>
          </w:tcPr>
          <w:p w14:paraId="0AD41E5D" w14:textId="77777777" w:rsidR="000F273D" w:rsidRPr="00825126" w:rsidRDefault="000F273D" w:rsidP="00825126">
            <w:pPr>
              <w:jc w:val="right"/>
              <w:rPr>
                <w:sz w:val="22"/>
                <w:szCs w:val="22"/>
              </w:rPr>
            </w:pPr>
            <w:r w:rsidRPr="00825126">
              <w:rPr>
                <w:sz w:val="22"/>
                <w:szCs w:val="22"/>
              </w:rPr>
              <w:t>164 121</w:t>
            </w:r>
          </w:p>
        </w:tc>
      </w:tr>
      <w:tr w:rsidR="000F273D" w:rsidRPr="00825126" w14:paraId="6B18C387" w14:textId="77777777" w:rsidTr="0036514D">
        <w:tc>
          <w:tcPr>
            <w:tcW w:w="6634" w:type="dxa"/>
          </w:tcPr>
          <w:p w14:paraId="64BE9FFA" w14:textId="77777777" w:rsidR="000F273D" w:rsidRPr="00825126" w:rsidRDefault="000F273D" w:rsidP="000F273D">
            <w:pPr>
              <w:rPr>
                <w:sz w:val="22"/>
                <w:szCs w:val="22"/>
              </w:rPr>
            </w:pPr>
            <w:r w:rsidRPr="00825126">
              <w:rPr>
                <w:sz w:val="22"/>
                <w:szCs w:val="22"/>
              </w:rPr>
              <w:t>nájomné za prenájom kancelárskych priestorov, garáže, rokovacích miestností a zariadení</w:t>
            </w:r>
          </w:p>
        </w:tc>
        <w:tc>
          <w:tcPr>
            <w:tcW w:w="2438" w:type="dxa"/>
            <w:vAlign w:val="center"/>
          </w:tcPr>
          <w:p w14:paraId="000C189C" w14:textId="77777777" w:rsidR="000F273D" w:rsidRPr="00825126" w:rsidRDefault="000F273D" w:rsidP="00825126">
            <w:pPr>
              <w:jc w:val="right"/>
              <w:rPr>
                <w:sz w:val="22"/>
                <w:szCs w:val="22"/>
              </w:rPr>
            </w:pPr>
            <w:r w:rsidRPr="00825126">
              <w:rPr>
                <w:sz w:val="22"/>
                <w:szCs w:val="22"/>
              </w:rPr>
              <w:t>64 813</w:t>
            </w:r>
          </w:p>
        </w:tc>
      </w:tr>
      <w:tr w:rsidR="000F273D" w:rsidRPr="00825126" w14:paraId="5F3EE95B" w14:textId="77777777" w:rsidTr="005829DC">
        <w:tc>
          <w:tcPr>
            <w:tcW w:w="6634" w:type="dxa"/>
          </w:tcPr>
          <w:p w14:paraId="30120E5A" w14:textId="77777777" w:rsidR="000F273D" w:rsidRPr="00825126" w:rsidRDefault="000F273D" w:rsidP="000F273D">
            <w:pPr>
              <w:rPr>
                <w:sz w:val="22"/>
                <w:szCs w:val="22"/>
              </w:rPr>
            </w:pPr>
            <w:r w:rsidRPr="00825126">
              <w:rPr>
                <w:sz w:val="22"/>
                <w:szCs w:val="22"/>
              </w:rPr>
              <w:t>služby (tlačiarenské, upratovacie, prekladateľské, informačné, revízie zariadení, školenia, inzercia, stravovanie, poplatky banke, prídel do Sociálneho fondu, náhrady – rekreácie, reprezentačné a iné)</w:t>
            </w:r>
          </w:p>
        </w:tc>
        <w:tc>
          <w:tcPr>
            <w:tcW w:w="2438" w:type="dxa"/>
            <w:shd w:val="clear" w:color="auto" w:fill="auto"/>
            <w:vAlign w:val="center"/>
          </w:tcPr>
          <w:p w14:paraId="3FBD60FF" w14:textId="48CC9E94" w:rsidR="000F273D" w:rsidRPr="005829DC" w:rsidRDefault="000F273D" w:rsidP="00825126">
            <w:pPr>
              <w:jc w:val="right"/>
              <w:rPr>
                <w:sz w:val="22"/>
                <w:szCs w:val="22"/>
              </w:rPr>
            </w:pPr>
            <w:r w:rsidRPr="005829DC">
              <w:rPr>
                <w:sz w:val="22"/>
                <w:szCs w:val="22"/>
              </w:rPr>
              <w:t xml:space="preserve">570 </w:t>
            </w:r>
            <w:r w:rsidR="0019625F" w:rsidRPr="005829DC">
              <w:rPr>
                <w:sz w:val="22"/>
                <w:szCs w:val="22"/>
              </w:rPr>
              <w:t>339</w:t>
            </w:r>
          </w:p>
        </w:tc>
      </w:tr>
      <w:bookmarkEnd w:id="66"/>
      <w:tr w:rsidR="000F273D" w:rsidRPr="00825126" w14:paraId="11837AB9" w14:textId="77777777" w:rsidTr="005829DC">
        <w:trPr>
          <w:trHeight w:val="279"/>
        </w:trPr>
        <w:tc>
          <w:tcPr>
            <w:tcW w:w="6634" w:type="dxa"/>
            <w:shd w:val="clear" w:color="auto" w:fill="FFFFFF" w:themeFill="background1"/>
            <w:vAlign w:val="center"/>
          </w:tcPr>
          <w:p w14:paraId="0B8B3648" w14:textId="77777777" w:rsidR="000F273D" w:rsidRPr="00825126" w:rsidRDefault="000F273D" w:rsidP="000F273D">
            <w:pPr>
              <w:rPr>
                <w:b/>
                <w:bCs/>
                <w:sz w:val="22"/>
                <w:szCs w:val="22"/>
              </w:rPr>
            </w:pPr>
            <w:r w:rsidRPr="00825126">
              <w:rPr>
                <w:b/>
                <w:bCs/>
                <w:sz w:val="22"/>
                <w:szCs w:val="22"/>
              </w:rPr>
              <w:t>Spolu</w:t>
            </w:r>
          </w:p>
        </w:tc>
        <w:tc>
          <w:tcPr>
            <w:tcW w:w="2438" w:type="dxa"/>
            <w:shd w:val="clear" w:color="auto" w:fill="auto"/>
            <w:vAlign w:val="center"/>
          </w:tcPr>
          <w:p w14:paraId="76AE230C" w14:textId="4A0DA85F" w:rsidR="000F273D" w:rsidRPr="005829DC" w:rsidRDefault="000F273D" w:rsidP="00825126">
            <w:pPr>
              <w:jc w:val="right"/>
              <w:rPr>
                <w:b/>
                <w:bCs/>
                <w:sz w:val="22"/>
                <w:szCs w:val="22"/>
              </w:rPr>
            </w:pPr>
            <w:r w:rsidRPr="005829DC">
              <w:rPr>
                <w:b/>
                <w:bCs/>
                <w:sz w:val="22"/>
                <w:szCs w:val="22"/>
              </w:rPr>
              <w:t>1 2</w:t>
            </w:r>
            <w:r w:rsidR="0019625F" w:rsidRPr="005829DC">
              <w:rPr>
                <w:b/>
                <w:bCs/>
                <w:sz w:val="22"/>
                <w:szCs w:val="22"/>
              </w:rPr>
              <w:t>19</w:t>
            </w:r>
            <w:r w:rsidRPr="005829DC">
              <w:rPr>
                <w:b/>
                <w:bCs/>
                <w:sz w:val="22"/>
                <w:szCs w:val="22"/>
              </w:rPr>
              <w:t xml:space="preserve"> 9</w:t>
            </w:r>
            <w:r w:rsidR="0019625F" w:rsidRPr="005829DC">
              <w:rPr>
                <w:b/>
                <w:bCs/>
                <w:sz w:val="22"/>
                <w:szCs w:val="22"/>
              </w:rPr>
              <w:t>64</w:t>
            </w:r>
            <w:bookmarkStart w:id="67" w:name="_GoBack"/>
            <w:bookmarkEnd w:id="67"/>
          </w:p>
        </w:tc>
      </w:tr>
    </w:tbl>
    <w:p w14:paraId="7C07CC51" w14:textId="77777777" w:rsidR="000F273D" w:rsidRPr="000F273D" w:rsidRDefault="000F273D" w:rsidP="000F273D">
      <w:pPr>
        <w:jc w:val="both"/>
        <w:rPr>
          <w:color w:val="FFFFFF" w:themeColor="background1"/>
          <w:szCs w:val="18"/>
        </w:rPr>
      </w:pPr>
    </w:p>
    <w:p w14:paraId="523639B5" w14:textId="77777777" w:rsidR="000F273D" w:rsidRPr="000F273D" w:rsidRDefault="000F273D" w:rsidP="000F273D">
      <w:pPr>
        <w:jc w:val="both"/>
        <w:rPr>
          <w:b/>
          <w:i/>
          <w:szCs w:val="18"/>
        </w:rPr>
      </w:pPr>
      <w:r w:rsidRPr="000F273D">
        <w:rPr>
          <w:b/>
          <w:i/>
          <w:szCs w:val="18"/>
        </w:rPr>
        <w:t>Kapitálové výdavky</w:t>
      </w:r>
    </w:p>
    <w:p w14:paraId="0550BF61" w14:textId="77777777" w:rsidR="000F273D" w:rsidRPr="000F273D" w:rsidRDefault="000F273D" w:rsidP="000F273D">
      <w:pPr>
        <w:spacing w:before="240"/>
        <w:jc w:val="both"/>
        <w:rPr>
          <w:szCs w:val="18"/>
        </w:rPr>
      </w:pPr>
      <w:r w:rsidRPr="000F273D">
        <w:rPr>
          <w:szCs w:val="18"/>
        </w:rPr>
        <w:t xml:space="preserve">V rámci kategórie kapitálových výdavkov ÚJD SR použil rozpočtové prostriedky v celkovej sume 84 805 eur na obstaranie kapitálových aktív nasledovne: </w:t>
      </w:r>
    </w:p>
    <w:p w14:paraId="05CAB1ED" w14:textId="77777777" w:rsidR="000F273D" w:rsidRPr="000F273D" w:rsidRDefault="000F273D" w:rsidP="000F273D">
      <w:pPr>
        <w:jc w:val="both"/>
        <w:rPr>
          <w:szCs w:val="18"/>
        </w:rPr>
      </w:pPr>
    </w:p>
    <w:p w14:paraId="4C1881BA" w14:textId="510983AB" w:rsidR="000F273D" w:rsidRPr="0036514D" w:rsidRDefault="000F273D" w:rsidP="00D04D3E">
      <w:pPr>
        <w:jc w:val="both"/>
        <w:rPr>
          <w:sz w:val="22"/>
          <w:szCs w:val="22"/>
        </w:rPr>
      </w:pPr>
      <w:r w:rsidRPr="0036514D">
        <w:rPr>
          <w:sz w:val="22"/>
          <w:szCs w:val="22"/>
        </w:rPr>
        <w:t xml:space="preserve">Tab. </w:t>
      </w:r>
      <w:r w:rsidR="002A1E40" w:rsidRPr="0036514D">
        <w:rPr>
          <w:sz w:val="22"/>
          <w:szCs w:val="22"/>
        </w:rPr>
        <w:t>10</w:t>
      </w:r>
      <w:r w:rsidRPr="0036514D">
        <w:rPr>
          <w:sz w:val="22"/>
          <w:szCs w:val="22"/>
        </w:rPr>
        <w:t xml:space="preserve"> Čerpanie kapitálových výdavkov v roku 2023 (výdavkový účet 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438"/>
      </w:tblGrid>
      <w:tr w:rsidR="000F273D" w:rsidRPr="006F17C5" w14:paraId="260FC2C5" w14:textId="77777777" w:rsidTr="0036514D">
        <w:trPr>
          <w:trHeight w:val="310"/>
        </w:trPr>
        <w:tc>
          <w:tcPr>
            <w:tcW w:w="6634" w:type="dxa"/>
            <w:shd w:val="clear" w:color="auto" w:fill="D9D9D9" w:themeFill="background1" w:themeFillShade="D9"/>
          </w:tcPr>
          <w:p w14:paraId="633591FD" w14:textId="77777777" w:rsidR="000F273D" w:rsidRPr="006F17C5" w:rsidRDefault="000F273D" w:rsidP="000F273D">
            <w:pPr>
              <w:jc w:val="center"/>
              <w:rPr>
                <w:b/>
                <w:sz w:val="22"/>
                <w:szCs w:val="22"/>
              </w:rPr>
            </w:pPr>
            <w:r w:rsidRPr="006F17C5">
              <w:rPr>
                <w:b/>
                <w:sz w:val="22"/>
                <w:szCs w:val="22"/>
              </w:rPr>
              <w:t>Položka</w:t>
            </w:r>
          </w:p>
        </w:tc>
        <w:tc>
          <w:tcPr>
            <w:tcW w:w="2438" w:type="dxa"/>
            <w:shd w:val="clear" w:color="auto" w:fill="D9D9D9" w:themeFill="background1" w:themeFillShade="D9"/>
          </w:tcPr>
          <w:p w14:paraId="192E7373" w14:textId="77777777" w:rsidR="000F273D" w:rsidRPr="006F17C5" w:rsidRDefault="000F273D" w:rsidP="000F273D">
            <w:pPr>
              <w:ind w:left="-1667"/>
              <w:jc w:val="right"/>
              <w:rPr>
                <w:b/>
                <w:sz w:val="22"/>
                <w:szCs w:val="22"/>
              </w:rPr>
            </w:pPr>
            <w:r w:rsidRPr="006F17C5">
              <w:rPr>
                <w:b/>
                <w:sz w:val="22"/>
                <w:szCs w:val="22"/>
              </w:rPr>
              <w:t>Suma (v eurách)</w:t>
            </w:r>
          </w:p>
        </w:tc>
      </w:tr>
      <w:tr w:rsidR="000F273D" w:rsidRPr="00825126" w14:paraId="4539E4BB" w14:textId="77777777" w:rsidTr="0036514D">
        <w:tc>
          <w:tcPr>
            <w:tcW w:w="6634" w:type="dxa"/>
            <w:shd w:val="clear" w:color="auto" w:fill="FFFFFF"/>
          </w:tcPr>
          <w:p w14:paraId="45AFB7B0" w14:textId="77777777" w:rsidR="000F273D" w:rsidRPr="00825126" w:rsidRDefault="000F273D" w:rsidP="000F273D">
            <w:pPr>
              <w:rPr>
                <w:sz w:val="22"/>
                <w:szCs w:val="22"/>
              </w:rPr>
            </w:pPr>
            <w:r w:rsidRPr="00825126">
              <w:rPr>
                <w:sz w:val="22"/>
                <w:szCs w:val="22"/>
              </w:rPr>
              <w:t>nákup kopírovacích strojov</w:t>
            </w:r>
          </w:p>
        </w:tc>
        <w:tc>
          <w:tcPr>
            <w:tcW w:w="2438" w:type="dxa"/>
            <w:shd w:val="clear" w:color="auto" w:fill="FFFFFF"/>
          </w:tcPr>
          <w:p w14:paraId="0126B6A7" w14:textId="77777777" w:rsidR="000F273D" w:rsidRPr="00825126" w:rsidRDefault="000F273D" w:rsidP="00825126">
            <w:pPr>
              <w:jc w:val="right"/>
              <w:rPr>
                <w:sz w:val="22"/>
                <w:szCs w:val="22"/>
              </w:rPr>
            </w:pPr>
            <w:r w:rsidRPr="00825126">
              <w:rPr>
                <w:sz w:val="22"/>
                <w:szCs w:val="22"/>
              </w:rPr>
              <w:t>6 720</w:t>
            </w:r>
          </w:p>
        </w:tc>
      </w:tr>
      <w:tr w:rsidR="000F273D" w:rsidRPr="00825126" w14:paraId="6F76CA99" w14:textId="77777777" w:rsidTr="0036514D">
        <w:tc>
          <w:tcPr>
            <w:tcW w:w="6634" w:type="dxa"/>
            <w:shd w:val="clear" w:color="auto" w:fill="FFFFFF"/>
          </w:tcPr>
          <w:p w14:paraId="5908BF63" w14:textId="77777777" w:rsidR="000F273D" w:rsidRPr="00825126" w:rsidRDefault="000F273D" w:rsidP="000F273D">
            <w:pPr>
              <w:rPr>
                <w:sz w:val="22"/>
                <w:szCs w:val="22"/>
              </w:rPr>
            </w:pPr>
            <w:r w:rsidRPr="00825126">
              <w:rPr>
                <w:sz w:val="22"/>
                <w:szCs w:val="22"/>
              </w:rPr>
              <w:t>nákup licencií k SW</w:t>
            </w:r>
          </w:p>
        </w:tc>
        <w:tc>
          <w:tcPr>
            <w:tcW w:w="2438" w:type="dxa"/>
            <w:shd w:val="clear" w:color="auto" w:fill="FFFFFF"/>
          </w:tcPr>
          <w:p w14:paraId="3FA31C05" w14:textId="77777777" w:rsidR="000F273D" w:rsidRPr="00825126" w:rsidRDefault="000F273D" w:rsidP="00825126">
            <w:pPr>
              <w:jc w:val="right"/>
              <w:rPr>
                <w:sz w:val="22"/>
                <w:szCs w:val="22"/>
              </w:rPr>
            </w:pPr>
            <w:r w:rsidRPr="00825126">
              <w:rPr>
                <w:sz w:val="22"/>
                <w:szCs w:val="22"/>
              </w:rPr>
              <w:t>7 050</w:t>
            </w:r>
          </w:p>
        </w:tc>
      </w:tr>
      <w:tr w:rsidR="000F273D" w:rsidRPr="00825126" w14:paraId="710F0543" w14:textId="77777777" w:rsidTr="0036514D">
        <w:tc>
          <w:tcPr>
            <w:tcW w:w="6634" w:type="dxa"/>
            <w:shd w:val="clear" w:color="auto" w:fill="FFFFFF"/>
          </w:tcPr>
          <w:p w14:paraId="3B47472B" w14:textId="77777777" w:rsidR="000F273D" w:rsidRPr="00825126" w:rsidRDefault="000F273D" w:rsidP="000F273D">
            <w:pPr>
              <w:rPr>
                <w:sz w:val="22"/>
                <w:szCs w:val="22"/>
              </w:rPr>
            </w:pPr>
            <w:r w:rsidRPr="00825126">
              <w:rPr>
                <w:sz w:val="22"/>
                <w:szCs w:val="22"/>
              </w:rPr>
              <w:t>rekonštrukcia SW (registratúrneho IS)</w:t>
            </w:r>
          </w:p>
        </w:tc>
        <w:tc>
          <w:tcPr>
            <w:tcW w:w="2438" w:type="dxa"/>
            <w:shd w:val="clear" w:color="auto" w:fill="FFFFFF"/>
          </w:tcPr>
          <w:p w14:paraId="38821291" w14:textId="77777777" w:rsidR="000F273D" w:rsidRPr="00825126" w:rsidRDefault="000F273D" w:rsidP="00825126">
            <w:pPr>
              <w:jc w:val="right"/>
              <w:rPr>
                <w:sz w:val="22"/>
                <w:szCs w:val="22"/>
              </w:rPr>
            </w:pPr>
            <w:r w:rsidRPr="00825126">
              <w:rPr>
                <w:sz w:val="22"/>
                <w:szCs w:val="22"/>
              </w:rPr>
              <w:t>23 062</w:t>
            </w:r>
          </w:p>
        </w:tc>
      </w:tr>
      <w:tr w:rsidR="000F273D" w:rsidRPr="00825126" w14:paraId="5AA93FB7" w14:textId="77777777" w:rsidTr="0036514D">
        <w:tc>
          <w:tcPr>
            <w:tcW w:w="6634" w:type="dxa"/>
            <w:shd w:val="clear" w:color="auto" w:fill="FFFFFF"/>
          </w:tcPr>
          <w:p w14:paraId="6849CB35" w14:textId="77777777" w:rsidR="000F273D" w:rsidRPr="00825126" w:rsidRDefault="000F273D" w:rsidP="000F273D">
            <w:pPr>
              <w:rPr>
                <w:sz w:val="22"/>
                <w:szCs w:val="22"/>
              </w:rPr>
            </w:pPr>
            <w:r w:rsidRPr="00825126">
              <w:rPr>
                <w:sz w:val="22"/>
                <w:szCs w:val="22"/>
              </w:rPr>
              <w:t>rekonštrukcia SW (IS v CHO)</w:t>
            </w:r>
          </w:p>
        </w:tc>
        <w:tc>
          <w:tcPr>
            <w:tcW w:w="2438" w:type="dxa"/>
            <w:shd w:val="clear" w:color="auto" w:fill="FFFFFF"/>
          </w:tcPr>
          <w:p w14:paraId="7205916F" w14:textId="77777777" w:rsidR="000F273D" w:rsidRPr="00825126" w:rsidRDefault="000F273D" w:rsidP="00825126">
            <w:pPr>
              <w:jc w:val="right"/>
              <w:rPr>
                <w:sz w:val="22"/>
                <w:szCs w:val="22"/>
              </w:rPr>
            </w:pPr>
            <w:r w:rsidRPr="00825126">
              <w:rPr>
                <w:sz w:val="22"/>
                <w:szCs w:val="22"/>
              </w:rPr>
              <w:t>12 780</w:t>
            </w:r>
          </w:p>
        </w:tc>
      </w:tr>
      <w:tr w:rsidR="000F273D" w:rsidRPr="00825126" w14:paraId="09FC2675" w14:textId="77777777" w:rsidTr="0036514D">
        <w:tc>
          <w:tcPr>
            <w:tcW w:w="6634" w:type="dxa"/>
            <w:shd w:val="clear" w:color="auto" w:fill="FFFFFF"/>
          </w:tcPr>
          <w:p w14:paraId="29FE3B01" w14:textId="77777777" w:rsidR="000F273D" w:rsidRPr="00825126" w:rsidRDefault="000F273D" w:rsidP="000F273D">
            <w:pPr>
              <w:rPr>
                <w:sz w:val="22"/>
                <w:szCs w:val="22"/>
              </w:rPr>
            </w:pPr>
            <w:bookmarkStart w:id="68" w:name="_Hlk380440747"/>
            <w:r w:rsidRPr="00825126">
              <w:rPr>
                <w:sz w:val="22"/>
                <w:szCs w:val="22"/>
              </w:rPr>
              <w:t>komunikačná infraštruktúra (kabeláž)</w:t>
            </w:r>
          </w:p>
        </w:tc>
        <w:tc>
          <w:tcPr>
            <w:tcW w:w="2438" w:type="dxa"/>
            <w:shd w:val="clear" w:color="auto" w:fill="FFFFFF"/>
          </w:tcPr>
          <w:p w14:paraId="192A61F1" w14:textId="77777777" w:rsidR="000F273D" w:rsidRPr="00825126" w:rsidRDefault="000F273D" w:rsidP="00825126">
            <w:pPr>
              <w:jc w:val="right"/>
              <w:rPr>
                <w:sz w:val="22"/>
                <w:szCs w:val="22"/>
              </w:rPr>
            </w:pPr>
            <w:r w:rsidRPr="00825126">
              <w:rPr>
                <w:sz w:val="22"/>
                <w:szCs w:val="22"/>
              </w:rPr>
              <w:t>6 873</w:t>
            </w:r>
          </w:p>
        </w:tc>
      </w:tr>
      <w:tr w:rsidR="000F273D" w:rsidRPr="00825126" w14:paraId="0A021BD8" w14:textId="77777777" w:rsidTr="0036514D">
        <w:tc>
          <w:tcPr>
            <w:tcW w:w="6634" w:type="dxa"/>
            <w:shd w:val="clear" w:color="auto" w:fill="FFFFFF"/>
          </w:tcPr>
          <w:p w14:paraId="295C0A0E" w14:textId="77777777" w:rsidR="000F273D" w:rsidRPr="00825126" w:rsidRDefault="000F273D" w:rsidP="000F273D">
            <w:pPr>
              <w:rPr>
                <w:sz w:val="22"/>
                <w:szCs w:val="22"/>
              </w:rPr>
            </w:pPr>
            <w:r w:rsidRPr="00825126">
              <w:rPr>
                <w:sz w:val="22"/>
                <w:szCs w:val="22"/>
              </w:rPr>
              <w:t>nákup SW (Administratívny IS - licencie)</w:t>
            </w:r>
          </w:p>
        </w:tc>
        <w:tc>
          <w:tcPr>
            <w:tcW w:w="2438" w:type="dxa"/>
            <w:shd w:val="clear" w:color="auto" w:fill="FFFFFF"/>
          </w:tcPr>
          <w:p w14:paraId="4AFA93BA" w14:textId="77777777" w:rsidR="000F273D" w:rsidRPr="00825126" w:rsidRDefault="000F273D" w:rsidP="00825126">
            <w:pPr>
              <w:jc w:val="right"/>
              <w:rPr>
                <w:sz w:val="22"/>
                <w:szCs w:val="22"/>
              </w:rPr>
            </w:pPr>
            <w:r w:rsidRPr="00825126">
              <w:rPr>
                <w:sz w:val="22"/>
                <w:szCs w:val="22"/>
              </w:rPr>
              <w:t>16 560</w:t>
            </w:r>
          </w:p>
        </w:tc>
      </w:tr>
      <w:tr w:rsidR="000F273D" w:rsidRPr="00825126" w14:paraId="0AE5C949" w14:textId="77777777" w:rsidTr="0036514D">
        <w:tc>
          <w:tcPr>
            <w:tcW w:w="6634" w:type="dxa"/>
            <w:shd w:val="clear" w:color="auto" w:fill="FFFFFF"/>
          </w:tcPr>
          <w:p w14:paraId="0DF2D5B5" w14:textId="77777777" w:rsidR="000F273D" w:rsidRPr="00825126" w:rsidRDefault="000F273D" w:rsidP="000F273D">
            <w:pPr>
              <w:rPr>
                <w:sz w:val="22"/>
                <w:szCs w:val="22"/>
              </w:rPr>
            </w:pPr>
            <w:r w:rsidRPr="00825126">
              <w:rPr>
                <w:sz w:val="22"/>
                <w:szCs w:val="22"/>
              </w:rPr>
              <w:t>rekonštrukcia SW (upgrade Administratívneho IS)</w:t>
            </w:r>
          </w:p>
        </w:tc>
        <w:tc>
          <w:tcPr>
            <w:tcW w:w="2438" w:type="dxa"/>
            <w:shd w:val="clear" w:color="auto" w:fill="FFFFFF"/>
          </w:tcPr>
          <w:p w14:paraId="37FD48FC" w14:textId="77777777" w:rsidR="000F273D" w:rsidRPr="00825126" w:rsidRDefault="000F273D" w:rsidP="00825126">
            <w:pPr>
              <w:jc w:val="right"/>
              <w:rPr>
                <w:sz w:val="22"/>
                <w:szCs w:val="22"/>
              </w:rPr>
            </w:pPr>
            <w:r w:rsidRPr="00825126">
              <w:rPr>
                <w:sz w:val="22"/>
                <w:szCs w:val="22"/>
              </w:rPr>
              <w:t>11 760</w:t>
            </w:r>
          </w:p>
        </w:tc>
      </w:tr>
      <w:bookmarkEnd w:id="68"/>
      <w:tr w:rsidR="000F273D" w:rsidRPr="00B95EF9" w14:paraId="0EF8B915" w14:textId="77777777" w:rsidTr="0036514D">
        <w:trPr>
          <w:trHeight w:val="202"/>
        </w:trPr>
        <w:tc>
          <w:tcPr>
            <w:tcW w:w="6634" w:type="dxa"/>
            <w:shd w:val="clear" w:color="auto" w:fill="FFFFFF" w:themeFill="background1"/>
          </w:tcPr>
          <w:p w14:paraId="2C67B1EA" w14:textId="77777777" w:rsidR="000F273D" w:rsidRPr="00B95EF9" w:rsidRDefault="000F273D" w:rsidP="000F273D">
            <w:pPr>
              <w:rPr>
                <w:b/>
                <w:bCs/>
                <w:sz w:val="22"/>
                <w:szCs w:val="22"/>
              </w:rPr>
            </w:pPr>
            <w:r w:rsidRPr="00B95EF9">
              <w:rPr>
                <w:b/>
                <w:bCs/>
                <w:sz w:val="22"/>
                <w:szCs w:val="22"/>
              </w:rPr>
              <w:t>Spolu</w:t>
            </w:r>
          </w:p>
        </w:tc>
        <w:tc>
          <w:tcPr>
            <w:tcW w:w="2438" w:type="dxa"/>
            <w:shd w:val="clear" w:color="auto" w:fill="FFFFFF" w:themeFill="background1"/>
          </w:tcPr>
          <w:p w14:paraId="212120EC" w14:textId="77777777" w:rsidR="000F273D" w:rsidRPr="00B95EF9" w:rsidRDefault="000F273D" w:rsidP="0008096D">
            <w:pPr>
              <w:jc w:val="right"/>
              <w:rPr>
                <w:b/>
                <w:bCs/>
                <w:sz w:val="22"/>
                <w:szCs w:val="22"/>
              </w:rPr>
            </w:pPr>
            <w:r w:rsidRPr="00B95EF9">
              <w:rPr>
                <w:b/>
                <w:bCs/>
                <w:sz w:val="22"/>
                <w:szCs w:val="22"/>
              </w:rPr>
              <w:t>84 805</w:t>
            </w:r>
          </w:p>
        </w:tc>
      </w:tr>
    </w:tbl>
    <w:p w14:paraId="76E108B5" w14:textId="77777777" w:rsidR="000F273D" w:rsidRPr="000F273D" w:rsidRDefault="000F273D" w:rsidP="000F273D">
      <w:pPr>
        <w:jc w:val="both"/>
        <w:rPr>
          <w:b/>
          <w:i/>
          <w:szCs w:val="18"/>
        </w:rPr>
      </w:pPr>
    </w:p>
    <w:p w14:paraId="3217FCCB" w14:textId="30C183DD" w:rsidR="000F273D" w:rsidRDefault="000F273D" w:rsidP="000F273D">
      <w:pPr>
        <w:jc w:val="both"/>
        <w:rPr>
          <w:szCs w:val="18"/>
        </w:rPr>
      </w:pPr>
      <w:r w:rsidRPr="000F273D">
        <w:rPr>
          <w:szCs w:val="18"/>
        </w:rPr>
        <w:t>ÚJD SR v roku 2023 čerpal aj nenávratný finančný príspevok (zdroje - Európskeho fondu regionálneho rozvoja) na finančné zabezpečenie projektu č. 311071AHX1 Ú</w:t>
      </w:r>
      <w:r w:rsidR="001E3E47">
        <w:rPr>
          <w:szCs w:val="18"/>
        </w:rPr>
        <w:t>JD SR</w:t>
      </w:r>
      <w:r w:rsidRPr="000F273D">
        <w:rPr>
          <w:szCs w:val="18"/>
        </w:rPr>
        <w:t xml:space="preserve"> „Zvýšenie úrovne informačnej a kybernetickej bezpečnosti ÚJD SR“ v celkovej sume 1 908 144 eur, ktoré predstavovali kapitálové výdavky a boli čerpané na nákup SW v sume 1 092 049 eur a nákup HW (prvky komunikačnej infraštruktúry) v sume 816 095 eur.</w:t>
      </w:r>
    </w:p>
    <w:p w14:paraId="0AEC7B59" w14:textId="77777777" w:rsidR="00B6369C" w:rsidRPr="000F273D" w:rsidRDefault="00B6369C" w:rsidP="000F273D">
      <w:pPr>
        <w:jc w:val="both"/>
        <w:rPr>
          <w:szCs w:val="18"/>
        </w:rPr>
      </w:pPr>
    </w:p>
    <w:p w14:paraId="5D49C718" w14:textId="77777777" w:rsidR="000F273D" w:rsidRPr="000F273D" w:rsidRDefault="000F273D" w:rsidP="000F273D">
      <w:pPr>
        <w:jc w:val="both"/>
        <w:rPr>
          <w:szCs w:val="18"/>
        </w:rPr>
      </w:pPr>
    </w:p>
    <w:p w14:paraId="7267CB44" w14:textId="2A663240" w:rsidR="000F273D" w:rsidRPr="0036514D" w:rsidRDefault="000F273D" w:rsidP="00D04D3E">
      <w:pPr>
        <w:jc w:val="both"/>
        <w:rPr>
          <w:sz w:val="22"/>
          <w:szCs w:val="22"/>
        </w:rPr>
      </w:pPr>
      <w:r w:rsidRPr="0036514D">
        <w:rPr>
          <w:sz w:val="22"/>
          <w:szCs w:val="22"/>
        </w:rPr>
        <w:lastRenderedPageBreak/>
        <w:t xml:space="preserve">Tab. </w:t>
      </w:r>
      <w:r w:rsidR="002A1E40" w:rsidRPr="0036514D">
        <w:rPr>
          <w:sz w:val="22"/>
          <w:szCs w:val="22"/>
        </w:rPr>
        <w:t>11</w:t>
      </w:r>
      <w:r w:rsidRPr="0036514D">
        <w:rPr>
          <w:sz w:val="22"/>
          <w:szCs w:val="22"/>
        </w:rPr>
        <w:t xml:space="preserve"> Čerpanie KV v roku 2023 (výdavkový účet 2 – nenávratný finančný príspevok)</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2376"/>
      </w:tblGrid>
      <w:tr w:rsidR="000F273D" w:rsidRPr="000F273D" w14:paraId="6AB8DC5E" w14:textId="77777777" w:rsidTr="00321B2C">
        <w:trPr>
          <w:trHeight w:val="296"/>
        </w:trPr>
        <w:tc>
          <w:tcPr>
            <w:tcW w:w="6634" w:type="dxa"/>
            <w:shd w:val="clear" w:color="auto" w:fill="D9D9D9" w:themeFill="background1" w:themeFillShade="D9"/>
          </w:tcPr>
          <w:p w14:paraId="12EDF0F5" w14:textId="77777777" w:rsidR="000F273D" w:rsidRPr="006F17C5" w:rsidRDefault="000F273D" w:rsidP="000F273D">
            <w:pPr>
              <w:jc w:val="center"/>
              <w:rPr>
                <w:b/>
                <w:sz w:val="22"/>
                <w:szCs w:val="22"/>
              </w:rPr>
            </w:pPr>
            <w:r w:rsidRPr="006F17C5">
              <w:rPr>
                <w:b/>
                <w:sz w:val="22"/>
                <w:szCs w:val="22"/>
              </w:rPr>
              <w:t>Položka</w:t>
            </w:r>
          </w:p>
        </w:tc>
        <w:tc>
          <w:tcPr>
            <w:tcW w:w="2376" w:type="dxa"/>
            <w:shd w:val="clear" w:color="auto" w:fill="D9D9D9" w:themeFill="background1" w:themeFillShade="D9"/>
          </w:tcPr>
          <w:p w14:paraId="4D41A738" w14:textId="77777777" w:rsidR="000F273D" w:rsidRPr="006F17C5" w:rsidRDefault="000F273D" w:rsidP="000F273D">
            <w:pPr>
              <w:ind w:left="-1667"/>
              <w:jc w:val="right"/>
              <w:rPr>
                <w:b/>
                <w:sz w:val="22"/>
                <w:szCs w:val="22"/>
              </w:rPr>
            </w:pPr>
            <w:r w:rsidRPr="006F17C5">
              <w:rPr>
                <w:b/>
                <w:sz w:val="22"/>
                <w:szCs w:val="22"/>
              </w:rPr>
              <w:t>Suma (v eurách)</w:t>
            </w:r>
          </w:p>
        </w:tc>
      </w:tr>
      <w:tr w:rsidR="000F273D" w:rsidRPr="00825126" w14:paraId="13B9EED9" w14:textId="77777777" w:rsidTr="00321B2C">
        <w:tc>
          <w:tcPr>
            <w:tcW w:w="6634" w:type="dxa"/>
            <w:shd w:val="clear" w:color="auto" w:fill="FFFFFF"/>
          </w:tcPr>
          <w:p w14:paraId="50EAF7DC" w14:textId="77777777" w:rsidR="000F273D" w:rsidRPr="00825126" w:rsidRDefault="000F273D" w:rsidP="000F273D">
            <w:pPr>
              <w:rPr>
                <w:sz w:val="22"/>
                <w:szCs w:val="22"/>
              </w:rPr>
            </w:pPr>
            <w:r w:rsidRPr="00825126">
              <w:rPr>
                <w:sz w:val="22"/>
                <w:szCs w:val="22"/>
              </w:rPr>
              <w:t>nákup SW (projekt OPII)</w:t>
            </w:r>
          </w:p>
        </w:tc>
        <w:tc>
          <w:tcPr>
            <w:tcW w:w="2376" w:type="dxa"/>
            <w:shd w:val="clear" w:color="auto" w:fill="FFFFFF"/>
          </w:tcPr>
          <w:p w14:paraId="61339A79" w14:textId="77777777" w:rsidR="000F273D" w:rsidRPr="00825126" w:rsidRDefault="000F273D" w:rsidP="00825126">
            <w:pPr>
              <w:jc w:val="right"/>
              <w:rPr>
                <w:sz w:val="22"/>
                <w:szCs w:val="22"/>
              </w:rPr>
            </w:pPr>
            <w:r w:rsidRPr="00825126">
              <w:rPr>
                <w:sz w:val="22"/>
                <w:szCs w:val="22"/>
              </w:rPr>
              <w:t>1 092 049</w:t>
            </w:r>
          </w:p>
        </w:tc>
      </w:tr>
      <w:tr w:rsidR="000F273D" w:rsidRPr="00825126" w14:paraId="37E6A36D" w14:textId="77777777" w:rsidTr="00321B2C">
        <w:tc>
          <w:tcPr>
            <w:tcW w:w="6634" w:type="dxa"/>
            <w:shd w:val="clear" w:color="auto" w:fill="FFFFFF"/>
          </w:tcPr>
          <w:p w14:paraId="5F0CBAF8" w14:textId="77777777" w:rsidR="000F273D" w:rsidRPr="00825126" w:rsidRDefault="000F273D" w:rsidP="000F273D">
            <w:pPr>
              <w:rPr>
                <w:sz w:val="22"/>
                <w:szCs w:val="22"/>
              </w:rPr>
            </w:pPr>
            <w:r w:rsidRPr="00825126">
              <w:rPr>
                <w:sz w:val="22"/>
                <w:szCs w:val="22"/>
              </w:rPr>
              <w:t>nákup HW (prvky komunikačnej infraštruktúry projekt OPII)</w:t>
            </w:r>
          </w:p>
        </w:tc>
        <w:tc>
          <w:tcPr>
            <w:tcW w:w="2376" w:type="dxa"/>
            <w:shd w:val="clear" w:color="auto" w:fill="FFFFFF"/>
          </w:tcPr>
          <w:p w14:paraId="066DA885" w14:textId="77777777" w:rsidR="000F273D" w:rsidRPr="00825126" w:rsidRDefault="000F273D" w:rsidP="00825126">
            <w:pPr>
              <w:jc w:val="right"/>
              <w:rPr>
                <w:sz w:val="22"/>
                <w:szCs w:val="22"/>
              </w:rPr>
            </w:pPr>
            <w:r w:rsidRPr="00825126">
              <w:rPr>
                <w:sz w:val="22"/>
                <w:szCs w:val="22"/>
              </w:rPr>
              <w:t>816 095</w:t>
            </w:r>
          </w:p>
        </w:tc>
      </w:tr>
      <w:tr w:rsidR="000F273D" w:rsidRPr="00B95EF9" w14:paraId="004F8356" w14:textId="77777777" w:rsidTr="00321B2C">
        <w:trPr>
          <w:trHeight w:val="298"/>
        </w:trPr>
        <w:tc>
          <w:tcPr>
            <w:tcW w:w="6634" w:type="dxa"/>
            <w:shd w:val="clear" w:color="auto" w:fill="FFFFFF" w:themeFill="background1"/>
          </w:tcPr>
          <w:p w14:paraId="26184D6A" w14:textId="77777777" w:rsidR="000F273D" w:rsidRPr="00B95EF9" w:rsidRDefault="000F273D" w:rsidP="000F273D">
            <w:pPr>
              <w:rPr>
                <w:b/>
                <w:bCs/>
                <w:sz w:val="22"/>
                <w:szCs w:val="22"/>
              </w:rPr>
            </w:pPr>
            <w:r w:rsidRPr="00B95EF9">
              <w:rPr>
                <w:b/>
                <w:bCs/>
                <w:sz w:val="22"/>
                <w:szCs w:val="22"/>
              </w:rPr>
              <w:t>Spolu</w:t>
            </w:r>
          </w:p>
        </w:tc>
        <w:tc>
          <w:tcPr>
            <w:tcW w:w="2376" w:type="dxa"/>
            <w:shd w:val="clear" w:color="auto" w:fill="FFFFFF" w:themeFill="background1"/>
          </w:tcPr>
          <w:p w14:paraId="0D5E938F" w14:textId="77777777" w:rsidR="000F273D" w:rsidRPr="00B95EF9" w:rsidRDefault="000F273D" w:rsidP="00B95EF9">
            <w:pPr>
              <w:jc w:val="right"/>
              <w:rPr>
                <w:b/>
                <w:bCs/>
                <w:sz w:val="22"/>
                <w:szCs w:val="22"/>
              </w:rPr>
            </w:pPr>
            <w:r w:rsidRPr="00B95EF9">
              <w:rPr>
                <w:b/>
                <w:bCs/>
                <w:sz w:val="22"/>
                <w:szCs w:val="22"/>
              </w:rPr>
              <w:t>1 908 144</w:t>
            </w:r>
          </w:p>
        </w:tc>
      </w:tr>
    </w:tbl>
    <w:p w14:paraId="056E1811" w14:textId="77777777" w:rsidR="000F273D" w:rsidRPr="000F273D" w:rsidRDefault="000F273D" w:rsidP="000F273D">
      <w:pPr>
        <w:jc w:val="both"/>
        <w:rPr>
          <w:szCs w:val="18"/>
        </w:rPr>
      </w:pPr>
    </w:p>
    <w:p w14:paraId="1CB4B2E6" w14:textId="77777777" w:rsidR="000F273D" w:rsidRPr="000F273D" w:rsidRDefault="000F273D" w:rsidP="000F273D">
      <w:pPr>
        <w:jc w:val="both"/>
        <w:rPr>
          <w:szCs w:val="18"/>
        </w:rPr>
      </w:pPr>
      <w:r w:rsidRPr="000F273D">
        <w:rPr>
          <w:b/>
          <w:i/>
          <w:szCs w:val="18"/>
        </w:rPr>
        <w:t>Rozpočtové prostriedky zo samostatného účtu Dary a granty</w:t>
      </w:r>
    </w:p>
    <w:p w14:paraId="5B3FE13E" w14:textId="77777777" w:rsidR="000F273D" w:rsidRPr="000F273D" w:rsidRDefault="000F273D" w:rsidP="000F273D">
      <w:pPr>
        <w:spacing w:before="240"/>
        <w:jc w:val="both"/>
        <w:rPr>
          <w:szCs w:val="18"/>
        </w:rPr>
      </w:pPr>
      <w:r w:rsidRPr="000F273D">
        <w:rPr>
          <w:szCs w:val="18"/>
        </w:rPr>
        <w:t>Čerpania výdavkov zo samostatného účtu Dary a granty v roku 2023 dosiahlo sumu 88 077 eur. Čerpané prostriedky zahraničných grantov tvorili prostriedky získané od CTBTO - finančný príspevok v sume 88 077 eur určený pre organizačné zabezpečenie cvičenia RIC-25.</w:t>
      </w:r>
    </w:p>
    <w:p w14:paraId="3CB0F080" w14:textId="77777777" w:rsidR="000F273D" w:rsidRPr="000F273D" w:rsidRDefault="000F273D" w:rsidP="000F273D">
      <w:pPr>
        <w:jc w:val="both"/>
        <w:rPr>
          <w:szCs w:val="18"/>
        </w:rPr>
      </w:pPr>
    </w:p>
    <w:p w14:paraId="6B072455" w14:textId="312DAB3A" w:rsidR="000F273D" w:rsidRPr="0036514D" w:rsidRDefault="000F273D" w:rsidP="00D04D3E">
      <w:pPr>
        <w:jc w:val="both"/>
        <w:rPr>
          <w:sz w:val="22"/>
          <w:szCs w:val="22"/>
        </w:rPr>
      </w:pPr>
      <w:r w:rsidRPr="0036514D">
        <w:rPr>
          <w:sz w:val="22"/>
          <w:szCs w:val="22"/>
        </w:rPr>
        <w:t xml:space="preserve">Tab. </w:t>
      </w:r>
      <w:r w:rsidR="002A1E40" w:rsidRPr="0036514D">
        <w:rPr>
          <w:sz w:val="22"/>
          <w:szCs w:val="22"/>
        </w:rPr>
        <w:t>12</w:t>
      </w:r>
      <w:r w:rsidRPr="0036514D">
        <w:rPr>
          <w:sz w:val="22"/>
          <w:szCs w:val="22"/>
        </w:rPr>
        <w:t xml:space="preserve"> Čerpanie finančných prostriedkov v roku 2023 (v eurác</w:t>
      </w:r>
      <w:r w:rsidR="00D04D3E" w:rsidRPr="0036514D">
        <w:rPr>
          <w:sz w:val="22"/>
          <w:szCs w:val="22"/>
        </w:rPr>
        <w:t>h)</w:t>
      </w:r>
    </w:p>
    <w:tbl>
      <w:tblPr>
        <w:tblW w:w="494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848"/>
        <w:gridCol w:w="1705"/>
        <w:gridCol w:w="1701"/>
        <w:gridCol w:w="1690"/>
      </w:tblGrid>
      <w:tr w:rsidR="000F273D" w:rsidRPr="000F273D" w14:paraId="3BB36F08" w14:textId="77777777" w:rsidTr="00321B2C">
        <w:trPr>
          <w:trHeight w:val="396"/>
        </w:trPr>
        <w:tc>
          <w:tcPr>
            <w:tcW w:w="1122" w:type="pct"/>
            <w:shd w:val="clear" w:color="auto" w:fill="D9D9D9" w:themeFill="background1" w:themeFillShade="D9"/>
          </w:tcPr>
          <w:p w14:paraId="0C09B5D0" w14:textId="77777777" w:rsidR="000F273D" w:rsidRPr="006F17C5" w:rsidRDefault="000F273D" w:rsidP="000F273D">
            <w:pPr>
              <w:jc w:val="both"/>
              <w:rPr>
                <w:sz w:val="22"/>
                <w:szCs w:val="22"/>
              </w:rPr>
            </w:pPr>
            <w:bookmarkStart w:id="69" w:name="OLE_LINK41"/>
            <w:bookmarkStart w:id="70" w:name="OLE_LINK42"/>
            <w:bookmarkStart w:id="71" w:name="OLE_LINK43"/>
          </w:p>
        </w:tc>
        <w:tc>
          <w:tcPr>
            <w:tcW w:w="1032" w:type="pct"/>
            <w:shd w:val="clear" w:color="auto" w:fill="D9D9D9" w:themeFill="background1" w:themeFillShade="D9"/>
            <w:vAlign w:val="center"/>
          </w:tcPr>
          <w:p w14:paraId="6B909373" w14:textId="77777777" w:rsidR="000F273D" w:rsidRPr="006F17C5" w:rsidRDefault="000F273D" w:rsidP="000F273D">
            <w:pPr>
              <w:jc w:val="center"/>
              <w:rPr>
                <w:b/>
                <w:sz w:val="22"/>
                <w:szCs w:val="22"/>
              </w:rPr>
            </w:pPr>
            <w:r w:rsidRPr="006F17C5">
              <w:rPr>
                <w:b/>
                <w:sz w:val="22"/>
                <w:szCs w:val="22"/>
              </w:rPr>
              <w:t xml:space="preserve">Výdavkový </w:t>
            </w:r>
          </w:p>
          <w:p w14:paraId="24758709" w14:textId="77777777" w:rsidR="000F273D" w:rsidRPr="006F17C5" w:rsidRDefault="000F273D" w:rsidP="000F273D">
            <w:pPr>
              <w:jc w:val="center"/>
              <w:rPr>
                <w:b/>
                <w:sz w:val="22"/>
                <w:szCs w:val="22"/>
              </w:rPr>
            </w:pPr>
            <w:r w:rsidRPr="006F17C5">
              <w:rPr>
                <w:b/>
                <w:sz w:val="22"/>
                <w:szCs w:val="22"/>
              </w:rPr>
              <w:t>účet 1 (prostriedky ŠR)</w:t>
            </w:r>
          </w:p>
        </w:tc>
        <w:tc>
          <w:tcPr>
            <w:tcW w:w="952" w:type="pct"/>
            <w:shd w:val="clear" w:color="auto" w:fill="D9D9D9" w:themeFill="background1" w:themeFillShade="D9"/>
          </w:tcPr>
          <w:p w14:paraId="4BCA193E" w14:textId="77777777" w:rsidR="000F273D" w:rsidRPr="006F17C5" w:rsidRDefault="000F273D" w:rsidP="000F273D">
            <w:pPr>
              <w:jc w:val="center"/>
              <w:rPr>
                <w:b/>
                <w:sz w:val="22"/>
                <w:szCs w:val="22"/>
              </w:rPr>
            </w:pPr>
            <w:r w:rsidRPr="006F17C5">
              <w:rPr>
                <w:b/>
                <w:sz w:val="22"/>
                <w:szCs w:val="22"/>
              </w:rPr>
              <w:t>Výdavkový</w:t>
            </w:r>
          </w:p>
          <w:p w14:paraId="23374979" w14:textId="77777777" w:rsidR="000F273D" w:rsidRPr="006F17C5" w:rsidRDefault="000F273D" w:rsidP="000F273D">
            <w:pPr>
              <w:jc w:val="center"/>
              <w:rPr>
                <w:b/>
                <w:sz w:val="22"/>
                <w:szCs w:val="22"/>
              </w:rPr>
            </w:pPr>
            <w:r w:rsidRPr="006F17C5">
              <w:rPr>
                <w:b/>
                <w:sz w:val="22"/>
                <w:szCs w:val="22"/>
              </w:rPr>
              <w:t xml:space="preserve"> účet 2 </w:t>
            </w:r>
          </w:p>
          <w:p w14:paraId="1B0A7AA8" w14:textId="77777777" w:rsidR="000F273D" w:rsidRPr="006F17C5" w:rsidRDefault="000F273D" w:rsidP="000F273D">
            <w:pPr>
              <w:jc w:val="center"/>
              <w:rPr>
                <w:b/>
                <w:sz w:val="22"/>
                <w:szCs w:val="22"/>
              </w:rPr>
            </w:pPr>
            <w:r w:rsidRPr="006F17C5">
              <w:rPr>
                <w:b/>
                <w:sz w:val="22"/>
                <w:szCs w:val="22"/>
              </w:rPr>
              <w:t>(EÚ zdroje)</w:t>
            </w:r>
          </w:p>
        </w:tc>
        <w:tc>
          <w:tcPr>
            <w:tcW w:w="950" w:type="pct"/>
            <w:shd w:val="clear" w:color="auto" w:fill="D9D9D9" w:themeFill="background1" w:themeFillShade="D9"/>
            <w:vAlign w:val="center"/>
          </w:tcPr>
          <w:p w14:paraId="7C102E62" w14:textId="77777777" w:rsidR="000F273D" w:rsidRPr="006F17C5" w:rsidRDefault="000F273D" w:rsidP="000F273D">
            <w:pPr>
              <w:jc w:val="center"/>
              <w:rPr>
                <w:b/>
                <w:sz w:val="22"/>
                <w:szCs w:val="22"/>
              </w:rPr>
            </w:pPr>
            <w:r w:rsidRPr="006F17C5">
              <w:rPr>
                <w:b/>
                <w:sz w:val="22"/>
                <w:szCs w:val="22"/>
              </w:rPr>
              <w:t>Účet Dary a granty</w:t>
            </w:r>
          </w:p>
        </w:tc>
        <w:tc>
          <w:tcPr>
            <w:tcW w:w="944" w:type="pct"/>
            <w:shd w:val="clear" w:color="auto" w:fill="D9D9D9" w:themeFill="background1" w:themeFillShade="D9"/>
            <w:vAlign w:val="center"/>
          </w:tcPr>
          <w:p w14:paraId="13D05E04" w14:textId="77777777" w:rsidR="000F273D" w:rsidRPr="006F17C5" w:rsidRDefault="000F273D" w:rsidP="000F273D">
            <w:pPr>
              <w:jc w:val="center"/>
              <w:rPr>
                <w:b/>
                <w:sz w:val="22"/>
                <w:szCs w:val="22"/>
              </w:rPr>
            </w:pPr>
            <w:r w:rsidRPr="006F17C5">
              <w:rPr>
                <w:b/>
                <w:sz w:val="22"/>
                <w:szCs w:val="22"/>
              </w:rPr>
              <w:t>Spolu</w:t>
            </w:r>
          </w:p>
        </w:tc>
      </w:tr>
      <w:tr w:rsidR="000F273D" w:rsidRPr="00A803EA" w14:paraId="2E75E9A9" w14:textId="77777777" w:rsidTr="00321B2C">
        <w:trPr>
          <w:trHeight w:val="248"/>
        </w:trPr>
        <w:tc>
          <w:tcPr>
            <w:tcW w:w="1122" w:type="pct"/>
            <w:vAlign w:val="center"/>
          </w:tcPr>
          <w:p w14:paraId="6DB76CDB" w14:textId="77777777" w:rsidR="000F273D" w:rsidRPr="00A803EA" w:rsidRDefault="000F273D" w:rsidP="000F273D">
            <w:pPr>
              <w:rPr>
                <w:sz w:val="22"/>
                <w:szCs w:val="22"/>
              </w:rPr>
            </w:pPr>
            <w:bookmarkStart w:id="72" w:name="_Hlk380441021"/>
            <w:bookmarkStart w:id="73" w:name="_Hlk380441059"/>
            <w:r w:rsidRPr="00A803EA">
              <w:rPr>
                <w:sz w:val="22"/>
                <w:szCs w:val="22"/>
              </w:rPr>
              <w:t>Bežné výdavky</w:t>
            </w:r>
          </w:p>
        </w:tc>
        <w:tc>
          <w:tcPr>
            <w:tcW w:w="1032" w:type="pct"/>
            <w:vAlign w:val="center"/>
          </w:tcPr>
          <w:p w14:paraId="30D7FD6E" w14:textId="36F50D94" w:rsidR="000F273D" w:rsidRPr="005829DC" w:rsidRDefault="000F273D" w:rsidP="006F17C5">
            <w:pPr>
              <w:jc w:val="right"/>
              <w:rPr>
                <w:sz w:val="22"/>
                <w:szCs w:val="22"/>
              </w:rPr>
            </w:pPr>
            <w:r w:rsidRPr="005829DC">
              <w:rPr>
                <w:sz w:val="22"/>
                <w:szCs w:val="22"/>
              </w:rPr>
              <w:t>10 3</w:t>
            </w:r>
            <w:r w:rsidR="0019625F" w:rsidRPr="005829DC">
              <w:rPr>
                <w:sz w:val="22"/>
                <w:szCs w:val="22"/>
              </w:rPr>
              <w:t>08</w:t>
            </w:r>
            <w:r w:rsidRPr="005829DC">
              <w:rPr>
                <w:sz w:val="22"/>
                <w:szCs w:val="22"/>
              </w:rPr>
              <w:t xml:space="preserve"> </w:t>
            </w:r>
            <w:r w:rsidR="0019625F" w:rsidRPr="005829DC">
              <w:rPr>
                <w:sz w:val="22"/>
                <w:szCs w:val="22"/>
              </w:rPr>
              <w:t>865</w:t>
            </w:r>
          </w:p>
        </w:tc>
        <w:tc>
          <w:tcPr>
            <w:tcW w:w="952" w:type="pct"/>
            <w:vAlign w:val="center"/>
          </w:tcPr>
          <w:p w14:paraId="69221FC7" w14:textId="77777777" w:rsidR="000F273D" w:rsidRPr="005829DC" w:rsidRDefault="000F273D" w:rsidP="006F17C5">
            <w:pPr>
              <w:jc w:val="right"/>
              <w:rPr>
                <w:sz w:val="22"/>
                <w:szCs w:val="22"/>
              </w:rPr>
            </w:pPr>
            <w:r w:rsidRPr="005829DC">
              <w:rPr>
                <w:sz w:val="22"/>
                <w:szCs w:val="22"/>
              </w:rPr>
              <w:t>0</w:t>
            </w:r>
          </w:p>
        </w:tc>
        <w:tc>
          <w:tcPr>
            <w:tcW w:w="950" w:type="pct"/>
            <w:vAlign w:val="center"/>
          </w:tcPr>
          <w:p w14:paraId="5D2A05AF" w14:textId="77777777" w:rsidR="000F273D" w:rsidRPr="005829DC" w:rsidRDefault="000F273D" w:rsidP="006F17C5">
            <w:pPr>
              <w:jc w:val="right"/>
              <w:rPr>
                <w:sz w:val="22"/>
                <w:szCs w:val="22"/>
              </w:rPr>
            </w:pPr>
            <w:r w:rsidRPr="005829DC">
              <w:rPr>
                <w:sz w:val="22"/>
                <w:szCs w:val="22"/>
              </w:rPr>
              <w:t>88 077</w:t>
            </w:r>
          </w:p>
        </w:tc>
        <w:tc>
          <w:tcPr>
            <w:tcW w:w="944" w:type="pct"/>
            <w:vAlign w:val="center"/>
          </w:tcPr>
          <w:p w14:paraId="3028F619" w14:textId="6D3A048F" w:rsidR="000F273D" w:rsidRPr="005829DC" w:rsidRDefault="000F273D" w:rsidP="006F17C5">
            <w:pPr>
              <w:jc w:val="right"/>
              <w:rPr>
                <w:sz w:val="22"/>
                <w:szCs w:val="22"/>
              </w:rPr>
            </w:pPr>
            <w:r w:rsidRPr="005829DC">
              <w:rPr>
                <w:sz w:val="22"/>
                <w:szCs w:val="22"/>
              </w:rPr>
              <w:t>10 </w:t>
            </w:r>
            <w:r w:rsidR="0019625F" w:rsidRPr="005829DC">
              <w:rPr>
                <w:sz w:val="22"/>
                <w:szCs w:val="22"/>
              </w:rPr>
              <w:t>396</w:t>
            </w:r>
            <w:r w:rsidRPr="005829DC">
              <w:rPr>
                <w:sz w:val="22"/>
                <w:szCs w:val="22"/>
              </w:rPr>
              <w:t> </w:t>
            </w:r>
            <w:r w:rsidR="0019625F" w:rsidRPr="005829DC">
              <w:rPr>
                <w:sz w:val="22"/>
                <w:szCs w:val="22"/>
              </w:rPr>
              <w:t>942</w:t>
            </w:r>
          </w:p>
        </w:tc>
      </w:tr>
      <w:bookmarkEnd w:id="72"/>
      <w:tr w:rsidR="000F273D" w:rsidRPr="00A803EA" w14:paraId="3B8173D8" w14:textId="77777777" w:rsidTr="00321B2C">
        <w:trPr>
          <w:trHeight w:val="84"/>
        </w:trPr>
        <w:tc>
          <w:tcPr>
            <w:tcW w:w="1122" w:type="pct"/>
            <w:vAlign w:val="center"/>
          </w:tcPr>
          <w:p w14:paraId="7C91C44B" w14:textId="77777777" w:rsidR="000F273D" w:rsidRPr="00A803EA" w:rsidRDefault="000F273D" w:rsidP="000F273D">
            <w:pPr>
              <w:rPr>
                <w:sz w:val="22"/>
                <w:szCs w:val="22"/>
              </w:rPr>
            </w:pPr>
            <w:r w:rsidRPr="00A803EA">
              <w:rPr>
                <w:sz w:val="22"/>
                <w:szCs w:val="22"/>
              </w:rPr>
              <w:t>Kapitálové výdavky</w:t>
            </w:r>
          </w:p>
        </w:tc>
        <w:tc>
          <w:tcPr>
            <w:tcW w:w="1032" w:type="pct"/>
            <w:vAlign w:val="center"/>
          </w:tcPr>
          <w:p w14:paraId="7F247185" w14:textId="77777777" w:rsidR="000F273D" w:rsidRPr="005829DC" w:rsidRDefault="000F273D" w:rsidP="00A803EA">
            <w:pPr>
              <w:jc w:val="right"/>
              <w:rPr>
                <w:sz w:val="22"/>
                <w:szCs w:val="22"/>
              </w:rPr>
            </w:pPr>
            <w:r w:rsidRPr="005829DC">
              <w:rPr>
                <w:sz w:val="22"/>
                <w:szCs w:val="22"/>
              </w:rPr>
              <w:t xml:space="preserve">   84 805</w:t>
            </w:r>
          </w:p>
        </w:tc>
        <w:tc>
          <w:tcPr>
            <w:tcW w:w="952" w:type="pct"/>
            <w:vAlign w:val="center"/>
          </w:tcPr>
          <w:p w14:paraId="3423FA52" w14:textId="77777777" w:rsidR="000F273D" w:rsidRPr="005829DC" w:rsidRDefault="000F273D" w:rsidP="00A803EA">
            <w:pPr>
              <w:jc w:val="right"/>
              <w:rPr>
                <w:sz w:val="22"/>
                <w:szCs w:val="22"/>
              </w:rPr>
            </w:pPr>
            <w:r w:rsidRPr="005829DC">
              <w:rPr>
                <w:sz w:val="22"/>
                <w:szCs w:val="22"/>
              </w:rPr>
              <w:t>1 908 144</w:t>
            </w:r>
          </w:p>
        </w:tc>
        <w:tc>
          <w:tcPr>
            <w:tcW w:w="950" w:type="pct"/>
            <w:vAlign w:val="center"/>
          </w:tcPr>
          <w:p w14:paraId="6346F121" w14:textId="77777777" w:rsidR="000F273D" w:rsidRPr="005829DC" w:rsidRDefault="000F273D" w:rsidP="00A803EA">
            <w:pPr>
              <w:jc w:val="right"/>
              <w:rPr>
                <w:sz w:val="22"/>
                <w:szCs w:val="22"/>
              </w:rPr>
            </w:pPr>
            <w:r w:rsidRPr="005829DC">
              <w:rPr>
                <w:sz w:val="22"/>
                <w:szCs w:val="22"/>
              </w:rPr>
              <w:t>-</w:t>
            </w:r>
          </w:p>
        </w:tc>
        <w:tc>
          <w:tcPr>
            <w:tcW w:w="944" w:type="pct"/>
            <w:vAlign w:val="center"/>
          </w:tcPr>
          <w:p w14:paraId="339D7AEC" w14:textId="77777777" w:rsidR="000F273D" w:rsidRPr="005829DC" w:rsidRDefault="000F273D" w:rsidP="00A803EA">
            <w:pPr>
              <w:jc w:val="right"/>
              <w:rPr>
                <w:sz w:val="22"/>
                <w:szCs w:val="22"/>
              </w:rPr>
            </w:pPr>
            <w:r w:rsidRPr="005829DC">
              <w:rPr>
                <w:sz w:val="22"/>
                <w:szCs w:val="22"/>
              </w:rPr>
              <w:t>1 992 949</w:t>
            </w:r>
          </w:p>
        </w:tc>
      </w:tr>
      <w:bookmarkEnd w:id="73"/>
      <w:tr w:rsidR="000F273D" w:rsidRPr="00B95EF9" w14:paraId="6E6A8B02" w14:textId="77777777" w:rsidTr="00321B2C">
        <w:trPr>
          <w:trHeight w:val="270"/>
        </w:trPr>
        <w:tc>
          <w:tcPr>
            <w:tcW w:w="1122" w:type="pct"/>
            <w:shd w:val="clear" w:color="auto" w:fill="FFFFFF" w:themeFill="background1"/>
            <w:vAlign w:val="center"/>
          </w:tcPr>
          <w:p w14:paraId="70460393" w14:textId="77777777" w:rsidR="000F273D" w:rsidRPr="00B95EF9" w:rsidRDefault="000F273D" w:rsidP="00B95EF9">
            <w:pPr>
              <w:rPr>
                <w:b/>
                <w:bCs/>
                <w:sz w:val="22"/>
                <w:szCs w:val="22"/>
              </w:rPr>
            </w:pPr>
            <w:r w:rsidRPr="00B95EF9">
              <w:rPr>
                <w:b/>
                <w:bCs/>
                <w:sz w:val="22"/>
                <w:szCs w:val="22"/>
              </w:rPr>
              <w:t>Výdavky spolu</w:t>
            </w:r>
          </w:p>
        </w:tc>
        <w:tc>
          <w:tcPr>
            <w:tcW w:w="1032" w:type="pct"/>
            <w:shd w:val="clear" w:color="auto" w:fill="FFFFFF" w:themeFill="background1"/>
            <w:vAlign w:val="bottom"/>
          </w:tcPr>
          <w:p w14:paraId="49042400" w14:textId="7C34DE1B" w:rsidR="000F273D" w:rsidRPr="005829DC" w:rsidRDefault="000F273D" w:rsidP="00B95EF9">
            <w:pPr>
              <w:jc w:val="right"/>
              <w:rPr>
                <w:b/>
                <w:bCs/>
                <w:sz w:val="22"/>
                <w:szCs w:val="22"/>
              </w:rPr>
            </w:pPr>
            <w:r w:rsidRPr="005829DC">
              <w:rPr>
                <w:b/>
                <w:bCs/>
                <w:sz w:val="22"/>
                <w:szCs w:val="22"/>
              </w:rPr>
              <w:t>10</w:t>
            </w:r>
            <w:r w:rsidR="0019625F" w:rsidRPr="005829DC">
              <w:rPr>
                <w:b/>
                <w:bCs/>
                <w:sz w:val="22"/>
                <w:szCs w:val="22"/>
              </w:rPr>
              <w:t> </w:t>
            </w:r>
            <w:r w:rsidRPr="005829DC">
              <w:rPr>
                <w:b/>
                <w:bCs/>
                <w:sz w:val="22"/>
                <w:szCs w:val="22"/>
              </w:rPr>
              <w:t>3</w:t>
            </w:r>
            <w:r w:rsidR="0019625F" w:rsidRPr="005829DC">
              <w:rPr>
                <w:b/>
                <w:bCs/>
                <w:sz w:val="22"/>
                <w:szCs w:val="22"/>
              </w:rPr>
              <w:t>93 670</w:t>
            </w:r>
          </w:p>
        </w:tc>
        <w:tc>
          <w:tcPr>
            <w:tcW w:w="952" w:type="pct"/>
            <w:shd w:val="clear" w:color="auto" w:fill="FFFFFF" w:themeFill="background1"/>
          </w:tcPr>
          <w:p w14:paraId="3EE5E8BF" w14:textId="77777777" w:rsidR="000F273D" w:rsidRPr="005829DC" w:rsidRDefault="000F273D" w:rsidP="00B95EF9">
            <w:pPr>
              <w:jc w:val="right"/>
              <w:rPr>
                <w:b/>
                <w:bCs/>
                <w:sz w:val="22"/>
                <w:szCs w:val="22"/>
              </w:rPr>
            </w:pPr>
            <w:r w:rsidRPr="005829DC">
              <w:rPr>
                <w:b/>
                <w:bCs/>
                <w:sz w:val="22"/>
                <w:szCs w:val="22"/>
              </w:rPr>
              <w:t>1 908 144</w:t>
            </w:r>
          </w:p>
        </w:tc>
        <w:tc>
          <w:tcPr>
            <w:tcW w:w="950" w:type="pct"/>
            <w:shd w:val="clear" w:color="auto" w:fill="FFFFFF" w:themeFill="background1"/>
            <w:vAlign w:val="bottom"/>
          </w:tcPr>
          <w:p w14:paraId="151EAB93" w14:textId="77777777" w:rsidR="000F273D" w:rsidRPr="005829DC" w:rsidRDefault="000F273D" w:rsidP="00B95EF9">
            <w:pPr>
              <w:jc w:val="right"/>
              <w:rPr>
                <w:b/>
                <w:bCs/>
                <w:sz w:val="22"/>
                <w:szCs w:val="22"/>
              </w:rPr>
            </w:pPr>
            <w:r w:rsidRPr="005829DC">
              <w:rPr>
                <w:b/>
                <w:bCs/>
                <w:sz w:val="22"/>
                <w:szCs w:val="22"/>
              </w:rPr>
              <w:t>88 077</w:t>
            </w:r>
          </w:p>
        </w:tc>
        <w:tc>
          <w:tcPr>
            <w:tcW w:w="944" w:type="pct"/>
            <w:shd w:val="clear" w:color="auto" w:fill="FFFFFF" w:themeFill="background1"/>
            <w:vAlign w:val="bottom"/>
          </w:tcPr>
          <w:p w14:paraId="54A8E51E" w14:textId="71B8BF52" w:rsidR="000F273D" w:rsidRPr="005829DC" w:rsidRDefault="000F273D" w:rsidP="00B95EF9">
            <w:pPr>
              <w:jc w:val="right"/>
              <w:rPr>
                <w:b/>
                <w:bCs/>
                <w:sz w:val="22"/>
                <w:szCs w:val="22"/>
              </w:rPr>
            </w:pPr>
            <w:r w:rsidRPr="005829DC">
              <w:rPr>
                <w:b/>
                <w:bCs/>
                <w:sz w:val="22"/>
                <w:szCs w:val="22"/>
              </w:rPr>
              <w:t>12 3</w:t>
            </w:r>
            <w:r w:rsidR="0019625F" w:rsidRPr="005829DC">
              <w:rPr>
                <w:b/>
                <w:bCs/>
                <w:sz w:val="22"/>
                <w:szCs w:val="22"/>
              </w:rPr>
              <w:t>8</w:t>
            </w:r>
            <w:r w:rsidRPr="005829DC">
              <w:rPr>
                <w:b/>
                <w:bCs/>
                <w:sz w:val="22"/>
                <w:szCs w:val="22"/>
              </w:rPr>
              <w:t>9 8</w:t>
            </w:r>
            <w:r w:rsidR="0019625F" w:rsidRPr="005829DC">
              <w:rPr>
                <w:b/>
                <w:bCs/>
                <w:sz w:val="22"/>
                <w:szCs w:val="22"/>
              </w:rPr>
              <w:t>91</w:t>
            </w:r>
          </w:p>
        </w:tc>
      </w:tr>
      <w:bookmarkEnd w:id="69"/>
      <w:bookmarkEnd w:id="70"/>
      <w:bookmarkEnd w:id="71"/>
    </w:tbl>
    <w:p w14:paraId="3F7E59DD" w14:textId="77777777" w:rsidR="00B6369C" w:rsidRDefault="00B6369C" w:rsidP="00B6369C">
      <w:pPr>
        <w:pStyle w:val="Nadpis1"/>
        <w:ind w:left="284"/>
        <w:jc w:val="both"/>
      </w:pPr>
    </w:p>
    <w:p w14:paraId="34CC9250" w14:textId="2D44B271" w:rsidR="00240ABB" w:rsidRPr="009D4DEA" w:rsidRDefault="00240ABB" w:rsidP="007C21EA">
      <w:pPr>
        <w:pStyle w:val="Nadpis1"/>
        <w:numPr>
          <w:ilvl w:val="0"/>
          <w:numId w:val="6"/>
        </w:numPr>
        <w:tabs>
          <w:tab w:val="clear" w:pos="2771"/>
        </w:tabs>
        <w:ind w:left="284" w:hanging="284"/>
        <w:jc w:val="both"/>
      </w:pPr>
      <w:bookmarkStart w:id="74" w:name="_Toc161214336"/>
      <w:r w:rsidRPr="009D4DEA">
        <w:t>Riadenie ľudských zdrojov a vzdelávanie zamestnancov</w:t>
      </w:r>
      <w:bookmarkEnd w:id="74"/>
    </w:p>
    <w:p w14:paraId="2B01E146" w14:textId="022C09C8" w:rsidR="00E70357" w:rsidRPr="00675EA3" w:rsidRDefault="00E70357" w:rsidP="005B072A">
      <w:pPr>
        <w:jc w:val="both"/>
        <w:rPr>
          <w:highlight w:val="green"/>
          <w:lang w:val="x-none" w:eastAsia="cs-CZ"/>
        </w:rPr>
      </w:pPr>
    </w:p>
    <w:p w14:paraId="6A8DDDC2" w14:textId="77777777" w:rsidR="009D4DEA" w:rsidRPr="005C36CA" w:rsidRDefault="009D4DEA" w:rsidP="005C36CA">
      <w:pPr>
        <w:widowControl w:val="0"/>
        <w:autoSpaceDE w:val="0"/>
        <w:autoSpaceDN w:val="0"/>
        <w:adjustRightInd w:val="0"/>
        <w:jc w:val="both"/>
      </w:pPr>
      <w:r w:rsidRPr="005C36CA">
        <w:t>Kvalitné riadenie ľudských zdrojov je jedným zo základných predpokladov pri dosahovaní strategických cieľov a úloh ÚJD SR a napĺňaní schválenej národnej politiky jadrovej bezpečnosti. Riadenie ľudských zdrojov sa orientuje najmä na transparentné výberové konania, flexibilné odmeňovanie zamestnancov, ako i vzdelávanie zamestnancov s cieľom rozvíjať ľudský potenciál a vytvoriť atmosféru, motivujúcu zamestnancov na plnenie cieľov a náročných úloh ÚJD SR ako dozorného orgánu.</w:t>
      </w:r>
    </w:p>
    <w:p w14:paraId="5F81408E" w14:textId="77777777" w:rsidR="009D4DEA" w:rsidRPr="005C36CA" w:rsidRDefault="009D4DEA" w:rsidP="005C36CA">
      <w:pPr>
        <w:widowControl w:val="0"/>
        <w:autoSpaceDE w:val="0"/>
        <w:autoSpaceDN w:val="0"/>
        <w:adjustRightInd w:val="0"/>
        <w:jc w:val="both"/>
      </w:pPr>
      <w:r w:rsidRPr="005C36CA">
        <w:t>ÚJD SR mal na rok 2023 rozpisom rozpočtu stanovený celkový počet miest 134, z ktorých bolo 120 štátnozamestnaneckých miest a 14 miest pri výkone práce vo verejnom záujme. Z vyššie uvedeného počtu bolo jedno štátnozamestnanecké miesto dočasne delimitované na MZVEZ SR na účely vyslania do zahraničia (Viedeň) na podporu spolupráce v oblasti mierového využívania jadrovej energie.</w:t>
      </w:r>
    </w:p>
    <w:p w14:paraId="7C9662B2" w14:textId="77777777" w:rsidR="009D4DEA" w:rsidRPr="005C36CA" w:rsidRDefault="009D4DEA" w:rsidP="005C36CA">
      <w:pPr>
        <w:widowControl w:val="0"/>
        <w:autoSpaceDE w:val="0"/>
        <w:autoSpaceDN w:val="0"/>
        <w:adjustRightInd w:val="0"/>
        <w:jc w:val="both"/>
      </w:pPr>
      <w:r w:rsidRPr="005C36CA">
        <w:t>Proces obsadzovania štátnozamestnaneckých miest v ÚJD SR sa realizuje v súlade so zákonom č. 55/2017 Z. z. o štátnej službe a o zmene a doplnení niektorých zákonov v znení neskorších predpisov a vyhláškou Úradu vlády SR č. 507/2019 Z. z., ktorou sa mení a dopĺňa vyhláška Úradu vlády SR č. 127/2017 Z. z., ktorou sa ustanovujú podrobnosti o výberových konaniach.</w:t>
      </w:r>
    </w:p>
    <w:p w14:paraId="30554212" w14:textId="77777777" w:rsidR="009D4DEA" w:rsidRPr="005C36CA" w:rsidRDefault="009D4DEA" w:rsidP="005C36CA">
      <w:pPr>
        <w:widowControl w:val="0"/>
        <w:autoSpaceDE w:val="0"/>
        <w:autoSpaceDN w:val="0"/>
        <w:adjustRightInd w:val="0"/>
        <w:jc w:val="both"/>
      </w:pPr>
      <w:r w:rsidRPr="005C36CA">
        <w:t>Proces obsadzovania voľných miest pri výkone práce vo verejnom záujme sa riadi zákonom          č. 552/2003 Z. z. o výkone práce vo verejnom záujme v znení neskorších predpisov a zákonom č. 311/2001 Z. z. Zákonníkom práce v znení neskorších predpisov.</w:t>
      </w:r>
    </w:p>
    <w:p w14:paraId="51D48CAC" w14:textId="77777777" w:rsidR="009D4DEA" w:rsidRPr="005C36CA" w:rsidRDefault="009D4DEA" w:rsidP="005C36CA">
      <w:pPr>
        <w:widowControl w:val="0"/>
        <w:autoSpaceDE w:val="0"/>
        <w:autoSpaceDN w:val="0"/>
        <w:adjustRightInd w:val="0"/>
        <w:jc w:val="both"/>
      </w:pPr>
      <w:r w:rsidRPr="005C36CA">
        <w:t xml:space="preserve">Vyhlasovanie výberových konaní na obsadenie voľných štátnozamestnaneckých miest realizoval ÚJD SR zverejnením v registri výberových konaní na portáli </w:t>
      </w:r>
      <w:hyperlink r:id="rId10" w:history="1">
        <w:r w:rsidRPr="005C36CA">
          <w:t>www.slovensko.sk</w:t>
        </w:r>
      </w:hyperlink>
      <w:r w:rsidRPr="005C36CA">
        <w:t>. ÚJD SR zverejňuje výberové konania na obsadenie štátnozamestnaneckých miest a na obsadenie pracovných miest pri výkone práce vo verejnom záujme aj na webovom sídle ÚJD SR. V prípadoch obsadzovania štátnozamestnaneckých miest do dočasnej štátnej služby, o ktoré je najnižší záujem a v prípade obsadzovania miest pri výkone práce vo verejnom záujme, zverejňuje ÚJD SR výberové konania aj prostredníctvom portálu pracovných ponúk.</w:t>
      </w:r>
    </w:p>
    <w:p w14:paraId="62257E0C" w14:textId="77777777" w:rsidR="009D4DEA" w:rsidRPr="005C36CA" w:rsidRDefault="009D4DEA" w:rsidP="005C36CA">
      <w:pPr>
        <w:widowControl w:val="0"/>
        <w:autoSpaceDE w:val="0"/>
        <w:autoSpaceDN w:val="0"/>
        <w:adjustRightInd w:val="0"/>
        <w:jc w:val="both"/>
      </w:pPr>
      <w:r w:rsidRPr="005C36CA">
        <w:t xml:space="preserve">V roku 2023 vyhlásil ÚJD SR 19 výberových konaní na obsadenie voľných alebo dočasne uvoľnených štátnozamestnaneckých miest a 2 výberové konania na obsadenie voľných </w:t>
      </w:r>
      <w:r w:rsidRPr="005C36CA">
        <w:lastRenderedPageBreak/>
        <w:t>pracovných miest. Jedno výberové konanie na obsadenie dočasne uvoľneného štátnozamestnaneckého miesta, ktoré bolo vyhlásené v roku 2022 sa zrealizovalo v januári 2023.</w:t>
      </w:r>
    </w:p>
    <w:p w14:paraId="53616AD9" w14:textId="43C13910" w:rsidR="009D4DEA" w:rsidRPr="005C36CA" w:rsidRDefault="009D4DEA" w:rsidP="005C36CA">
      <w:pPr>
        <w:widowControl w:val="0"/>
        <w:autoSpaceDE w:val="0"/>
        <w:autoSpaceDN w:val="0"/>
        <w:adjustRightInd w:val="0"/>
        <w:jc w:val="both"/>
      </w:pPr>
      <w:r w:rsidRPr="005C36CA">
        <w:t xml:space="preserve">Z 21 vyhlásených výberových konaní bolo v roku 2023 zrealizovaných 13, päť výberových konaní sa nezrealizovalo z dôvodu, že sa do výberového konania neprihlásil žiadny uchádzač a do jedného výberového konania sa uchádzač prihlásil, ale nezúčastnil sa ho. Dve výberové konania vyhlásené v roku 2023 sa zrealizujú až v roku 2024. </w:t>
      </w:r>
    </w:p>
    <w:p w14:paraId="5B4CF487" w14:textId="77777777" w:rsidR="009D4DEA" w:rsidRPr="005C36CA" w:rsidRDefault="009D4DEA" w:rsidP="005C36CA">
      <w:pPr>
        <w:widowControl w:val="0"/>
        <w:autoSpaceDE w:val="0"/>
        <w:autoSpaceDN w:val="0"/>
        <w:adjustRightInd w:val="0"/>
        <w:jc w:val="both"/>
      </w:pPr>
      <w:r w:rsidRPr="005C36CA">
        <w:t xml:space="preserve">Prostredníctvom 14 zrealizovaných výberových konaní bolo obsadených 10 voľných, resp. dočasne uvoľnených štátnozamestnaneckých miest a 2 miesta pri výkone práce vo verejnom záujme. </w:t>
      </w:r>
    </w:p>
    <w:p w14:paraId="324DB5E3" w14:textId="77777777" w:rsidR="009D4DEA" w:rsidRPr="005C36CA" w:rsidRDefault="009D4DEA" w:rsidP="005C36CA">
      <w:pPr>
        <w:widowControl w:val="0"/>
        <w:autoSpaceDE w:val="0"/>
        <w:autoSpaceDN w:val="0"/>
        <w:adjustRightInd w:val="0"/>
        <w:jc w:val="both"/>
      </w:pPr>
      <w:r w:rsidRPr="005C36CA">
        <w:t>V roku 2023 boli na štátnozamestnanecké miesta prijatí celkom 9 zamestnanci, u 7 zamestnancov došlo k zmene štátnozamestnaneckého pomeru preložením, 2 zamestnanci sa vrátili z rodičovskej dovolenky a 1 zamestnanec čerpal 6 mesiacov služobné voľno.</w:t>
      </w:r>
    </w:p>
    <w:p w14:paraId="6A478CF2" w14:textId="77777777" w:rsidR="009D4DEA" w:rsidRPr="005C36CA" w:rsidRDefault="009D4DEA" w:rsidP="005C36CA">
      <w:pPr>
        <w:widowControl w:val="0"/>
        <w:autoSpaceDE w:val="0"/>
        <w:autoSpaceDN w:val="0"/>
        <w:adjustRightInd w:val="0"/>
        <w:jc w:val="both"/>
      </w:pPr>
      <w:r w:rsidRPr="005C36CA">
        <w:t>Na ÚJD SR skončilo v roku 2023 štátnozamestnanecký pomer 5 štátnych zamestnancov a pracovný pomer 1 zamestnanec pri výkone práce vo verejnom záujme. Dôvodom skončenia bolo u 1 štátneho zamestnanca skončenie dohodou, 1 štátnozamestnanecký pomer skončil z dôvodu, že vzhľadom na svoj zdravotný stav podľa lekárskeho posudku štátny zamestnanec dlhodobo stratil spôsobilosť na vykonávanie štátnej služby na danom štátnozamestnaneckom mieste a 3 štátni zamestnanci skončili štátnozamestnanecký pomer z dôvodu odchodu do starobného dôchodku. Zamestnanec pri výkone práce vo verejnom záujme skončil pracovný pomer z dôvodu vzniku následného štátnozamestnaneckého pomeru.</w:t>
      </w:r>
    </w:p>
    <w:p w14:paraId="55F704B1" w14:textId="77777777" w:rsidR="009D4DEA" w:rsidRPr="005C36CA" w:rsidRDefault="009D4DEA" w:rsidP="005C36CA">
      <w:pPr>
        <w:widowControl w:val="0"/>
        <w:autoSpaceDE w:val="0"/>
        <w:autoSpaceDN w:val="0"/>
        <w:adjustRightInd w:val="0"/>
        <w:jc w:val="both"/>
      </w:pPr>
      <w:r w:rsidRPr="005C36CA">
        <w:t xml:space="preserve">Z hľadiska skutočného počtu zamestnancov evidoval ÚJD SR k 31. 12. 2023 celkom 124 zamestnancov, z toho 110 štátnych zamestnancov a 14 zamestnancov pri výkone práce vo verejnom záujme. </w:t>
      </w:r>
    </w:p>
    <w:p w14:paraId="007BDFE8" w14:textId="77777777" w:rsidR="009D4DEA" w:rsidRPr="005C36CA" w:rsidRDefault="009D4DEA" w:rsidP="005C36CA">
      <w:pPr>
        <w:widowControl w:val="0"/>
        <w:autoSpaceDE w:val="0"/>
        <w:autoSpaceDN w:val="0"/>
        <w:adjustRightInd w:val="0"/>
        <w:jc w:val="both"/>
      </w:pPr>
      <w:r w:rsidRPr="005C36CA">
        <w:t>K 31. 12. 2023 evidoval úrad 10 neobsadených štátnozamestnaneckých miest.</w:t>
      </w:r>
    </w:p>
    <w:p w14:paraId="2B498673" w14:textId="77777777" w:rsidR="009D4DEA" w:rsidRPr="005C36CA" w:rsidRDefault="009D4DEA" w:rsidP="005C36CA">
      <w:pPr>
        <w:widowControl w:val="0"/>
        <w:autoSpaceDE w:val="0"/>
        <w:autoSpaceDN w:val="0"/>
        <w:adjustRightInd w:val="0"/>
        <w:jc w:val="both"/>
      </w:pPr>
      <w:r w:rsidRPr="005C36CA">
        <w:t>Zastúpenie žien k 31. 12. 2023 bolo v počte 65 (52 žien v štátnozamestnaneckom pomere a 13 žien na pracovnom mieste pri výkone práce vo verejnom záujme) a 59 miest patrilo mužom (58 mužov v štátnozamestnaneckom pomere a 1 muž na pracovnom mieste pri výkone práce vo verejnom záujme). Celkový podiel zamestnávaných žien v ÚJD SR predstavoval 52,42 %.</w:t>
      </w:r>
    </w:p>
    <w:p w14:paraId="3EB7A1FA" w14:textId="77777777" w:rsidR="009D4DEA" w:rsidRPr="005C36CA" w:rsidRDefault="009D4DEA" w:rsidP="005C36CA">
      <w:pPr>
        <w:widowControl w:val="0"/>
        <w:autoSpaceDE w:val="0"/>
        <w:autoSpaceDN w:val="0"/>
        <w:adjustRightInd w:val="0"/>
        <w:jc w:val="both"/>
      </w:pPr>
      <w:r w:rsidRPr="005C36CA">
        <w:t>Z hľadiska systemizácie štátnozamestnaneckých miest evidujeme na ÚJD SR celkom 81 štátnozamestnaneckých miest v odbore štátnej služby 2.05 Jadrový dozor, z ktorých bolo k 31. 12. 2023 obsadených 75. Predseda úradu a podpredseda úradu sa inšpektormi jadrovej bezpečnosti stávajú dňom vymenovania do funkcie.</w:t>
      </w:r>
    </w:p>
    <w:p w14:paraId="5BEF861C" w14:textId="77777777" w:rsidR="00F04DAA" w:rsidRDefault="00F04DAA" w:rsidP="00A223B3">
      <w:pPr>
        <w:jc w:val="both"/>
        <w:rPr>
          <w:szCs w:val="24"/>
        </w:rPr>
      </w:pPr>
    </w:p>
    <w:p w14:paraId="381836A4" w14:textId="79AA3D22" w:rsidR="00927021" w:rsidRPr="0036514D" w:rsidRDefault="00927021" w:rsidP="00A223B3">
      <w:pPr>
        <w:rPr>
          <w:sz w:val="22"/>
          <w:szCs w:val="22"/>
        </w:rPr>
      </w:pPr>
      <w:r w:rsidRPr="0036514D">
        <w:rPr>
          <w:sz w:val="22"/>
          <w:szCs w:val="22"/>
        </w:rPr>
        <w:t xml:space="preserve">Tab. </w:t>
      </w:r>
      <w:r w:rsidR="00BA359C" w:rsidRPr="0036514D">
        <w:rPr>
          <w:sz w:val="22"/>
          <w:szCs w:val="22"/>
        </w:rPr>
        <w:t>1</w:t>
      </w:r>
      <w:r w:rsidR="002A1E40" w:rsidRPr="0036514D">
        <w:rPr>
          <w:sz w:val="22"/>
          <w:szCs w:val="22"/>
        </w:rPr>
        <w:t>3</w:t>
      </w:r>
      <w:r w:rsidRPr="0036514D">
        <w:rPr>
          <w:sz w:val="22"/>
          <w:szCs w:val="22"/>
        </w:rPr>
        <w:t xml:space="preserve"> Obsadenie štátnozamestnaneckých miest v odbore štátnej služby 2.05 Jadrový dozor</w:t>
      </w:r>
      <w:r w:rsidR="005A7721">
        <w:rPr>
          <w:sz w:val="22"/>
          <w:szCs w:val="22"/>
        </w:rPr>
        <w:t xml:space="preserve"> </w:t>
      </w:r>
      <w:r w:rsidR="00CF69AB">
        <w:rPr>
          <w:sz w:val="22"/>
          <w:szCs w:val="22"/>
        </w:rPr>
        <w:t>k 31. 12. 2023</w:t>
      </w:r>
    </w:p>
    <w:tbl>
      <w:tblPr>
        <w:tblStyle w:val="Mriekatabuky"/>
        <w:tblW w:w="0" w:type="auto"/>
        <w:tblInd w:w="-5" w:type="dxa"/>
        <w:tblLook w:val="04A0" w:firstRow="1" w:lastRow="0" w:firstColumn="1" w:lastColumn="0" w:noHBand="0" w:noVBand="1"/>
      </w:tblPr>
      <w:tblGrid>
        <w:gridCol w:w="2281"/>
        <w:gridCol w:w="2262"/>
        <w:gridCol w:w="2262"/>
        <w:gridCol w:w="2262"/>
      </w:tblGrid>
      <w:tr w:rsidR="00927021" w14:paraId="3D79372A" w14:textId="77777777" w:rsidTr="009D4DEA">
        <w:tc>
          <w:tcPr>
            <w:tcW w:w="2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4F757" w14:textId="77777777" w:rsidR="00927021" w:rsidRPr="008015C6" w:rsidRDefault="00927021" w:rsidP="00070197">
            <w:pPr>
              <w:jc w:val="center"/>
              <w:rPr>
                <w:sz w:val="22"/>
                <w:szCs w:val="22"/>
                <w:lang w:eastAsia="en-US"/>
              </w:rPr>
            </w:pP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17C34" w14:textId="77777777" w:rsidR="00927021" w:rsidRPr="008015C6" w:rsidRDefault="00927021" w:rsidP="00070197">
            <w:pPr>
              <w:jc w:val="center"/>
              <w:rPr>
                <w:b/>
                <w:sz w:val="22"/>
                <w:szCs w:val="22"/>
                <w:lang w:eastAsia="en-US"/>
              </w:rPr>
            </w:pPr>
            <w:r w:rsidRPr="008015C6">
              <w:rPr>
                <w:b/>
                <w:sz w:val="22"/>
                <w:szCs w:val="22"/>
                <w:lang w:eastAsia="en-US"/>
              </w:rPr>
              <w:t>Spolu</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6A831" w14:textId="77777777" w:rsidR="00927021" w:rsidRPr="008015C6" w:rsidRDefault="00927021" w:rsidP="00070197">
            <w:pPr>
              <w:jc w:val="center"/>
              <w:rPr>
                <w:b/>
                <w:sz w:val="22"/>
                <w:szCs w:val="22"/>
                <w:lang w:eastAsia="en-US"/>
              </w:rPr>
            </w:pPr>
            <w:r w:rsidRPr="008015C6">
              <w:rPr>
                <w:b/>
                <w:sz w:val="22"/>
                <w:szCs w:val="22"/>
                <w:lang w:eastAsia="en-US"/>
              </w:rPr>
              <w:t>Ženy</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F165A" w14:textId="77777777" w:rsidR="00927021" w:rsidRPr="008015C6" w:rsidRDefault="00927021" w:rsidP="00070197">
            <w:pPr>
              <w:jc w:val="center"/>
              <w:rPr>
                <w:b/>
                <w:sz w:val="22"/>
                <w:szCs w:val="22"/>
                <w:lang w:eastAsia="en-US"/>
              </w:rPr>
            </w:pPr>
            <w:r w:rsidRPr="008015C6">
              <w:rPr>
                <w:b/>
                <w:sz w:val="22"/>
                <w:szCs w:val="22"/>
                <w:lang w:eastAsia="en-US"/>
              </w:rPr>
              <w:t>Muži</w:t>
            </w:r>
          </w:p>
        </w:tc>
      </w:tr>
      <w:tr w:rsidR="00927021" w:rsidRPr="009D4DEA" w14:paraId="3091CA67" w14:textId="77777777" w:rsidTr="009D4DEA">
        <w:tc>
          <w:tcPr>
            <w:tcW w:w="2281" w:type="dxa"/>
            <w:tcBorders>
              <w:top w:val="single" w:sz="4" w:space="0" w:color="auto"/>
              <w:left w:val="single" w:sz="4" w:space="0" w:color="auto"/>
              <w:bottom w:val="single" w:sz="4" w:space="0" w:color="auto"/>
              <w:right w:val="single" w:sz="4" w:space="0" w:color="auto"/>
            </w:tcBorders>
            <w:shd w:val="clear" w:color="auto" w:fill="auto"/>
            <w:hideMark/>
          </w:tcPr>
          <w:p w14:paraId="6E461022" w14:textId="77777777" w:rsidR="00927021" w:rsidRPr="009D4DEA" w:rsidRDefault="00927021" w:rsidP="00A223B3">
            <w:pPr>
              <w:rPr>
                <w:sz w:val="22"/>
                <w:szCs w:val="22"/>
                <w:lang w:eastAsia="en-US"/>
              </w:rPr>
            </w:pPr>
            <w:r w:rsidRPr="009D4DEA">
              <w:rPr>
                <w:sz w:val="22"/>
                <w:szCs w:val="22"/>
                <w:lang w:eastAsia="en-US"/>
              </w:rPr>
              <w:t>2.05 Jadrový dozor</w:t>
            </w:r>
          </w:p>
        </w:tc>
        <w:tc>
          <w:tcPr>
            <w:tcW w:w="2262" w:type="dxa"/>
            <w:tcBorders>
              <w:top w:val="single" w:sz="4" w:space="0" w:color="auto"/>
              <w:left w:val="single" w:sz="4" w:space="0" w:color="auto"/>
              <w:bottom w:val="single" w:sz="4" w:space="0" w:color="auto"/>
              <w:right w:val="single" w:sz="4" w:space="0" w:color="auto"/>
            </w:tcBorders>
            <w:hideMark/>
          </w:tcPr>
          <w:p w14:paraId="10E5EC4E" w14:textId="4DEFA341" w:rsidR="00927021" w:rsidRPr="009D4DEA" w:rsidRDefault="00F05E84" w:rsidP="00070197">
            <w:pPr>
              <w:jc w:val="center"/>
              <w:rPr>
                <w:sz w:val="22"/>
                <w:szCs w:val="22"/>
                <w:lang w:eastAsia="en-US"/>
              </w:rPr>
            </w:pPr>
            <w:r w:rsidRPr="009D4DEA">
              <w:rPr>
                <w:sz w:val="22"/>
                <w:szCs w:val="22"/>
                <w:lang w:eastAsia="en-US"/>
              </w:rPr>
              <w:t>7</w:t>
            </w:r>
            <w:r w:rsidR="009D4DEA" w:rsidRPr="009D4DEA">
              <w:rPr>
                <w:sz w:val="22"/>
                <w:szCs w:val="22"/>
                <w:lang w:eastAsia="en-US"/>
              </w:rPr>
              <w:t>5</w:t>
            </w:r>
          </w:p>
        </w:tc>
        <w:tc>
          <w:tcPr>
            <w:tcW w:w="2262" w:type="dxa"/>
            <w:tcBorders>
              <w:top w:val="single" w:sz="4" w:space="0" w:color="auto"/>
              <w:left w:val="single" w:sz="4" w:space="0" w:color="auto"/>
              <w:bottom w:val="single" w:sz="4" w:space="0" w:color="auto"/>
              <w:right w:val="single" w:sz="4" w:space="0" w:color="auto"/>
            </w:tcBorders>
            <w:hideMark/>
          </w:tcPr>
          <w:p w14:paraId="5FA71ADD" w14:textId="08A22E24" w:rsidR="00927021" w:rsidRPr="009D4DEA" w:rsidRDefault="00927021" w:rsidP="00070197">
            <w:pPr>
              <w:jc w:val="center"/>
              <w:rPr>
                <w:sz w:val="22"/>
                <w:szCs w:val="22"/>
                <w:lang w:eastAsia="en-US"/>
              </w:rPr>
            </w:pPr>
            <w:r w:rsidRPr="009D4DEA">
              <w:rPr>
                <w:sz w:val="22"/>
                <w:szCs w:val="22"/>
                <w:lang w:eastAsia="en-US"/>
              </w:rPr>
              <w:t>2</w:t>
            </w:r>
            <w:r w:rsidR="009D4DEA" w:rsidRPr="009D4DEA">
              <w:rPr>
                <w:sz w:val="22"/>
                <w:szCs w:val="22"/>
                <w:lang w:eastAsia="en-US"/>
              </w:rPr>
              <w:t>8</w:t>
            </w:r>
          </w:p>
        </w:tc>
        <w:tc>
          <w:tcPr>
            <w:tcW w:w="2262" w:type="dxa"/>
            <w:tcBorders>
              <w:top w:val="single" w:sz="4" w:space="0" w:color="auto"/>
              <w:left w:val="single" w:sz="4" w:space="0" w:color="auto"/>
              <w:bottom w:val="single" w:sz="4" w:space="0" w:color="auto"/>
              <w:right w:val="single" w:sz="4" w:space="0" w:color="auto"/>
            </w:tcBorders>
            <w:hideMark/>
          </w:tcPr>
          <w:p w14:paraId="28BE88C6" w14:textId="7590EF41" w:rsidR="00927021" w:rsidRPr="009D4DEA" w:rsidRDefault="00927021" w:rsidP="00070197">
            <w:pPr>
              <w:jc w:val="center"/>
              <w:rPr>
                <w:sz w:val="22"/>
                <w:szCs w:val="22"/>
                <w:lang w:eastAsia="en-US"/>
              </w:rPr>
            </w:pPr>
            <w:r w:rsidRPr="009D4DEA">
              <w:rPr>
                <w:sz w:val="22"/>
                <w:szCs w:val="22"/>
                <w:lang w:eastAsia="en-US"/>
              </w:rPr>
              <w:t>4</w:t>
            </w:r>
            <w:r w:rsidR="009D4DEA" w:rsidRPr="009D4DEA">
              <w:rPr>
                <w:sz w:val="22"/>
                <w:szCs w:val="22"/>
                <w:lang w:eastAsia="en-US"/>
              </w:rPr>
              <w:t>7</w:t>
            </w:r>
          </w:p>
        </w:tc>
      </w:tr>
    </w:tbl>
    <w:p w14:paraId="640EAD47" w14:textId="77777777" w:rsidR="00927021" w:rsidRDefault="00927021" w:rsidP="00A223B3">
      <w:pPr>
        <w:rPr>
          <w:sz w:val="10"/>
          <w:szCs w:val="10"/>
        </w:rPr>
      </w:pPr>
    </w:p>
    <w:p w14:paraId="286899F6" w14:textId="77777777" w:rsidR="004464DE" w:rsidRDefault="004464DE" w:rsidP="00A223B3">
      <w:pPr>
        <w:jc w:val="both"/>
        <w:rPr>
          <w:szCs w:val="24"/>
        </w:rPr>
      </w:pPr>
    </w:p>
    <w:p w14:paraId="454E3961" w14:textId="66B6FEFD" w:rsidR="00920647" w:rsidRPr="005C36CA" w:rsidRDefault="00920647" w:rsidP="005C36CA">
      <w:pPr>
        <w:widowControl w:val="0"/>
        <w:autoSpaceDE w:val="0"/>
        <w:autoSpaceDN w:val="0"/>
        <w:adjustRightInd w:val="0"/>
        <w:jc w:val="both"/>
      </w:pPr>
      <w:r w:rsidRPr="005C36CA">
        <w:t xml:space="preserve">Vzdelanostná štruktúra zamestnancov priamo ovplyvňovala profesionálnu úroveň výkonu činností jednotlivých útvarov ÚJD SR. Analýza vzdelanostnej štruktúry ukazuje, že 91,94 % zamestnancov ÚJD SR má </w:t>
      </w:r>
      <w:r w:rsidR="003A2DC3">
        <w:t xml:space="preserve"> </w:t>
      </w:r>
      <w:r w:rsidRPr="005C36CA">
        <w:t>ukončené minimálne vysokoškolské vzdelanie II. stupňa. Tento percentuálny podiel vysokoškolsky vzdelaných zamestnancov sa odvíja od náročnosti práce zamestnancov ÚJD SR a vysoko prekračuje vzdelanostnú úroveň obyvateľov SR.</w:t>
      </w:r>
    </w:p>
    <w:p w14:paraId="00F8AEE2" w14:textId="7C818C14" w:rsidR="001402AE" w:rsidRDefault="001402AE" w:rsidP="00A223B3">
      <w:pPr>
        <w:jc w:val="both"/>
        <w:rPr>
          <w:szCs w:val="24"/>
        </w:rPr>
      </w:pPr>
    </w:p>
    <w:p w14:paraId="58B4995D" w14:textId="69F4301F" w:rsidR="00927021" w:rsidRPr="0036514D" w:rsidRDefault="00927021" w:rsidP="00A223B3">
      <w:pPr>
        <w:rPr>
          <w:sz w:val="22"/>
          <w:szCs w:val="22"/>
        </w:rPr>
      </w:pPr>
      <w:r w:rsidRPr="0036514D">
        <w:rPr>
          <w:sz w:val="22"/>
          <w:szCs w:val="22"/>
        </w:rPr>
        <w:t>Tab. 1</w:t>
      </w:r>
      <w:r w:rsidR="002A1E40" w:rsidRPr="0036514D">
        <w:rPr>
          <w:sz w:val="22"/>
          <w:szCs w:val="22"/>
        </w:rPr>
        <w:t>4</w:t>
      </w:r>
      <w:r w:rsidRPr="0036514D">
        <w:rPr>
          <w:sz w:val="22"/>
          <w:szCs w:val="22"/>
        </w:rPr>
        <w:t xml:space="preserve"> Vzdelanostná štruktúra zamestnancov k 31. 12. 202</w:t>
      </w:r>
      <w:r w:rsidR="009D4DEA" w:rsidRPr="0036514D">
        <w:rPr>
          <w:sz w:val="22"/>
          <w:szCs w:val="22"/>
        </w:rPr>
        <w:t>3</w:t>
      </w:r>
    </w:p>
    <w:tbl>
      <w:tblPr>
        <w:tblStyle w:val="Mriekatabuky"/>
        <w:tblW w:w="0" w:type="auto"/>
        <w:tblInd w:w="-5" w:type="dxa"/>
        <w:tblLook w:val="04A0" w:firstRow="1" w:lastRow="0" w:firstColumn="1" w:lastColumn="0" w:noHBand="0" w:noVBand="1"/>
      </w:tblPr>
      <w:tblGrid>
        <w:gridCol w:w="1560"/>
        <w:gridCol w:w="1557"/>
        <w:gridCol w:w="1553"/>
        <w:gridCol w:w="1418"/>
        <w:gridCol w:w="1468"/>
        <w:gridCol w:w="1511"/>
      </w:tblGrid>
      <w:tr w:rsidR="009D4DEA" w14:paraId="4EE1F7A5" w14:textId="77777777" w:rsidTr="00F36D46">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C649F" w14:textId="77777777" w:rsidR="009D4DEA" w:rsidRPr="008015C6" w:rsidRDefault="009D4DEA" w:rsidP="00070197">
            <w:pPr>
              <w:jc w:val="center"/>
              <w:rPr>
                <w:b/>
                <w:sz w:val="22"/>
                <w:szCs w:val="22"/>
                <w:lang w:eastAsia="en-US"/>
              </w:rPr>
            </w:pPr>
            <w:r w:rsidRPr="008015C6">
              <w:rPr>
                <w:b/>
                <w:sz w:val="22"/>
                <w:szCs w:val="22"/>
                <w:lang w:eastAsia="en-US"/>
              </w:rPr>
              <w:t>Vzdelanie</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E8211" w14:textId="5F47BBDD" w:rsidR="009D4DEA" w:rsidRPr="008015C6" w:rsidRDefault="009D4DEA" w:rsidP="00070197">
            <w:pPr>
              <w:jc w:val="center"/>
              <w:rPr>
                <w:b/>
                <w:sz w:val="22"/>
                <w:szCs w:val="22"/>
                <w:lang w:eastAsia="en-US"/>
              </w:rPr>
            </w:pPr>
            <w:r>
              <w:rPr>
                <w:b/>
                <w:sz w:val="22"/>
                <w:szCs w:val="22"/>
                <w:lang w:eastAsia="en-US"/>
              </w:rPr>
              <w:t>VŠ III.</w:t>
            </w:r>
            <w:r w:rsidR="00F36D46">
              <w:rPr>
                <w:b/>
                <w:sz w:val="22"/>
                <w:szCs w:val="22"/>
                <w:lang w:eastAsia="en-US"/>
              </w:rPr>
              <w:t xml:space="preserve"> </w:t>
            </w:r>
            <w:r>
              <w:rPr>
                <w:b/>
                <w:sz w:val="22"/>
                <w:szCs w:val="22"/>
                <w:lang w:eastAsia="en-US"/>
              </w:rPr>
              <w:t>stupňa</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CE774" w14:textId="1A879512" w:rsidR="009D4DEA" w:rsidRPr="008015C6" w:rsidRDefault="009D4DEA" w:rsidP="00070197">
            <w:pPr>
              <w:jc w:val="center"/>
              <w:rPr>
                <w:b/>
                <w:sz w:val="22"/>
                <w:szCs w:val="22"/>
                <w:lang w:eastAsia="en-US"/>
              </w:rPr>
            </w:pPr>
            <w:r w:rsidRPr="008015C6">
              <w:rPr>
                <w:b/>
                <w:sz w:val="22"/>
                <w:szCs w:val="22"/>
                <w:lang w:eastAsia="en-US"/>
              </w:rPr>
              <w:t>VŠ II. stupňa</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80FC0" w14:textId="77777777" w:rsidR="009D4DEA" w:rsidRPr="008015C6" w:rsidRDefault="009D4DEA" w:rsidP="00070197">
            <w:pPr>
              <w:jc w:val="center"/>
              <w:rPr>
                <w:b/>
                <w:sz w:val="22"/>
                <w:szCs w:val="22"/>
                <w:lang w:eastAsia="en-US"/>
              </w:rPr>
            </w:pPr>
            <w:r w:rsidRPr="008015C6">
              <w:rPr>
                <w:b/>
                <w:sz w:val="22"/>
                <w:szCs w:val="22"/>
                <w:lang w:eastAsia="en-US"/>
              </w:rPr>
              <w:t>VŠ I. stupňa</w:t>
            </w:r>
          </w:p>
        </w:tc>
        <w:tc>
          <w:tcPr>
            <w:tcW w:w="1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124F3" w14:textId="77777777" w:rsidR="009D4DEA" w:rsidRPr="008015C6" w:rsidRDefault="009D4DEA" w:rsidP="00070197">
            <w:pPr>
              <w:jc w:val="center"/>
              <w:rPr>
                <w:b/>
                <w:sz w:val="22"/>
                <w:szCs w:val="22"/>
                <w:lang w:eastAsia="en-US"/>
              </w:rPr>
            </w:pPr>
            <w:r w:rsidRPr="008015C6">
              <w:rPr>
                <w:b/>
                <w:sz w:val="22"/>
                <w:szCs w:val="22"/>
                <w:lang w:eastAsia="en-US"/>
              </w:rPr>
              <w:t>USO</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33CD7" w14:textId="77777777" w:rsidR="009D4DEA" w:rsidRPr="008015C6" w:rsidRDefault="009D4DEA" w:rsidP="00070197">
            <w:pPr>
              <w:jc w:val="center"/>
              <w:rPr>
                <w:b/>
                <w:sz w:val="22"/>
                <w:szCs w:val="22"/>
                <w:lang w:eastAsia="en-US"/>
              </w:rPr>
            </w:pPr>
            <w:r w:rsidRPr="008015C6">
              <w:rPr>
                <w:b/>
                <w:sz w:val="22"/>
                <w:szCs w:val="22"/>
                <w:lang w:eastAsia="en-US"/>
              </w:rPr>
              <w:t>Spolu</w:t>
            </w:r>
          </w:p>
        </w:tc>
      </w:tr>
      <w:tr w:rsidR="009D4DEA" w14:paraId="73BDC9DB" w14:textId="77777777" w:rsidTr="00F36D46">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E6523A" w14:textId="77777777" w:rsidR="009D4DEA" w:rsidRPr="008015C6" w:rsidRDefault="009D4DEA" w:rsidP="00A223B3">
            <w:pPr>
              <w:rPr>
                <w:sz w:val="22"/>
                <w:szCs w:val="22"/>
                <w:lang w:eastAsia="en-US"/>
              </w:rPr>
            </w:pPr>
            <w:r w:rsidRPr="008015C6">
              <w:rPr>
                <w:sz w:val="22"/>
                <w:szCs w:val="22"/>
                <w:lang w:eastAsia="en-US"/>
              </w:rPr>
              <w:t>Ženy</w:t>
            </w:r>
          </w:p>
        </w:tc>
        <w:tc>
          <w:tcPr>
            <w:tcW w:w="1557" w:type="dxa"/>
            <w:tcBorders>
              <w:top w:val="single" w:sz="4" w:space="0" w:color="auto"/>
              <w:left w:val="single" w:sz="4" w:space="0" w:color="auto"/>
              <w:bottom w:val="single" w:sz="4" w:space="0" w:color="auto"/>
              <w:right w:val="single" w:sz="4" w:space="0" w:color="auto"/>
            </w:tcBorders>
          </w:tcPr>
          <w:p w14:paraId="761F363A" w14:textId="16D53F52" w:rsidR="009D4DEA" w:rsidRPr="008015C6" w:rsidRDefault="009D4DEA" w:rsidP="00070197">
            <w:pPr>
              <w:jc w:val="right"/>
              <w:rPr>
                <w:sz w:val="22"/>
                <w:szCs w:val="22"/>
                <w:lang w:eastAsia="en-US"/>
              </w:rPr>
            </w:pPr>
            <w:r>
              <w:rPr>
                <w:sz w:val="22"/>
                <w:szCs w:val="22"/>
                <w:lang w:eastAsia="en-US"/>
              </w:rPr>
              <w:t>5</w:t>
            </w:r>
          </w:p>
        </w:tc>
        <w:tc>
          <w:tcPr>
            <w:tcW w:w="1553" w:type="dxa"/>
            <w:tcBorders>
              <w:top w:val="single" w:sz="4" w:space="0" w:color="auto"/>
              <w:left w:val="single" w:sz="4" w:space="0" w:color="auto"/>
              <w:bottom w:val="single" w:sz="4" w:space="0" w:color="auto"/>
              <w:right w:val="single" w:sz="4" w:space="0" w:color="auto"/>
            </w:tcBorders>
            <w:hideMark/>
          </w:tcPr>
          <w:p w14:paraId="17ED5A62" w14:textId="52865D92" w:rsidR="009D4DEA" w:rsidRPr="008015C6" w:rsidRDefault="009D4DEA" w:rsidP="00070197">
            <w:pPr>
              <w:jc w:val="right"/>
              <w:rPr>
                <w:sz w:val="22"/>
                <w:szCs w:val="22"/>
                <w:lang w:eastAsia="en-US"/>
              </w:rPr>
            </w:pPr>
            <w:r w:rsidRPr="008015C6">
              <w:rPr>
                <w:sz w:val="22"/>
                <w:szCs w:val="22"/>
                <w:lang w:eastAsia="en-US"/>
              </w:rPr>
              <w:t>5</w:t>
            </w: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07B116E1" w14:textId="26432CD0" w:rsidR="009D4DEA" w:rsidRPr="008015C6" w:rsidRDefault="009D4DEA" w:rsidP="00070197">
            <w:pPr>
              <w:jc w:val="right"/>
              <w:rPr>
                <w:sz w:val="22"/>
                <w:szCs w:val="22"/>
                <w:lang w:eastAsia="en-US"/>
              </w:rPr>
            </w:pPr>
            <w:r>
              <w:rPr>
                <w:sz w:val="22"/>
                <w:szCs w:val="22"/>
                <w:lang w:eastAsia="en-US"/>
              </w:rPr>
              <w:t>1</w:t>
            </w:r>
          </w:p>
        </w:tc>
        <w:tc>
          <w:tcPr>
            <w:tcW w:w="1468" w:type="dxa"/>
            <w:tcBorders>
              <w:top w:val="single" w:sz="4" w:space="0" w:color="auto"/>
              <w:left w:val="single" w:sz="4" w:space="0" w:color="auto"/>
              <w:bottom w:val="single" w:sz="4" w:space="0" w:color="auto"/>
              <w:right w:val="single" w:sz="4" w:space="0" w:color="auto"/>
            </w:tcBorders>
            <w:hideMark/>
          </w:tcPr>
          <w:p w14:paraId="2FC76ED6" w14:textId="5297CBE7" w:rsidR="009D4DEA" w:rsidRPr="008015C6" w:rsidRDefault="009D4DEA" w:rsidP="00070197">
            <w:pPr>
              <w:jc w:val="right"/>
              <w:rPr>
                <w:sz w:val="22"/>
                <w:szCs w:val="22"/>
                <w:lang w:eastAsia="en-US"/>
              </w:rPr>
            </w:pPr>
            <w:r>
              <w:rPr>
                <w:sz w:val="22"/>
                <w:szCs w:val="22"/>
                <w:lang w:eastAsia="en-US"/>
              </w:rPr>
              <w:t>8</w:t>
            </w:r>
          </w:p>
        </w:tc>
        <w:tc>
          <w:tcPr>
            <w:tcW w:w="1511" w:type="dxa"/>
            <w:tcBorders>
              <w:top w:val="single" w:sz="4" w:space="0" w:color="auto"/>
              <w:left w:val="single" w:sz="4" w:space="0" w:color="auto"/>
              <w:bottom w:val="single" w:sz="4" w:space="0" w:color="auto"/>
              <w:right w:val="single" w:sz="4" w:space="0" w:color="auto"/>
            </w:tcBorders>
            <w:hideMark/>
          </w:tcPr>
          <w:p w14:paraId="10F3CAF5" w14:textId="1B3174E5" w:rsidR="009D4DEA" w:rsidRPr="005C36CA" w:rsidRDefault="009D4DEA" w:rsidP="00070197">
            <w:pPr>
              <w:jc w:val="right"/>
              <w:rPr>
                <w:bCs/>
                <w:sz w:val="22"/>
                <w:szCs w:val="22"/>
                <w:lang w:eastAsia="en-US"/>
              </w:rPr>
            </w:pPr>
            <w:r w:rsidRPr="005C36CA">
              <w:rPr>
                <w:bCs/>
                <w:sz w:val="22"/>
                <w:szCs w:val="22"/>
                <w:lang w:eastAsia="en-US"/>
              </w:rPr>
              <w:t>65</w:t>
            </w:r>
          </w:p>
        </w:tc>
      </w:tr>
      <w:tr w:rsidR="009D4DEA" w14:paraId="22318239" w14:textId="77777777" w:rsidTr="00F36D46">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2F5C0E2" w14:textId="77777777" w:rsidR="009D4DEA" w:rsidRPr="008015C6" w:rsidRDefault="009D4DEA" w:rsidP="00A223B3">
            <w:pPr>
              <w:rPr>
                <w:sz w:val="22"/>
                <w:szCs w:val="22"/>
                <w:lang w:eastAsia="en-US"/>
              </w:rPr>
            </w:pPr>
            <w:r w:rsidRPr="008015C6">
              <w:rPr>
                <w:sz w:val="22"/>
                <w:szCs w:val="22"/>
                <w:lang w:eastAsia="en-US"/>
              </w:rPr>
              <w:t>Muži</w:t>
            </w:r>
          </w:p>
        </w:tc>
        <w:tc>
          <w:tcPr>
            <w:tcW w:w="1557" w:type="dxa"/>
            <w:tcBorders>
              <w:top w:val="single" w:sz="4" w:space="0" w:color="auto"/>
              <w:left w:val="single" w:sz="4" w:space="0" w:color="auto"/>
              <w:bottom w:val="single" w:sz="4" w:space="0" w:color="auto"/>
              <w:right w:val="single" w:sz="4" w:space="0" w:color="auto"/>
            </w:tcBorders>
          </w:tcPr>
          <w:p w14:paraId="3DEB9EC3" w14:textId="43C02564" w:rsidR="009D4DEA" w:rsidRPr="008015C6" w:rsidRDefault="009D4DEA" w:rsidP="00070197">
            <w:pPr>
              <w:jc w:val="right"/>
              <w:rPr>
                <w:sz w:val="22"/>
                <w:szCs w:val="22"/>
                <w:lang w:eastAsia="en-US"/>
              </w:rPr>
            </w:pPr>
            <w:r>
              <w:rPr>
                <w:sz w:val="22"/>
                <w:szCs w:val="22"/>
                <w:lang w:eastAsia="en-US"/>
              </w:rPr>
              <w:t>6</w:t>
            </w:r>
          </w:p>
        </w:tc>
        <w:tc>
          <w:tcPr>
            <w:tcW w:w="1553" w:type="dxa"/>
            <w:tcBorders>
              <w:top w:val="single" w:sz="4" w:space="0" w:color="auto"/>
              <w:left w:val="single" w:sz="4" w:space="0" w:color="auto"/>
              <w:bottom w:val="single" w:sz="4" w:space="0" w:color="auto"/>
              <w:right w:val="single" w:sz="4" w:space="0" w:color="auto"/>
            </w:tcBorders>
            <w:hideMark/>
          </w:tcPr>
          <w:p w14:paraId="38F56E5A" w14:textId="02D49AC8" w:rsidR="009D4DEA" w:rsidRPr="008015C6" w:rsidRDefault="009D4DEA" w:rsidP="00070197">
            <w:pPr>
              <w:jc w:val="right"/>
              <w:rPr>
                <w:sz w:val="22"/>
                <w:szCs w:val="22"/>
                <w:lang w:eastAsia="en-US"/>
              </w:rPr>
            </w:pPr>
            <w:r w:rsidRPr="008015C6">
              <w:rPr>
                <w:sz w:val="22"/>
                <w:szCs w:val="22"/>
                <w:lang w:eastAsia="en-US"/>
              </w:rPr>
              <w:t>5</w:t>
            </w:r>
            <w:r>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3A973AC7" w14:textId="77777777" w:rsidR="009D4DEA" w:rsidRPr="008015C6" w:rsidRDefault="009D4DEA" w:rsidP="00070197">
            <w:pPr>
              <w:jc w:val="right"/>
              <w:rPr>
                <w:sz w:val="22"/>
                <w:szCs w:val="22"/>
                <w:lang w:eastAsia="en-US"/>
              </w:rPr>
            </w:pPr>
            <w:r w:rsidRPr="008015C6">
              <w:rPr>
                <w:sz w:val="22"/>
                <w:szCs w:val="22"/>
                <w:lang w:eastAsia="en-US"/>
              </w:rPr>
              <w:t>0</w:t>
            </w:r>
          </w:p>
        </w:tc>
        <w:tc>
          <w:tcPr>
            <w:tcW w:w="1468" w:type="dxa"/>
            <w:tcBorders>
              <w:top w:val="single" w:sz="4" w:space="0" w:color="auto"/>
              <w:left w:val="single" w:sz="4" w:space="0" w:color="auto"/>
              <w:bottom w:val="single" w:sz="4" w:space="0" w:color="auto"/>
              <w:right w:val="single" w:sz="4" w:space="0" w:color="auto"/>
            </w:tcBorders>
            <w:hideMark/>
          </w:tcPr>
          <w:p w14:paraId="56B6B417" w14:textId="77777777" w:rsidR="009D4DEA" w:rsidRPr="008015C6" w:rsidRDefault="009D4DEA" w:rsidP="00070197">
            <w:pPr>
              <w:jc w:val="right"/>
              <w:rPr>
                <w:sz w:val="22"/>
                <w:szCs w:val="22"/>
                <w:lang w:eastAsia="en-US"/>
              </w:rPr>
            </w:pPr>
            <w:r w:rsidRPr="008015C6">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hideMark/>
          </w:tcPr>
          <w:p w14:paraId="3A27C15B" w14:textId="5FA6CA25" w:rsidR="009D4DEA" w:rsidRPr="005C36CA" w:rsidRDefault="009D4DEA" w:rsidP="00070197">
            <w:pPr>
              <w:jc w:val="right"/>
              <w:rPr>
                <w:bCs/>
                <w:sz w:val="22"/>
                <w:szCs w:val="22"/>
                <w:lang w:eastAsia="en-US"/>
              </w:rPr>
            </w:pPr>
            <w:r w:rsidRPr="005C36CA">
              <w:rPr>
                <w:bCs/>
                <w:sz w:val="22"/>
                <w:szCs w:val="22"/>
                <w:lang w:eastAsia="en-US"/>
              </w:rPr>
              <w:t>59</w:t>
            </w:r>
          </w:p>
        </w:tc>
      </w:tr>
      <w:tr w:rsidR="009D4DEA" w14:paraId="1E96BEE7" w14:textId="77777777" w:rsidTr="00F36D46">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05D8718" w14:textId="77777777" w:rsidR="009D4DEA" w:rsidRPr="00E826C3" w:rsidRDefault="009D4DEA" w:rsidP="00A223B3">
            <w:pPr>
              <w:rPr>
                <w:b/>
                <w:bCs/>
                <w:sz w:val="22"/>
                <w:szCs w:val="22"/>
                <w:lang w:eastAsia="en-US"/>
              </w:rPr>
            </w:pPr>
            <w:r w:rsidRPr="00E826C3">
              <w:rPr>
                <w:b/>
                <w:bCs/>
                <w:sz w:val="22"/>
                <w:szCs w:val="22"/>
                <w:lang w:eastAsia="en-US"/>
              </w:rPr>
              <w:t>Spolu</w:t>
            </w:r>
          </w:p>
        </w:tc>
        <w:tc>
          <w:tcPr>
            <w:tcW w:w="1557" w:type="dxa"/>
            <w:tcBorders>
              <w:top w:val="single" w:sz="4" w:space="0" w:color="auto"/>
              <w:left w:val="single" w:sz="4" w:space="0" w:color="auto"/>
              <w:bottom w:val="single" w:sz="4" w:space="0" w:color="auto"/>
              <w:right w:val="single" w:sz="4" w:space="0" w:color="auto"/>
            </w:tcBorders>
          </w:tcPr>
          <w:p w14:paraId="2898C13A" w14:textId="3CD77D2A" w:rsidR="009D4DEA" w:rsidRPr="008015C6" w:rsidRDefault="009D4DEA" w:rsidP="00070197">
            <w:pPr>
              <w:jc w:val="right"/>
              <w:rPr>
                <w:b/>
                <w:sz w:val="22"/>
                <w:szCs w:val="22"/>
                <w:lang w:eastAsia="en-US"/>
              </w:rPr>
            </w:pPr>
            <w:r>
              <w:rPr>
                <w:b/>
                <w:sz w:val="22"/>
                <w:szCs w:val="22"/>
                <w:lang w:eastAsia="en-US"/>
              </w:rPr>
              <w:t>11</w:t>
            </w:r>
          </w:p>
        </w:tc>
        <w:tc>
          <w:tcPr>
            <w:tcW w:w="1553" w:type="dxa"/>
            <w:tcBorders>
              <w:top w:val="single" w:sz="4" w:space="0" w:color="auto"/>
              <w:left w:val="single" w:sz="4" w:space="0" w:color="auto"/>
              <w:bottom w:val="single" w:sz="4" w:space="0" w:color="auto"/>
              <w:right w:val="single" w:sz="4" w:space="0" w:color="auto"/>
            </w:tcBorders>
            <w:hideMark/>
          </w:tcPr>
          <w:p w14:paraId="7F147B02" w14:textId="7F0DCE60" w:rsidR="009D4DEA" w:rsidRPr="008015C6" w:rsidRDefault="009D4DEA" w:rsidP="00070197">
            <w:pPr>
              <w:jc w:val="right"/>
              <w:rPr>
                <w:b/>
                <w:sz w:val="22"/>
                <w:szCs w:val="22"/>
                <w:lang w:eastAsia="en-US"/>
              </w:rPr>
            </w:pPr>
            <w:r w:rsidRPr="008015C6">
              <w:rPr>
                <w:b/>
                <w:sz w:val="22"/>
                <w:szCs w:val="22"/>
                <w:lang w:eastAsia="en-US"/>
              </w:rPr>
              <w:t>1</w:t>
            </w:r>
            <w:r>
              <w:rPr>
                <w:b/>
                <w:sz w:val="22"/>
                <w:szCs w:val="22"/>
                <w:lang w:eastAsia="en-US"/>
              </w:rPr>
              <w:t>03</w:t>
            </w:r>
          </w:p>
        </w:tc>
        <w:tc>
          <w:tcPr>
            <w:tcW w:w="1418" w:type="dxa"/>
            <w:tcBorders>
              <w:top w:val="single" w:sz="4" w:space="0" w:color="auto"/>
              <w:left w:val="single" w:sz="4" w:space="0" w:color="auto"/>
              <w:bottom w:val="single" w:sz="4" w:space="0" w:color="auto"/>
              <w:right w:val="single" w:sz="4" w:space="0" w:color="auto"/>
            </w:tcBorders>
            <w:hideMark/>
          </w:tcPr>
          <w:p w14:paraId="4FBFED04" w14:textId="7599660C" w:rsidR="009D4DEA" w:rsidRPr="008015C6" w:rsidRDefault="009D4DEA" w:rsidP="00070197">
            <w:pPr>
              <w:jc w:val="right"/>
              <w:rPr>
                <w:b/>
                <w:sz w:val="22"/>
                <w:szCs w:val="22"/>
                <w:lang w:eastAsia="en-US"/>
              </w:rPr>
            </w:pPr>
            <w:r>
              <w:rPr>
                <w:b/>
                <w:sz w:val="22"/>
                <w:szCs w:val="22"/>
                <w:lang w:eastAsia="en-US"/>
              </w:rPr>
              <w:t>1</w:t>
            </w:r>
          </w:p>
        </w:tc>
        <w:tc>
          <w:tcPr>
            <w:tcW w:w="1468" w:type="dxa"/>
            <w:tcBorders>
              <w:top w:val="single" w:sz="4" w:space="0" w:color="auto"/>
              <w:left w:val="single" w:sz="4" w:space="0" w:color="auto"/>
              <w:bottom w:val="single" w:sz="4" w:space="0" w:color="auto"/>
              <w:right w:val="single" w:sz="4" w:space="0" w:color="auto"/>
            </w:tcBorders>
            <w:hideMark/>
          </w:tcPr>
          <w:p w14:paraId="10F4A4DF" w14:textId="6689DD5C" w:rsidR="009D4DEA" w:rsidRPr="008015C6" w:rsidRDefault="009D4DEA" w:rsidP="00070197">
            <w:pPr>
              <w:jc w:val="right"/>
              <w:rPr>
                <w:b/>
                <w:sz w:val="22"/>
                <w:szCs w:val="22"/>
                <w:lang w:eastAsia="en-US"/>
              </w:rPr>
            </w:pPr>
            <w:r>
              <w:rPr>
                <w:b/>
                <w:sz w:val="22"/>
                <w:szCs w:val="22"/>
                <w:lang w:eastAsia="en-US"/>
              </w:rPr>
              <w:t>9</w:t>
            </w:r>
          </w:p>
        </w:tc>
        <w:tc>
          <w:tcPr>
            <w:tcW w:w="1511" w:type="dxa"/>
            <w:tcBorders>
              <w:top w:val="single" w:sz="4" w:space="0" w:color="auto"/>
              <w:left w:val="single" w:sz="4" w:space="0" w:color="auto"/>
              <w:bottom w:val="single" w:sz="4" w:space="0" w:color="auto"/>
              <w:right w:val="single" w:sz="4" w:space="0" w:color="auto"/>
            </w:tcBorders>
            <w:hideMark/>
          </w:tcPr>
          <w:p w14:paraId="1465C081" w14:textId="78F4CEFD" w:rsidR="009D4DEA" w:rsidRPr="008015C6" w:rsidRDefault="009D4DEA" w:rsidP="00070197">
            <w:pPr>
              <w:jc w:val="right"/>
              <w:rPr>
                <w:b/>
                <w:sz w:val="22"/>
                <w:szCs w:val="22"/>
                <w:lang w:eastAsia="en-US"/>
              </w:rPr>
            </w:pPr>
            <w:r w:rsidRPr="008015C6">
              <w:rPr>
                <w:b/>
                <w:sz w:val="22"/>
                <w:szCs w:val="22"/>
                <w:lang w:eastAsia="en-US"/>
              </w:rPr>
              <w:t>1</w:t>
            </w:r>
            <w:r>
              <w:rPr>
                <w:b/>
                <w:sz w:val="22"/>
                <w:szCs w:val="22"/>
                <w:lang w:eastAsia="en-US"/>
              </w:rPr>
              <w:t>24</w:t>
            </w:r>
          </w:p>
        </w:tc>
      </w:tr>
    </w:tbl>
    <w:p w14:paraId="167E3A22" w14:textId="77777777" w:rsidR="00920647" w:rsidRPr="005C36CA" w:rsidRDefault="00920647" w:rsidP="005C36CA">
      <w:pPr>
        <w:widowControl w:val="0"/>
        <w:autoSpaceDE w:val="0"/>
        <w:autoSpaceDN w:val="0"/>
        <w:adjustRightInd w:val="0"/>
        <w:jc w:val="both"/>
      </w:pPr>
      <w:r w:rsidRPr="005C36CA">
        <w:lastRenderedPageBreak/>
        <w:t>Z hľadiska vekovej štruktúry zamestnancov, skupina zamestnancov vo veku 61 rokov a viac predstavuje 12,10 % z celkového počtu zamestnancov, zamestnanci vo veku 46 – 60 rokov tvoria 50 % z celkového počtu zamestnancov, zamestnanci vo veku 36 – 45 rokov tvoria                 20,97 % z celkového počtu zamestnancov a zamestnanci vo veku 18 – 35 rokov tvoria 16,93 % z celkového počtu 124 zamestnancov k 31. 12. 2023. Štruktúra zamestnancov ÚJD SR podľa veku potvrdzuje dlhodobý trend a to, že výkon štátneho dozoru bol zabezpečovaný aj v roku 2023 zamestnancami s dlhoročnou odbornou praxou.</w:t>
      </w:r>
    </w:p>
    <w:p w14:paraId="0388EBC5" w14:textId="77777777" w:rsidR="00920647" w:rsidRPr="005C36CA" w:rsidRDefault="00920647" w:rsidP="005C36CA">
      <w:pPr>
        <w:widowControl w:val="0"/>
        <w:autoSpaceDE w:val="0"/>
        <w:autoSpaceDN w:val="0"/>
        <w:adjustRightInd w:val="0"/>
        <w:jc w:val="both"/>
      </w:pPr>
      <w:r w:rsidRPr="005C36CA">
        <w:t>ÚJD SR v rámci systemizácie vedie 17 štátnozamestnaneckých miest vedúcich zamestnancov, čo z celkového počtu rozpočtovaných 134 miest k 31. 12. 2023 predstavuje 12,69 %.</w:t>
      </w:r>
    </w:p>
    <w:p w14:paraId="36C987A2" w14:textId="77777777" w:rsidR="00920647" w:rsidRPr="005C36CA" w:rsidRDefault="00920647" w:rsidP="005C36CA">
      <w:pPr>
        <w:widowControl w:val="0"/>
        <w:autoSpaceDE w:val="0"/>
        <w:autoSpaceDN w:val="0"/>
        <w:adjustRightInd w:val="0"/>
        <w:jc w:val="both"/>
      </w:pPr>
      <w:r w:rsidRPr="005C36CA">
        <w:t>Získavanie, prehlbovanie a udržiavanie odborných kompetencií zamestnancov ÚJD SR je ďalším z predpokladov zvládnutia nových úloh súčasného právneho, ekonomického i vysoko náročného technického prostredia, ktorého súčasťou je aj jadrová energetika. Vzdelanosť patrí dnes k základným cieľom, ale zároveň aj k požiadavkám modernej spoločnosti. Požiadavky na vedomosti, schopnosti, zručnosti a skúsenosti zamestnanca v modernej spoločnosti sa neustále menia a aby zamestnanec mohol fungovať ako vysoko profesionálna pracovná sila, musí si ich neustále prehlbovať a rozširovať. Samostatnú kapitolu vzdelávania tvorí informatizácia verejnej správy a transparentnosť výkonu činností dozorného orgánu, ktoré si vyžadujú aktívne zapojenie zamestnancov do riešenia nových problémov, ktoré tieto oblasti prinášajú. Za týmto účelom je potrebné osvojenie si nových požiadaviek a povinností orgánov verejnej správy, ktoré zamestnanci musia plniť.</w:t>
      </w:r>
    </w:p>
    <w:p w14:paraId="6C652BFD" w14:textId="77777777" w:rsidR="00920647" w:rsidRPr="005C36CA" w:rsidRDefault="00920647" w:rsidP="005C36CA">
      <w:pPr>
        <w:widowControl w:val="0"/>
        <w:autoSpaceDE w:val="0"/>
        <w:autoSpaceDN w:val="0"/>
        <w:adjustRightInd w:val="0"/>
        <w:jc w:val="both"/>
      </w:pPr>
      <w:r w:rsidRPr="005C36CA">
        <w:t>Vzdelávanie zamestnancov bolo rozpracované v pláne kontinuálneho vzdelávania zamestnancov ÚJD SR na rok 2023, s celoročným obsahovým zameraním vzdelávacích potrieb všetkých organizačných útvarov. V rámci procesu vzdelávania boli zamestnancom ponúkané aj ad hoc zasielané vzdelávacie aktivity, organizované externými vzdelávacími inštitúciami. Vzdelávanie bolo orientované na všetky odborné oblasti, ktoré ÚJD SR zabezpečuje. Zamestnanci ÚJD SR využívali rôzne formy individuálneho a hromadného vzdelávania ako napr. aj e-learning, samoštúdium, online konferencie a pod. Vedúci zamestnanci využili ponuku Centra vzdelávania a hodnotenia Úradu vlády SR a zúčastnili sa na školeniach zameraných na podporu rozvoja manažérskych zručností. Zamestnanci ÚJD SR sa pravidelne zúčastňujú workshopov a vzdelávacích podujatí organizovaných medzinárodnými organizáciami ako MAAE vo Viedni a OECD/NEA v Paríži. Vzdelávanie a formovanie pracovných schopností a zručností sa v podmienkach ÚJD SR stáva celoživotným procesom, pretože je nevyhnutné permanentne zohľadňovať aktuálne potreby vyvolané realitou zmien.</w:t>
      </w:r>
    </w:p>
    <w:p w14:paraId="00557676" w14:textId="77777777" w:rsidR="00920647" w:rsidRPr="005C36CA" w:rsidRDefault="00920647" w:rsidP="005C36CA">
      <w:pPr>
        <w:widowControl w:val="0"/>
        <w:autoSpaceDE w:val="0"/>
        <w:autoSpaceDN w:val="0"/>
        <w:adjustRightInd w:val="0"/>
        <w:jc w:val="both"/>
      </w:pPr>
      <w:r w:rsidRPr="005C36CA">
        <w:t>Výdavky na vzdelávanie zamestnancov ÚJD SR boli v pláne kontinuálneho vzdelávania zamestnancov ÚJD SR na rok 2023 rozpočtované v sume 180 000 eur. Viac ako 70 % finančných prostriedkov vynaložených v roku 2023 na vzdelávanie zamestnancov ÚJD SR bolo alokovaných na odborné vzdelávanie, predovšetkým v oblasti výkonu jadrového dozoru. Z uvedeného je zrejmé, že ÚJD SR v oblasti vzdelávania kladie veľký dôraz na vysoko špecializovanú odbornú prípravu zamestnancov v oblasti pôsobnosti úradu, prostredníctvom ktorého najmä inšpektori a inšpektori-čakatelia získavajú potrebné vedomosti a zručnosti na výkon inšpekčnej činnosti. Samostatne boli vyčlenené finančné prostriedky na vzdelávanie aj v oblasti informatiky a kybernetickej bezpečnosti. Rovnaký dôraz sa kladie na vzdelávanie štátnych zamestnancov v ostatných odboroch štátnej služby a na vzdelávanie zamestnancov pri výkone práce vo verejnom záujme, aby ich vzdelávanie bolo priebežné a aktuálne vzhľadom na prebiehajúce zmeny v legislatíve i v štátnej správe.</w:t>
      </w:r>
    </w:p>
    <w:p w14:paraId="69AE2F8F" w14:textId="55EDBC1A" w:rsidR="00920647" w:rsidRPr="005C36CA" w:rsidRDefault="00920647" w:rsidP="005C36CA">
      <w:pPr>
        <w:widowControl w:val="0"/>
        <w:autoSpaceDE w:val="0"/>
        <w:autoSpaceDN w:val="0"/>
        <w:adjustRightInd w:val="0"/>
        <w:jc w:val="both"/>
      </w:pPr>
      <w:r w:rsidRPr="005C36CA">
        <w:t>Adaptácia novo</w:t>
      </w:r>
      <w:r w:rsidR="00E60988">
        <w:t>-</w:t>
      </w:r>
      <w:r w:rsidRPr="005C36CA">
        <w:t xml:space="preserve">nastúpených štátnych zamestnancov bola zabezpečená adaptačným vzdelávaním a inštitútom </w:t>
      </w:r>
      <w:proofErr w:type="spellStart"/>
      <w:r w:rsidRPr="005C36CA">
        <w:t>mentoringu</w:t>
      </w:r>
      <w:proofErr w:type="spellEnd"/>
      <w:r w:rsidRPr="005C36CA">
        <w:t>, t. j. prostredníctvom prideleného mentora. Uvedený proces absolvovali v roku 2023 deviati štátni zamestnanci. V rámci adaptačného vzdelávania si novo</w:t>
      </w:r>
      <w:r w:rsidR="00E60988">
        <w:t>-</w:t>
      </w:r>
      <w:r w:rsidRPr="005C36CA">
        <w:t>nastúpení zamestnanci osvojili základné zručnosti a získali základné informácie, potrebné na výkon štátnej služby v príslušnom odbore štátnej služby.</w:t>
      </w:r>
    </w:p>
    <w:p w14:paraId="5A635E9C" w14:textId="77777777" w:rsidR="00920647" w:rsidRPr="005C36CA" w:rsidRDefault="00920647" w:rsidP="005C36CA">
      <w:pPr>
        <w:widowControl w:val="0"/>
        <w:autoSpaceDE w:val="0"/>
        <w:autoSpaceDN w:val="0"/>
        <w:adjustRightInd w:val="0"/>
        <w:jc w:val="both"/>
      </w:pPr>
      <w:r w:rsidRPr="005C36CA">
        <w:lastRenderedPageBreak/>
        <w:t xml:space="preserve">Náležitú pozornosť venoval ÚJD SR jazykovému vzdelávaniu, najmä výuke cudzích jazykov, a to výuke anglického jazyka a francúzskeho jazyka. </w:t>
      </w:r>
    </w:p>
    <w:p w14:paraId="313170D9" w14:textId="77777777" w:rsidR="00920647" w:rsidRDefault="00920647" w:rsidP="005C36CA">
      <w:pPr>
        <w:widowControl w:val="0"/>
        <w:autoSpaceDE w:val="0"/>
        <w:autoSpaceDN w:val="0"/>
        <w:adjustRightInd w:val="0"/>
        <w:jc w:val="both"/>
      </w:pPr>
      <w:r w:rsidRPr="005C36CA">
        <w:t xml:space="preserve">Služobný úrad zaviedol </w:t>
      </w:r>
      <w:r>
        <w:t xml:space="preserve">systematické vzdelávanie zamestnancov ÚJD SR v oblasti jazykovej kultúry a uvedené má vysoko pozitívny vplyv na jazykovú stránku dokumentov a materiálov vznikajúcich v činnosti služobného úradu. </w:t>
      </w:r>
    </w:p>
    <w:p w14:paraId="50C2F711" w14:textId="77777777" w:rsidR="00920647" w:rsidRPr="005C36CA" w:rsidRDefault="00920647" w:rsidP="005C36CA">
      <w:pPr>
        <w:widowControl w:val="0"/>
        <w:autoSpaceDE w:val="0"/>
        <w:autoSpaceDN w:val="0"/>
        <w:adjustRightInd w:val="0"/>
        <w:jc w:val="both"/>
      </w:pPr>
      <w:r w:rsidRPr="005C36CA">
        <w:t>ÚJD SR ako ostatný ústredný orgán štátnej správy dosiahol kvalitou práce svojich zamestnancov stav, ktorý je vysoko pozitívne hodnotený v domácom prostredí, ale aj v zahraničí, čo dokazuje vysokú odbornú úroveň a profesionalitu zamestnancov dozorného orgánu.</w:t>
      </w:r>
    </w:p>
    <w:p w14:paraId="628D36E4" w14:textId="77777777" w:rsidR="00920647" w:rsidRDefault="00920647" w:rsidP="00920647"/>
    <w:p w14:paraId="000B7297" w14:textId="2387B7E7" w:rsidR="008022F8" w:rsidRPr="003D7AAC" w:rsidRDefault="008022F8" w:rsidP="007C21EA">
      <w:pPr>
        <w:pStyle w:val="Nadpis1"/>
        <w:numPr>
          <w:ilvl w:val="0"/>
          <w:numId w:val="7"/>
        </w:numPr>
        <w:tabs>
          <w:tab w:val="clear" w:pos="2771"/>
        </w:tabs>
        <w:ind w:left="567" w:hanging="567"/>
        <w:jc w:val="both"/>
      </w:pPr>
      <w:bookmarkStart w:id="75" w:name="_Toc161214337"/>
      <w:r w:rsidRPr="003D7AAC">
        <w:t>ROZVOJ DOZORNÝCH ČINNOSTÍ</w:t>
      </w:r>
      <w:bookmarkEnd w:id="75"/>
    </w:p>
    <w:p w14:paraId="28A6CD72" w14:textId="77777777" w:rsidR="00D8195D" w:rsidRPr="00D8195D" w:rsidRDefault="00D8195D" w:rsidP="00D8195D">
      <w:pPr>
        <w:rPr>
          <w:highlight w:val="red"/>
          <w:lang w:val="x-none" w:eastAsia="cs-CZ"/>
        </w:rPr>
      </w:pPr>
    </w:p>
    <w:p w14:paraId="09188CA9" w14:textId="77777777" w:rsidR="00175ACD" w:rsidRDefault="00175ACD" w:rsidP="00175ACD">
      <w:pPr>
        <w:jc w:val="both"/>
      </w:pPr>
      <w:r>
        <w:t>Udržiavaniu vysokej odbornej úrovne a profesionality zamestnancov dozoru napomáha uplatňovanie výsledkov vedy a výskumu na ÚJD SR a výmena skúseností a poznatkov v rámci aktívnej účasti ÚJD SR v rôznych medzinárodných expertných tímoch.</w:t>
      </w:r>
    </w:p>
    <w:p w14:paraId="0DD8DD07" w14:textId="77777777" w:rsidR="00175ACD" w:rsidRDefault="00175ACD" w:rsidP="00175ACD">
      <w:pPr>
        <w:jc w:val="both"/>
      </w:pPr>
      <w:r>
        <w:t>ÚJD SR je zapojený do výskumného projektu Komisie pre jadrový dozor USA v oblasti ťažkých havárií. Vďaka účasti na projekte má ÚJD SR k dispozícii americký výpočtový program MELCOR (angl. „</w:t>
      </w:r>
      <w:proofErr w:type="spellStart"/>
      <w:r>
        <w:t>MELting</w:t>
      </w:r>
      <w:proofErr w:type="spellEnd"/>
      <w:r>
        <w:t xml:space="preserve"> </w:t>
      </w:r>
      <w:proofErr w:type="spellStart"/>
      <w:r>
        <w:t>CORe</w:t>
      </w:r>
      <w:proofErr w:type="spellEnd"/>
      <w:r>
        <w:t xml:space="preserve">“) a jeho doplnkový nástroj MACCS (angl. „MELCOR </w:t>
      </w:r>
      <w:proofErr w:type="spellStart"/>
      <w:r>
        <w:t>Accident</w:t>
      </w:r>
      <w:proofErr w:type="spellEnd"/>
      <w:r>
        <w:t xml:space="preserve"> </w:t>
      </w:r>
      <w:proofErr w:type="spellStart"/>
      <w:r>
        <w:t>Consequence</w:t>
      </w:r>
      <w:proofErr w:type="spellEnd"/>
      <w:r>
        <w:t xml:space="preserve"> </w:t>
      </w:r>
      <w:proofErr w:type="spellStart"/>
      <w:r>
        <w:t>Code</w:t>
      </w:r>
      <w:proofErr w:type="spellEnd"/>
      <w:r>
        <w:t xml:space="preserve"> </w:t>
      </w:r>
      <w:proofErr w:type="spellStart"/>
      <w:r>
        <w:t>System</w:t>
      </w:r>
      <w:proofErr w:type="spellEnd"/>
      <w:r>
        <w:t>“). Používa ich na overovacie výpočty analýz ťažkých havárií, ktoré držitelia povolenia predkladajú ÚJD SR v rámci správnych konaní. Počas pracovných stretnutí projektu si jeho členovia vymieňajú skúsenosti a poznatky v oblasti modelovania ťažkých havárií a hodnotenia reakcií JZ na havárie. Vďaka zlepšeniu epidemiologickej situácie a postupnému rušeniu s ňou súvisiacich obmedzení sa pracovné stretnutia v roku 2023 uskutočnili v hybridnom formáte, teda kombináciou prezenčnej a dištančnej (on-line) formy.</w:t>
      </w:r>
    </w:p>
    <w:p w14:paraId="5A8A0D7E" w14:textId="170BF400" w:rsidR="00175ACD" w:rsidRDefault="00175ACD" w:rsidP="00175ACD">
      <w:pPr>
        <w:jc w:val="both"/>
      </w:pPr>
      <w:r>
        <w:t>ÚJD SR získava skúsenosti a technické informácie aj účasťou v medzinárodných projektoch a pracovných skupinách OECD/NEA. V rámci tzv. spoločných projektov (angl. „</w:t>
      </w:r>
      <w:proofErr w:type="spellStart"/>
      <w:r>
        <w:t>joint</w:t>
      </w:r>
      <w:proofErr w:type="spellEnd"/>
      <w:r>
        <w:t xml:space="preserve"> </w:t>
      </w:r>
      <w:proofErr w:type="spellStart"/>
      <w:r>
        <w:t>projects</w:t>
      </w:r>
      <w:proofErr w:type="spellEnd"/>
      <w:r>
        <w:t>“) pracovnej skupiny WGAMA (</w:t>
      </w:r>
      <w:r w:rsidR="008D6805">
        <w:t>PS</w:t>
      </w:r>
      <w:r>
        <w:t xml:space="preserve"> analýz a riadenia havárií, angl. „WG on </w:t>
      </w:r>
      <w:proofErr w:type="spellStart"/>
      <w:r>
        <w:t>the</w:t>
      </w:r>
      <w:proofErr w:type="spellEnd"/>
      <w:r>
        <w:t xml:space="preserve"> </w:t>
      </w:r>
      <w:proofErr w:type="spellStart"/>
      <w:r>
        <w:t>Analysis</w:t>
      </w:r>
      <w:proofErr w:type="spellEnd"/>
      <w:r>
        <w:t xml:space="preserve"> and management of </w:t>
      </w:r>
      <w:proofErr w:type="spellStart"/>
      <w:r>
        <w:t>Accidents</w:t>
      </w:r>
      <w:proofErr w:type="spellEnd"/>
      <w:r>
        <w:t xml:space="preserve">“) je ÚJD SR od novembra 2020 zapojený do experimentálneho projektu THEMIS (t. j. THAI </w:t>
      </w:r>
      <w:proofErr w:type="spellStart"/>
      <w:r>
        <w:t>Experiments</w:t>
      </w:r>
      <w:proofErr w:type="spellEnd"/>
      <w:r>
        <w:t xml:space="preserve"> on </w:t>
      </w:r>
      <w:proofErr w:type="spellStart"/>
      <w:r>
        <w:t>Mitigation</w:t>
      </w:r>
      <w:proofErr w:type="spellEnd"/>
      <w:r>
        <w:t xml:space="preserve"> </w:t>
      </w:r>
      <w:proofErr w:type="spellStart"/>
      <w:r>
        <w:t>measures</w:t>
      </w:r>
      <w:proofErr w:type="spellEnd"/>
      <w:r>
        <w:t xml:space="preserve">, and </w:t>
      </w:r>
      <w:proofErr w:type="spellStart"/>
      <w:r>
        <w:t>source</w:t>
      </w:r>
      <w:proofErr w:type="spellEnd"/>
      <w:r>
        <w:t xml:space="preserve"> term </w:t>
      </w:r>
      <w:proofErr w:type="spellStart"/>
      <w:r>
        <w:t>issues</w:t>
      </w:r>
      <w:proofErr w:type="spellEnd"/>
      <w:r>
        <w:t xml:space="preserve"> to </w:t>
      </w:r>
      <w:proofErr w:type="spellStart"/>
      <w:r>
        <w:t>support</w:t>
      </w:r>
      <w:proofErr w:type="spellEnd"/>
      <w:r>
        <w:t xml:space="preserve"> </w:t>
      </w:r>
      <w:proofErr w:type="spellStart"/>
      <w:r>
        <w:t>analysis</w:t>
      </w:r>
      <w:proofErr w:type="spellEnd"/>
      <w:r>
        <w:t xml:space="preserve"> and </w:t>
      </w:r>
      <w:proofErr w:type="spellStart"/>
      <w:r>
        <w:t>further</w:t>
      </w:r>
      <w:proofErr w:type="spellEnd"/>
      <w:r>
        <w:t xml:space="preserve"> </w:t>
      </w:r>
      <w:proofErr w:type="spellStart"/>
      <w:r>
        <w:t>Improvement</w:t>
      </w:r>
      <w:proofErr w:type="spellEnd"/>
      <w:r>
        <w:t xml:space="preserve"> of Severe </w:t>
      </w:r>
      <w:proofErr w:type="spellStart"/>
      <w:r>
        <w:t>accident</w:t>
      </w:r>
      <w:proofErr w:type="spellEnd"/>
      <w:r>
        <w:t xml:space="preserve"> management </w:t>
      </w:r>
      <w:proofErr w:type="spellStart"/>
      <w:r>
        <w:t>measures</w:t>
      </w:r>
      <w:proofErr w:type="spellEnd"/>
      <w:r>
        <w:t xml:space="preserve">). Projekt potrvá do apríla 2024. Jeho cieľom je experimentálne a analytické skúmanie procesov a javov neskorej fázy ťažkých havárií so zameraním sa na správanie typických horľavých/výbušných plynov a štiepnych produktov v priestoroch ochrannej obálky reaktorov. V júli 2023 sa uskutočnilo v poradí už piate stretnutie riadiaceho a programového výboru projektu. Na stretnutí boli prerokované administratívno-organizačné a finančné otázky zabezpečenia projektu a schválený návrh zostávajúceho časového a obsahového harmonogramu záverečného experimentu a analytický program. ÚJD SR je aktívne zapojený aj do činnosti skupiny na vedenie k bezpečnosti a kultúru bezpečnosti WGLSC (angl. „WG on </w:t>
      </w:r>
      <w:proofErr w:type="spellStart"/>
      <w:r>
        <w:t>Leadership</w:t>
      </w:r>
      <w:proofErr w:type="spellEnd"/>
      <w:r>
        <w:t xml:space="preserve"> and </w:t>
      </w:r>
      <w:proofErr w:type="spellStart"/>
      <w:r>
        <w:t>Safety</w:t>
      </w:r>
      <w:proofErr w:type="spellEnd"/>
      <w:r>
        <w:t xml:space="preserve"> </w:t>
      </w:r>
      <w:proofErr w:type="spellStart"/>
      <w:r>
        <w:t>Culture</w:t>
      </w:r>
      <w:proofErr w:type="spellEnd"/>
      <w:r>
        <w:t>“). V roku 2023 sa uskutočnili dve pracovné stretnutia tejto skupiny. Boli zamerané na dokumentovanie výsledkov samohodnotenia kultúry bezpečnosti a vedenie k bezpečnosti u držiteľov povolenia a na spracovanie hodnotiacej správy. Obe správy skupiny WGLSC („</w:t>
      </w:r>
      <w:proofErr w:type="spellStart"/>
      <w:r>
        <w:t>The</w:t>
      </w:r>
      <w:proofErr w:type="spellEnd"/>
      <w:r>
        <w:t xml:space="preserve"> </w:t>
      </w:r>
      <w:proofErr w:type="spellStart"/>
      <w:r>
        <w:t>impact</w:t>
      </w:r>
      <w:proofErr w:type="spellEnd"/>
      <w:r>
        <w:t xml:space="preserve"> of </w:t>
      </w:r>
      <w:proofErr w:type="spellStart"/>
      <w:r>
        <w:t>the</w:t>
      </w:r>
      <w:proofErr w:type="spellEnd"/>
      <w:r>
        <w:t xml:space="preserve"> </w:t>
      </w:r>
      <w:proofErr w:type="spellStart"/>
      <w:r>
        <w:t>regulatory</w:t>
      </w:r>
      <w:proofErr w:type="spellEnd"/>
      <w:r>
        <w:t xml:space="preserve"> </w:t>
      </w:r>
      <w:proofErr w:type="spellStart"/>
      <w:r>
        <w:t>bodies</w:t>
      </w:r>
      <w:proofErr w:type="spellEnd"/>
      <w:r>
        <w:t xml:space="preserve"> on </w:t>
      </w:r>
      <w:proofErr w:type="spellStart"/>
      <w:r>
        <w:t>the</w:t>
      </w:r>
      <w:proofErr w:type="spellEnd"/>
      <w:r>
        <w:t xml:space="preserve"> </w:t>
      </w:r>
      <w:proofErr w:type="spellStart"/>
      <w:r>
        <w:t>organisations</w:t>
      </w:r>
      <w:proofErr w:type="spellEnd"/>
      <w:r>
        <w:t xml:space="preserve"> </w:t>
      </w:r>
      <w:proofErr w:type="spellStart"/>
      <w:r>
        <w:t>they</w:t>
      </w:r>
      <w:proofErr w:type="spellEnd"/>
      <w:r>
        <w:t xml:space="preserve"> </w:t>
      </w:r>
      <w:proofErr w:type="spellStart"/>
      <w:r>
        <w:t>oversee</w:t>
      </w:r>
      <w:proofErr w:type="spellEnd"/>
      <w:r>
        <w:t xml:space="preserve"> (and </w:t>
      </w:r>
      <w:proofErr w:type="spellStart"/>
      <w:r>
        <w:t>vice</w:t>
      </w:r>
      <w:proofErr w:type="spellEnd"/>
      <w:r>
        <w:t xml:space="preserve"> </w:t>
      </w:r>
      <w:proofErr w:type="spellStart"/>
      <w:r>
        <w:t>versa</w:t>
      </w:r>
      <w:proofErr w:type="spellEnd"/>
      <w:r>
        <w:t xml:space="preserve">) </w:t>
      </w:r>
      <w:proofErr w:type="spellStart"/>
      <w:r>
        <w:t>from</w:t>
      </w:r>
      <w:proofErr w:type="spellEnd"/>
      <w:r>
        <w:t xml:space="preserve"> a </w:t>
      </w:r>
      <w:proofErr w:type="spellStart"/>
      <w:r>
        <w:t>safety</w:t>
      </w:r>
      <w:proofErr w:type="spellEnd"/>
      <w:r>
        <w:t xml:space="preserve"> </w:t>
      </w:r>
      <w:proofErr w:type="spellStart"/>
      <w:r>
        <w:t>culture</w:t>
      </w:r>
      <w:proofErr w:type="spellEnd"/>
      <w:r>
        <w:t xml:space="preserve"> </w:t>
      </w:r>
      <w:proofErr w:type="spellStart"/>
      <w:r>
        <w:t>perspective</w:t>
      </w:r>
      <w:proofErr w:type="spellEnd"/>
      <w:r>
        <w:t>“ a „</w:t>
      </w:r>
      <w:proofErr w:type="spellStart"/>
      <w:r>
        <w:t>Leadership</w:t>
      </w:r>
      <w:proofErr w:type="spellEnd"/>
      <w:r>
        <w:t xml:space="preserve"> </w:t>
      </w:r>
      <w:proofErr w:type="spellStart"/>
      <w:r>
        <w:t>for</w:t>
      </w:r>
      <w:proofErr w:type="spellEnd"/>
      <w:r>
        <w:t xml:space="preserve"> </w:t>
      </w:r>
      <w:proofErr w:type="spellStart"/>
      <w:r>
        <w:t>Safety</w:t>
      </w:r>
      <w:proofErr w:type="spellEnd"/>
      <w:r>
        <w:t>“) následne odsúhlasil výbor CNRA NEA.</w:t>
      </w:r>
    </w:p>
    <w:p w14:paraId="7D347223" w14:textId="77777777" w:rsidR="00175ACD" w:rsidRDefault="00175ACD" w:rsidP="00175ACD">
      <w:pPr>
        <w:jc w:val="both"/>
      </w:pPr>
      <w:r>
        <w:t>Pracovné skupiny OECD/NEA organizujú aj rôzne medzinárodné konferencie, semináre a pracovné stretnutia zamerané na riešenie aktuálnych otázok bezpečnosti JZ, výmenu skúseností a vzájomnú pomoc. Experti ÚJD SR sa aktívne zapájajú do prípravy a posudzovania mnohých odborných referátov, návrhov a koncepcií. Prispieva to k ich ďalšiemu odbornému rastu, informovanosti a výmene poznatkov a skúseností v oblasti zvyšovania jadrovej bezpečnosti.</w:t>
      </w:r>
    </w:p>
    <w:p w14:paraId="392B5ED4" w14:textId="53BADAE6" w:rsidR="00175ACD" w:rsidRDefault="00175ACD" w:rsidP="00175ACD">
      <w:pPr>
        <w:jc w:val="both"/>
      </w:pPr>
      <w:r>
        <w:lastRenderedPageBreak/>
        <w:t xml:space="preserve">ÚJD SR v rámci medzinárodnej spolupráce v oblasti jadrovej bezpečnosti pomáha aj pri rozvoji jadrových dozorných orgánov iných krajín. Cieľom týchto projektov je zvyšovanie schopností dozorov tretích krajín v oblasti jadrovej a radiačnej bezpečnosti prostredníctvom výmeny skúseností a podpory využitia najlepšej medzinárodnej praxe. Príkladom takejto pomoci sú projekty EK na podporu Úradu jadrového dozoru Iránu </w:t>
      </w:r>
      <w:r w:rsidR="003F6484">
        <w:t xml:space="preserve">– </w:t>
      </w:r>
      <w:proofErr w:type="spellStart"/>
      <w:r>
        <w:t>Iranian</w:t>
      </w:r>
      <w:proofErr w:type="spellEnd"/>
      <w:r>
        <w:t xml:space="preserve"> </w:t>
      </w:r>
      <w:proofErr w:type="spellStart"/>
      <w:r>
        <w:t>Nuclear</w:t>
      </w:r>
      <w:proofErr w:type="spellEnd"/>
      <w:r>
        <w:t xml:space="preserve"> </w:t>
      </w:r>
      <w:proofErr w:type="spellStart"/>
      <w:r>
        <w:t>Regulatory</w:t>
      </w:r>
      <w:proofErr w:type="spellEnd"/>
      <w:r>
        <w:t xml:space="preserve"> </w:t>
      </w:r>
      <w:proofErr w:type="spellStart"/>
      <w:r>
        <w:t>Authority</w:t>
      </w:r>
      <w:proofErr w:type="spellEnd"/>
      <w:r w:rsidR="003F6484">
        <w:t xml:space="preserve"> (</w:t>
      </w:r>
      <w:r>
        <w:t>INRA) a Úradu jadrového dozoru Ghany (</w:t>
      </w:r>
      <w:proofErr w:type="spellStart"/>
      <w:r>
        <w:t>Regulatory</w:t>
      </w:r>
      <w:proofErr w:type="spellEnd"/>
      <w:r>
        <w:t xml:space="preserve"> </w:t>
      </w:r>
      <w:proofErr w:type="spellStart"/>
      <w:r>
        <w:t>Authority</w:t>
      </w:r>
      <w:proofErr w:type="spellEnd"/>
      <w:r>
        <w:t xml:space="preserve"> of Ghana). Do projektov na podporu INRA je ÚJD SR zapojený v rámci konzorcia s firmou ENCO a partnerskými dozormi Českej republiky, Maďarska a Slovinska. Sú zamerané na podporu INRA na prípravu misie IRRS v Iráne, na rozvoj dozorného rámca jadrovej bezpečnosti a na rozvoj dozoru v oblasti kultúry jadrovej bezpečnosti. V roku 2023 sa ÚJD SR podieľal na príprave a realizácii seminára k partnerskej previerke záťažových testov. Účelom seminára bola výmena skúseností z partnerskej previerky záťažových testov JE, tvorby národných akčných plánov a ich implementácie medzi európskymi krajinami, Arménskom a predstaviteľmi iránskeho dozoru, JE </w:t>
      </w:r>
      <w:proofErr w:type="spellStart"/>
      <w:r>
        <w:t>Bušer</w:t>
      </w:r>
      <w:proofErr w:type="spellEnd"/>
      <w:r>
        <w:t xml:space="preserve"> a jej technickej podpornej organizácie. Do projektu na podporu rozvoja jadrového dozoru Ghany je ÚJD SR zapojený v rámci konzorcia s firmou ENCO a partnerskými dozormi Maďarska a Slovinska. Na jeseň 2023 sa začal nový projekt EK na podporu tureckého jadrového dozorného orgánu a jeho technických podporných organizácií (TSO) pri uvádzaní novej JE do prevádzky. Do tohto nového projektu je ÚJD SR zapojený v rámci širokého konzorcia s firmou ENCO, partnerskými dozormi a ich TSO z Maďarska a Slovinska, ako aj TSO z Českej republiky (ÚJV, SÚRO), Fínska (STUK International) a Nemecka (TUEV-</w:t>
      </w:r>
      <w:proofErr w:type="spellStart"/>
      <w:r>
        <w:t>Nord</w:t>
      </w:r>
      <w:proofErr w:type="spellEnd"/>
      <w:r>
        <w:t>).</w:t>
      </w:r>
    </w:p>
    <w:p w14:paraId="20BD5497" w14:textId="77777777" w:rsidR="00175ACD" w:rsidRDefault="00175ACD" w:rsidP="00175ACD">
      <w:pPr>
        <w:jc w:val="both"/>
      </w:pPr>
      <w:r>
        <w:t>Experti ÚJD SR sa aktívne zapájajú do riešenia kľúčových úloh v zmysle priorít WENRA v rámci dvoch pracovných skupín (PS) WENRA – PS pre harmonizáciu požiadaviek na bezpečnosť jadrových reaktorov (RHWG) a PS pre harmonizáciu požiadaviek na bezpečnosť nakladania s rádioaktívnym odpadom a vyraďovania JZ z prevádzky (WGWD).</w:t>
      </w:r>
    </w:p>
    <w:p w14:paraId="1A62E6A5" w14:textId="27F4996C" w:rsidR="00175ACD" w:rsidRDefault="00175ACD" w:rsidP="00175ACD">
      <w:pPr>
        <w:jc w:val="both"/>
      </w:pPr>
      <w:r>
        <w:t xml:space="preserve">Cieľom RHWG je neustále zvyšovanie bezpečnosti jadrových reaktorov a znižovanie nepotrebných rozdielov v bezpečnostných štandardoch členských štátov. Preto vytvorila bezpečnostné referenčné úrovne (BRÚ, angl. </w:t>
      </w:r>
      <w:proofErr w:type="spellStart"/>
      <w:r>
        <w:t>SRLs</w:t>
      </w:r>
      <w:proofErr w:type="spellEnd"/>
      <w:r>
        <w:t xml:space="preserve">) pre existujúce </w:t>
      </w:r>
      <w:r w:rsidR="00D83124">
        <w:t>JE</w:t>
      </w:r>
      <w:r>
        <w:t>. Členské krajiny sa tieto BRÚ zaviazali implementovať do svojho dozorného rámca. Zaviazali sa aj k ich pravidelnej aktualizácií na základe nových skúseností a poznatkov. Aktuálne platná revízia bola vydaná vo februári 2021 s označením 2020. Členovia RHWG v roku 2023 dokončili analýzu nedostatkov BRÚ a prediskutovali jej výsledky. Vo všeobecnosti medzi nimi vrátane zástupcov ÚJD SR prevláda názor, aby sa existujúce BRÚ aktualizovali iba v nevyhnutnom prípade. Prípadnú aktualizáciu je vhodné odložiť, kým budú spracované BRÚ pre nové reaktory a všeobecné referenčné úrovne. To by sa mohlo udiať niekedy v horizonte rok</w:t>
      </w:r>
      <w:r w:rsidR="00112F3A">
        <w:t>a</w:t>
      </w:r>
      <w:r>
        <w:t xml:space="preserve"> 2026. </w:t>
      </w:r>
    </w:p>
    <w:p w14:paraId="5F370DD9" w14:textId="100AEF29" w:rsidR="00175ACD" w:rsidRDefault="00175ACD" w:rsidP="00175ACD">
      <w:pPr>
        <w:jc w:val="both"/>
      </w:pPr>
      <w:r>
        <w:t xml:space="preserve">V roku 2023 skupina RHWG dokončila partnerské porovnanie implementácie BRÚ WENRA RHWG 2014 na </w:t>
      </w:r>
      <w:r w:rsidR="00D83124">
        <w:t>JE</w:t>
      </w:r>
      <w:r>
        <w:t xml:space="preserve"> pre položku F – rozšírenie projektu existujúcich reaktorov. Na plenárnom zasadaní WENRA boli správy RHWG s výsledkami porovnania schválené a sumárna správa porovnania bola zverejnená na webovom sídle WENRA. V rámci RHWG pokračovala aj diskusia o potrebe aktualizovať bezpečnostné ciele nových reaktorov vzhľadom na výzvy týkajúce sa malých modulárnych reaktorov (SMR). Plenárne zasadanie WENRA dalo súhlas na spracovanie takejto revízie. Revidované bezpečnostné ciele by mali byť technologicky neutrálne a zahŕňať všetky nové priemyselné reaktory bez ohľadu na ich výkon, teda nielen SMR.</w:t>
      </w:r>
    </w:p>
    <w:p w14:paraId="5E1B29BA" w14:textId="0177FF35" w:rsidR="00175ACD" w:rsidRDefault="00175ACD" w:rsidP="00175ACD">
      <w:pPr>
        <w:jc w:val="both"/>
      </w:pPr>
      <w:r>
        <w:t xml:space="preserve">Cieľom WGWD je harmonizácia národnej legislatívy členských krajín v štyroch tematických oblastiach: skladovanie RAO a VJP, vyraďovanie </w:t>
      </w:r>
      <w:r w:rsidR="00123458">
        <w:t>JZ</w:t>
      </w:r>
      <w:r>
        <w:t xml:space="preserve"> z prevádzky, ukladanie RAO a spracovanie RAO. V prvých dvoch oblastiach (skladovanie a vyraďovanie) dosiahlo Slovensko plný súlad legislatívy s príslušnými referenčnými úrovňami už v roku 2012, resp. 2013. Na úplnú harmonizáciu niekoľkých chýbajúcich referenčných úrovní v oblastiach ukladania a spracovania RAO sa pripravuje akčný plán. </w:t>
      </w:r>
    </w:p>
    <w:p w14:paraId="531CB3FD" w14:textId="77777777" w:rsidR="00175ACD" w:rsidRDefault="00175ACD" w:rsidP="00175ACD">
      <w:pPr>
        <w:jc w:val="both"/>
      </w:pPr>
      <w:r>
        <w:lastRenderedPageBreak/>
        <w:t>V roku 2023 pokračovali aktivity zamerané na konsolidáciu existujúcich BRÚ a vyčlenenie všeobecných BRÚ, ktoré by boli spoločné pre všetky tri pracovné skupiny WENRA (RHWG, WGWD aj WGRR – skupina výskumných reaktorov). Dokončené boli návrhy pre položky A – politika bezpečnosti a B – prevádzkujúca organizácia. V štádiu spracovania je návrh pre položku C – manažérsky systém. Do tejto činnosti je aktívne zapojený aj zástupca ÚJD SR.</w:t>
      </w:r>
    </w:p>
    <w:p w14:paraId="24DD5E76" w14:textId="19FBDA0A" w:rsidR="001402AE" w:rsidRDefault="00175ACD" w:rsidP="00175ACD">
      <w:pPr>
        <w:jc w:val="both"/>
      </w:pPr>
      <w:r>
        <w:t xml:space="preserve">ÚJD SR je zakladajúcim členom fóra štátnych dozorov nad jadrovou bezpečnosťou krajín prevádzkujúcich </w:t>
      </w:r>
      <w:r w:rsidR="00D83124">
        <w:t>JE</w:t>
      </w:r>
      <w:r>
        <w:t xml:space="preserve"> typu VVER (VVER fórum), ktoré bolo založené v roku 1993. Cieľom VVER fóra je podpora zvyšovania úrovne jadrovej bezpečnosti a ochrany pred nepriaznivými účinkami ionizujúceho žiarenia. Je platformou na výmenu informácií a skúseností v uvedenej oblasti, jeho členovia sa stretávajú v pravidelných ročných intervaloch. Na riešenie konkrétnych otázok sú v rámci VVER fóra vytvárané pracovné skupiny. Momentálne existujú tri pracovné skupiny. ÚJD SR je členom dvoch z nich – skupiny na pravdepodobnostné hodnotenie bezpečnosti (WG on PSA) a skupiny na riadenie starnutia (WG on </w:t>
      </w:r>
      <w:proofErr w:type="spellStart"/>
      <w:r>
        <w:t>ageing</w:t>
      </w:r>
      <w:proofErr w:type="spellEnd"/>
      <w:r>
        <w:t xml:space="preserve"> management). Pre zložitú medzinárodnopolitickú situáciu sú aktivity VVER fóra od roku 2022 stlmené.</w:t>
      </w:r>
    </w:p>
    <w:p w14:paraId="6573670C" w14:textId="77777777" w:rsidR="00175ACD" w:rsidRPr="00675EA3" w:rsidRDefault="00175ACD" w:rsidP="00175ACD">
      <w:pPr>
        <w:jc w:val="both"/>
        <w:rPr>
          <w:highlight w:val="green"/>
          <w:lang w:val="x-none" w:eastAsia="cs-CZ"/>
        </w:rPr>
      </w:pPr>
    </w:p>
    <w:p w14:paraId="12FF24C4" w14:textId="118DF83B" w:rsidR="002F57D7" w:rsidRPr="003D7AAC" w:rsidRDefault="004D7A0E" w:rsidP="007C21EA">
      <w:pPr>
        <w:pStyle w:val="Nadpis1"/>
        <w:numPr>
          <w:ilvl w:val="0"/>
          <w:numId w:val="7"/>
        </w:numPr>
        <w:tabs>
          <w:tab w:val="clear" w:pos="2771"/>
        </w:tabs>
        <w:ind w:left="567" w:hanging="567"/>
        <w:jc w:val="both"/>
        <w:rPr>
          <w:b w:val="0"/>
          <w:bCs/>
          <w:lang w:eastAsia="x-none"/>
        </w:rPr>
      </w:pPr>
      <w:bookmarkStart w:id="76" w:name="_Toc161214338"/>
      <w:bookmarkStart w:id="77" w:name="_Hlk125982239"/>
      <w:r w:rsidRPr="003D7AAC">
        <w:rPr>
          <w:bCs/>
          <w:lang w:eastAsia="x-none"/>
        </w:rPr>
        <w:t>Manažérsky systém</w:t>
      </w:r>
      <w:bookmarkEnd w:id="76"/>
    </w:p>
    <w:bookmarkEnd w:id="77"/>
    <w:p w14:paraId="58907DA7" w14:textId="3A314B4E" w:rsidR="004D7A0E" w:rsidRPr="00675EA3" w:rsidRDefault="004D7A0E" w:rsidP="005B072A">
      <w:pPr>
        <w:jc w:val="both"/>
        <w:rPr>
          <w:highlight w:val="green"/>
          <w:lang w:eastAsia="x-none"/>
        </w:rPr>
      </w:pPr>
    </w:p>
    <w:bookmarkEnd w:id="0"/>
    <w:bookmarkEnd w:id="1"/>
    <w:bookmarkEnd w:id="2"/>
    <w:p w14:paraId="42734B07" w14:textId="4BBABD14" w:rsidR="00DA6DF6" w:rsidRPr="00DA6DF6" w:rsidRDefault="00DA6DF6" w:rsidP="00DA6DF6">
      <w:pPr>
        <w:jc w:val="both"/>
        <w:rPr>
          <w:rFonts w:eastAsiaTheme="minorHAnsi"/>
          <w:color w:val="000000"/>
          <w:szCs w:val="24"/>
          <w:lang w:eastAsia="en-US"/>
        </w:rPr>
      </w:pPr>
      <w:r w:rsidRPr="00DA6DF6">
        <w:rPr>
          <w:rFonts w:eastAsiaTheme="minorHAnsi"/>
          <w:color w:val="000000"/>
          <w:szCs w:val="24"/>
          <w:lang w:eastAsia="en-US"/>
        </w:rPr>
        <w:t>Aby organizácia bola úspešne vedená a fungovala, je nevyhnutné ju usmerňovať a riadiť systematickým a transparentným spôsobom. Úspech môže priniesť zavedenie a udržiavanie manažérskeho systému, ktorý je navrhnutý tak, aby trvalo zlepšoval výkonnosť a efektivitu organizácie a súčasne sa zaoberal potrebami všetkých zainteresovaných strán. Manažérsky systém ÚJD SR je vybudovaný v súlade s požiadavkami normy EN ISO 9001:2015 a doplnený o špecifické požiadavky M</w:t>
      </w:r>
      <w:r w:rsidR="00D3037C">
        <w:rPr>
          <w:rFonts w:eastAsiaTheme="minorHAnsi"/>
          <w:color w:val="000000"/>
          <w:szCs w:val="24"/>
          <w:lang w:eastAsia="en-US"/>
        </w:rPr>
        <w:t>AAE</w:t>
      </w:r>
      <w:r w:rsidRPr="00DA6DF6">
        <w:rPr>
          <w:rFonts w:eastAsiaTheme="minorHAnsi"/>
          <w:color w:val="000000"/>
          <w:szCs w:val="24"/>
          <w:lang w:eastAsia="en-US"/>
        </w:rPr>
        <w:t xml:space="preserve"> energiu v oblasti zabezpečovania jadrovej bezpečnosti. Poradným orgánom predsedníčky je Rada pre manažérsky systém, ktorá posudzuje koncepciu rozvoja manažérskeho systému, otázky jeho vývoja a uplatňovania, potrebu vykonania previerok, ich podmienky a požiadavky, správy z auditov, hodnotení a porovnávacích štúdií, otázky spolupráce, výmenu skúseností a dobrej praxe v rámci implementácie manažérskeho systému v štátnej správe SR a v zahraničí, navrhuje postupy v jeho zlepšovaní a zvyšovaní efektívnosti a účinnosti jednotlivých činností ÚJD SR.</w:t>
      </w:r>
    </w:p>
    <w:p w14:paraId="3CCF8DB1" w14:textId="77777777" w:rsidR="00DA6DF6" w:rsidRPr="00DA6DF6" w:rsidRDefault="00DA6DF6" w:rsidP="00DA6DF6">
      <w:pPr>
        <w:jc w:val="both"/>
        <w:rPr>
          <w:rFonts w:eastAsiaTheme="minorHAnsi"/>
          <w:color w:val="000000"/>
          <w:szCs w:val="24"/>
          <w:lang w:eastAsia="en-US"/>
        </w:rPr>
      </w:pPr>
      <w:r w:rsidRPr="00DA6DF6">
        <w:rPr>
          <w:rFonts w:eastAsiaTheme="minorHAnsi"/>
          <w:color w:val="000000"/>
          <w:szCs w:val="24"/>
          <w:lang w:eastAsia="en-US"/>
        </w:rPr>
        <w:t>Riziko je všade prítomným a charakteristickým sprievodným javom fungovania organizácií. Riadenie rizík je sústavná činnosť navzájom prepojených činností, ktorých cieľom je obmedziť pravdepodobnosť výskytu rizík alebo znížiť ich vplyv v prípade, že sa jedná o hrozby, alebo využiť príležitosti pre zvýšenie výkonnosti organizácie, čím sa zvyšuje pravdepodobnosť, že organizácia bude dosahovať svoje ciele a dokáže zabezpečiť spokojnosť zákazníka. Riadenie rizík bolo do manažérskeho systému ÚJD SR začlenené v roku 2016 spracovaním registra rizík. Register rizík utriedeným spôsobom definuje a klasifikuje možné alebo v praxi sa vyskytujúce riziká spojené s činnosťou ÚJD SR a zahŕňa všetky ďalšie informácie potrebné na riadenie rizík. Register rizík sa pravidelne aktualizuje, pričom sa uskutočňuje monitorovanie identifikovaných rizík a realizujú sa opatrenia na elimináciu alebo zmiernenie najzávažnejších identifikovaných rizík.</w:t>
      </w:r>
    </w:p>
    <w:p w14:paraId="7C501B86" w14:textId="77777777" w:rsidR="00DA6DF6" w:rsidRPr="00DA6DF6" w:rsidRDefault="00DA6DF6" w:rsidP="00DA6DF6">
      <w:pPr>
        <w:jc w:val="both"/>
        <w:rPr>
          <w:rFonts w:eastAsiaTheme="minorHAnsi"/>
          <w:color w:val="000000"/>
          <w:szCs w:val="24"/>
          <w:lang w:eastAsia="en-US"/>
        </w:rPr>
      </w:pPr>
      <w:r w:rsidRPr="00DA6DF6">
        <w:rPr>
          <w:rFonts w:eastAsiaTheme="minorHAnsi"/>
          <w:color w:val="000000"/>
          <w:szCs w:val="24"/>
          <w:lang w:eastAsia="en-US"/>
        </w:rPr>
        <w:t>V súlade s ročným plánom interných auditov manažérskeho systému boli v roku 2023 vykonané 4 špecificky zamerané čiastkové interné audity. Interné audity potvrdili, že činnosti vykonávané v ÚJD SR sú riadené platnými smernicami a postupmi manažérskeho systému. Z interných auditov vyplynulo však aj niekoľko opatrení na odstránenie zistených nezhôd a stanovili sa aj návrhy na zlepšovanie systému manažérstva kvality.</w:t>
      </w:r>
    </w:p>
    <w:p w14:paraId="43892C2E" w14:textId="77777777" w:rsidR="00DA6DF6" w:rsidRPr="00DA6DF6" w:rsidRDefault="00DA6DF6" w:rsidP="00DA6DF6">
      <w:pPr>
        <w:jc w:val="both"/>
        <w:rPr>
          <w:rFonts w:eastAsiaTheme="minorHAnsi"/>
          <w:color w:val="000000"/>
          <w:szCs w:val="24"/>
          <w:lang w:eastAsia="en-US"/>
        </w:rPr>
      </w:pPr>
      <w:r w:rsidRPr="00DA6DF6">
        <w:rPr>
          <w:rFonts w:eastAsiaTheme="minorHAnsi"/>
          <w:color w:val="000000"/>
          <w:szCs w:val="24"/>
          <w:lang w:eastAsia="en-US"/>
        </w:rPr>
        <w:t xml:space="preserve">Štandardy bezpečnosti vydané MAAE kladú dôraz na integráciu bezpečnosti ako širokospektrálneho fenoménu do systému manažmentu organizácii pôsobiacich v oblasti jadrovej energie. Kultúra bezpečnosti v ÚJD SR má základy vo vysokej odbornosti svojich zamestnancov, v zodpovednom prístupe k práci, ktorý je podporovaný vedením ÚJD SR. Dôležitým predpokladom silnej kultúry bezpečnosti je nezávislosť. Nezávislosť je dosiahnutá </w:t>
      </w:r>
      <w:r w:rsidRPr="00DA6DF6">
        <w:rPr>
          <w:rFonts w:eastAsiaTheme="minorHAnsi"/>
          <w:color w:val="000000"/>
          <w:szCs w:val="24"/>
          <w:lang w:eastAsia="en-US"/>
        </w:rPr>
        <w:lastRenderedPageBreak/>
        <w:t>samostatnosťou ÚJD SR ako právneho subjektu, dostatočným vybavením zdrojmi a silnými osobnosťami vo vedení ÚJD SR. Vďaka týmto skutočnostiam sú pre zamestnancov vytvorené vhodné pracovné podmienky a prostredie so silnou podporou rozvoja zamestnancov a zlepšovania pracovných postupov.</w:t>
      </w:r>
    </w:p>
    <w:p w14:paraId="40F41D5C" w14:textId="3C4F388A" w:rsidR="001402AE" w:rsidRDefault="00DA6DF6" w:rsidP="00DA6DF6">
      <w:pPr>
        <w:jc w:val="both"/>
        <w:rPr>
          <w:rFonts w:eastAsiaTheme="minorHAnsi"/>
          <w:color w:val="000000"/>
          <w:szCs w:val="24"/>
          <w:lang w:eastAsia="en-US"/>
        </w:rPr>
      </w:pPr>
      <w:r w:rsidRPr="00DA6DF6">
        <w:rPr>
          <w:rFonts w:eastAsiaTheme="minorHAnsi"/>
          <w:color w:val="000000"/>
          <w:szCs w:val="24"/>
          <w:lang w:eastAsia="en-US"/>
        </w:rPr>
        <w:t>Každoročné preskúman</w:t>
      </w:r>
      <w:r w:rsidR="00B8151D">
        <w:rPr>
          <w:rFonts w:eastAsiaTheme="minorHAnsi"/>
          <w:color w:val="000000"/>
          <w:szCs w:val="24"/>
          <w:lang w:eastAsia="en-US"/>
        </w:rPr>
        <w:t>ie</w:t>
      </w:r>
      <w:r w:rsidRPr="00DA6DF6">
        <w:rPr>
          <w:rFonts w:eastAsiaTheme="minorHAnsi"/>
          <w:color w:val="000000"/>
          <w:szCs w:val="24"/>
          <w:lang w:eastAsia="en-US"/>
        </w:rPr>
        <w:t xml:space="preserve"> systému manažérstva kvality vedením organizácie, na vyhodnotení ktorého sa podieľajú všetci vlastníci procesov, posudzuje Rada pre manažérsky systém ÚJD</w:t>
      </w:r>
      <w:r w:rsidR="00D3037C">
        <w:rPr>
          <w:rFonts w:eastAsiaTheme="minorHAnsi"/>
          <w:color w:val="000000"/>
          <w:szCs w:val="24"/>
          <w:lang w:eastAsia="en-US"/>
        </w:rPr>
        <w:t> </w:t>
      </w:r>
      <w:r w:rsidRPr="00DA6DF6">
        <w:rPr>
          <w:rFonts w:eastAsiaTheme="minorHAnsi"/>
          <w:color w:val="000000"/>
          <w:szCs w:val="24"/>
          <w:lang w:eastAsia="en-US"/>
        </w:rPr>
        <w:t>SR. Výstupný dokument je integrálnym hodnotením stavu plnenia politiky a cieľov kvality, výsledkov auditov, pravidelného prehodnotenia smerníc kvality, plnenia súvisiacich požiadaviek, opisuje výkonnosť procesov, zhodu produktu, opis stavu preventívnych a nápravných činností a zmien s potenciálnym vplyvom na manažérsky systém, pričom uvádza aj odporúčania na zlepšenie procesov, činností a zlepšenie produktu súvisiaceho s oprávnenými požiadavkami zainteresovaných strán a potrebnými zdrojmi.</w:t>
      </w:r>
    </w:p>
    <w:p w14:paraId="313FE27A" w14:textId="77777777" w:rsidR="00DA6DF6" w:rsidRDefault="00DA6DF6" w:rsidP="00DA6DF6">
      <w:pPr>
        <w:jc w:val="both"/>
        <w:rPr>
          <w:lang w:eastAsia="en-US"/>
        </w:rPr>
      </w:pPr>
    </w:p>
    <w:p w14:paraId="550D9F61" w14:textId="51AE0B21" w:rsidR="00372F89" w:rsidRPr="003D7AAC" w:rsidRDefault="00372F89" w:rsidP="007C21EA">
      <w:pPr>
        <w:pStyle w:val="Nadpis1"/>
        <w:numPr>
          <w:ilvl w:val="0"/>
          <w:numId w:val="7"/>
        </w:numPr>
        <w:tabs>
          <w:tab w:val="clear" w:pos="2771"/>
        </w:tabs>
        <w:ind w:left="567" w:hanging="567"/>
        <w:rPr>
          <w:b w:val="0"/>
          <w:bCs/>
          <w:lang w:eastAsia="x-none"/>
        </w:rPr>
      </w:pPr>
      <w:bookmarkStart w:id="78" w:name="_Toc161214339"/>
      <w:r w:rsidRPr="003D7AAC">
        <w:rPr>
          <w:bCs/>
          <w:lang w:val="sk-SK" w:eastAsia="x-none"/>
        </w:rPr>
        <w:t>KYBERNETICKÁ BEZPEČNOSŤ ÚJD</w:t>
      </w:r>
      <w:r w:rsidR="003E365D" w:rsidRPr="003D7AAC">
        <w:rPr>
          <w:bCs/>
          <w:lang w:val="sk-SK" w:eastAsia="x-none"/>
        </w:rPr>
        <w:t> </w:t>
      </w:r>
      <w:r w:rsidRPr="003D7AAC">
        <w:rPr>
          <w:bCs/>
          <w:lang w:val="sk-SK" w:eastAsia="x-none"/>
        </w:rPr>
        <w:t>SR</w:t>
      </w:r>
      <w:bookmarkEnd w:id="78"/>
    </w:p>
    <w:p w14:paraId="4A2536CC" w14:textId="10B40202" w:rsidR="00372F89" w:rsidRDefault="00372F89" w:rsidP="00372F89">
      <w:pPr>
        <w:rPr>
          <w:lang w:eastAsia="en-US"/>
        </w:rPr>
      </w:pPr>
    </w:p>
    <w:p w14:paraId="5E59670A" w14:textId="566EC022" w:rsidR="00536B6A" w:rsidRPr="00536B6A" w:rsidRDefault="004266DA" w:rsidP="004266DA">
      <w:pPr>
        <w:autoSpaceDE w:val="0"/>
        <w:autoSpaceDN w:val="0"/>
        <w:adjustRightInd w:val="0"/>
        <w:jc w:val="both"/>
        <w:rPr>
          <w:rFonts w:eastAsiaTheme="minorHAnsi"/>
          <w:color w:val="000000"/>
          <w:szCs w:val="24"/>
          <w:lang w:eastAsia="en-US"/>
        </w:rPr>
      </w:pPr>
      <w:r w:rsidRPr="00536B6A">
        <w:rPr>
          <w:rFonts w:eastAsiaTheme="minorHAnsi"/>
          <w:color w:val="000000"/>
          <w:szCs w:val="24"/>
          <w:lang w:eastAsia="en-US"/>
        </w:rPr>
        <w:t xml:space="preserve">V zmysle </w:t>
      </w:r>
      <w:hyperlink r:id="rId11" w:history="1">
        <w:r w:rsidRPr="00536B6A">
          <w:rPr>
            <w:rFonts w:eastAsiaTheme="minorHAnsi"/>
            <w:color w:val="000000"/>
            <w:szCs w:val="24"/>
            <w:lang w:eastAsia="en-US"/>
          </w:rPr>
          <w:t>zákona č. 69/2018 Z. z. o kybernetickej bezpečnosti je ÚJD</w:t>
        </w:r>
        <w:r w:rsidR="003E365D" w:rsidRPr="00536B6A">
          <w:rPr>
            <w:rFonts w:eastAsiaTheme="minorHAnsi"/>
            <w:color w:val="000000"/>
            <w:szCs w:val="24"/>
            <w:lang w:eastAsia="en-US"/>
          </w:rPr>
          <w:t> </w:t>
        </w:r>
        <w:r w:rsidRPr="00536B6A">
          <w:rPr>
            <w:rFonts w:eastAsiaTheme="minorHAnsi"/>
            <w:color w:val="000000"/>
            <w:szCs w:val="24"/>
            <w:lang w:eastAsia="en-US"/>
          </w:rPr>
          <w:t>SR ako prevádzkovateľ základnej služby povinný medzi inými prijať a plniť úlohy, procesy, role a technológie v organizačnej, personálnej a technickej oblasti, ktorých cieľom je zabezpečenie kybernetickej bezpečnosti</w:t>
        </w:r>
        <w:r w:rsidR="00171CD3" w:rsidRPr="00536B6A">
          <w:rPr>
            <w:rFonts w:eastAsiaTheme="minorHAnsi"/>
            <w:color w:val="000000"/>
            <w:szCs w:val="24"/>
            <w:lang w:eastAsia="en-US"/>
          </w:rPr>
          <w:t xml:space="preserve">, </w:t>
        </w:r>
        <w:r w:rsidRPr="00536B6A">
          <w:rPr>
            <w:rFonts w:eastAsiaTheme="minorHAnsi"/>
            <w:color w:val="000000"/>
            <w:szCs w:val="24"/>
            <w:lang w:eastAsia="en-US"/>
          </w:rPr>
          <w:t>informačných systémov a minimalizova</w:t>
        </w:r>
        <w:r w:rsidR="00171CD3" w:rsidRPr="00536B6A">
          <w:rPr>
            <w:rFonts w:eastAsiaTheme="minorHAnsi"/>
            <w:color w:val="000000"/>
            <w:szCs w:val="24"/>
            <w:lang w:eastAsia="en-US"/>
          </w:rPr>
          <w:t>nie</w:t>
        </w:r>
        <w:r w:rsidRPr="00536B6A">
          <w:rPr>
            <w:rFonts w:eastAsiaTheme="minorHAnsi"/>
            <w:color w:val="000000"/>
            <w:szCs w:val="24"/>
            <w:lang w:eastAsia="en-US"/>
          </w:rPr>
          <w:t xml:space="preserve"> vplyv</w:t>
        </w:r>
        <w:r w:rsidR="00171CD3" w:rsidRPr="00536B6A">
          <w:rPr>
            <w:rFonts w:eastAsiaTheme="minorHAnsi"/>
            <w:color w:val="000000"/>
            <w:szCs w:val="24"/>
            <w:lang w:eastAsia="en-US"/>
          </w:rPr>
          <w:t>u</w:t>
        </w:r>
        <w:r w:rsidRPr="00536B6A">
          <w:rPr>
            <w:rFonts w:eastAsiaTheme="minorHAnsi"/>
            <w:color w:val="000000"/>
            <w:szCs w:val="24"/>
            <w:lang w:eastAsia="en-US"/>
          </w:rPr>
          <w:t xml:space="preserve"> kybernetických bezpečnostných incidentov.</w:t>
        </w:r>
      </w:hyperlink>
    </w:p>
    <w:p w14:paraId="50A25127" w14:textId="3EBF89B3" w:rsidR="00536B6A" w:rsidRPr="00536B6A" w:rsidRDefault="00536B6A" w:rsidP="00536B6A">
      <w:pPr>
        <w:autoSpaceDE w:val="0"/>
        <w:autoSpaceDN w:val="0"/>
        <w:adjustRightInd w:val="0"/>
        <w:jc w:val="both"/>
        <w:rPr>
          <w:rFonts w:eastAsiaTheme="minorHAnsi"/>
          <w:color w:val="000000"/>
          <w:szCs w:val="24"/>
          <w:lang w:eastAsia="en-US"/>
        </w:rPr>
      </w:pPr>
      <w:r w:rsidRPr="00536B6A">
        <w:rPr>
          <w:rFonts w:eastAsiaTheme="minorHAnsi"/>
          <w:color w:val="000000"/>
          <w:szCs w:val="24"/>
          <w:lang w:eastAsia="en-US"/>
        </w:rPr>
        <w:t xml:space="preserve">V roku 2023 ÚJD SR dokončil projekt Zvýšenie úrovne informačnej a kybernetickej </w:t>
      </w:r>
      <w:r w:rsidRPr="0051367D">
        <w:rPr>
          <w:rFonts w:eastAsiaTheme="minorHAnsi"/>
          <w:color w:val="000000"/>
          <w:szCs w:val="24"/>
          <w:lang w:eastAsia="en-US"/>
        </w:rPr>
        <w:t>bezpečnosti ÚJD SR (</w:t>
      </w:r>
      <w:proofErr w:type="spellStart"/>
      <w:r w:rsidRPr="0051367D">
        <w:rPr>
          <w:rFonts w:eastAsiaTheme="minorHAnsi"/>
          <w:color w:val="000000"/>
          <w:szCs w:val="24"/>
          <w:lang w:eastAsia="en-US"/>
        </w:rPr>
        <w:t>ZUIaKB</w:t>
      </w:r>
      <w:proofErr w:type="spellEnd"/>
      <w:r w:rsidRPr="0051367D">
        <w:rPr>
          <w:rFonts w:eastAsiaTheme="minorHAnsi"/>
          <w:color w:val="000000"/>
          <w:szCs w:val="24"/>
          <w:lang w:eastAsia="en-US"/>
        </w:rPr>
        <w:t>). Projekt bol realizovaný z fondov EÚ – prioritná os 7</w:t>
      </w:r>
      <w:r w:rsidRPr="00536B6A">
        <w:rPr>
          <w:rFonts w:eastAsiaTheme="minorHAnsi"/>
          <w:color w:val="000000"/>
          <w:szCs w:val="24"/>
          <w:lang w:eastAsia="en-US"/>
        </w:rPr>
        <w:t xml:space="preserve"> (PO7)/Operačný program - Integrovaná infraštruktúra 2014 – 2020 (OPII), jeho realizačná časť trvala 12 mesiacov a bola ukončená 30.</w:t>
      </w:r>
      <w:r>
        <w:rPr>
          <w:rFonts w:eastAsiaTheme="minorHAnsi"/>
          <w:color w:val="000000"/>
          <w:szCs w:val="24"/>
          <w:lang w:eastAsia="en-US"/>
        </w:rPr>
        <w:t> </w:t>
      </w:r>
      <w:r w:rsidRPr="00536B6A">
        <w:rPr>
          <w:rFonts w:eastAsiaTheme="minorHAnsi"/>
          <w:color w:val="000000"/>
          <w:szCs w:val="24"/>
          <w:lang w:eastAsia="en-US"/>
        </w:rPr>
        <w:t>10.</w:t>
      </w:r>
      <w:r>
        <w:rPr>
          <w:rFonts w:eastAsiaTheme="minorHAnsi"/>
          <w:color w:val="000000"/>
          <w:szCs w:val="24"/>
          <w:lang w:eastAsia="en-US"/>
        </w:rPr>
        <w:t> </w:t>
      </w:r>
      <w:r w:rsidRPr="00536B6A">
        <w:rPr>
          <w:rFonts w:eastAsiaTheme="minorHAnsi"/>
          <w:color w:val="000000"/>
          <w:szCs w:val="24"/>
          <w:lang w:eastAsia="en-US"/>
        </w:rPr>
        <w:t>2023. Projekt doručil celkovo 14 relatívne samostatných riešení v oblastiach:</w:t>
      </w:r>
    </w:p>
    <w:p w14:paraId="7E1024D9" w14:textId="3C67160B" w:rsidR="00536B6A" w:rsidRPr="00536B6A" w:rsidRDefault="00536B6A" w:rsidP="000C17F4">
      <w:pPr>
        <w:autoSpaceDE w:val="0"/>
        <w:autoSpaceDN w:val="0"/>
        <w:adjustRightInd w:val="0"/>
        <w:ind w:left="1418" w:hanging="709"/>
        <w:jc w:val="both"/>
        <w:rPr>
          <w:rFonts w:eastAsiaTheme="minorHAnsi"/>
          <w:color w:val="000000"/>
          <w:szCs w:val="24"/>
          <w:lang w:eastAsia="en-US"/>
        </w:rPr>
      </w:pPr>
      <w:r w:rsidRPr="00536B6A">
        <w:rPr>
          <w:rFonts w:eastAsiaTheme="minorHAnsi"/>
          <w:color w:val="000000"/>
          <w:szCs w:val="24"/>
          <w:lang w:eastAsia="en-US"/>
        </w:rPr>
        <w:t>•</w:t>
      </w:r>
      <w:r w:rsidRPr="00536B6A">
        <w:rPr>
          <w:rFonts w:eastAsiaTheme="minorHAnsi"/>
          <w:color w:val="000000"/>
          <w:szCs w:val="24"/>
          <w:lang w:eastAsia="en-US"/>
        </w:rPr>
        <w:tab/>
      </w:r>
      <w:r w:rsidR="000C17F4">
        <w:rPr>
          <w:rFonts w:eastAsiaTheme="minorHAnsi"/>
          <w:color w:val="000000"/>
          <w:szCs w:val="24"/>
          <w:lang w:eastAsia="en-US"/>
        </w:rPr>
        <w:t>i</w:t>
      </w:r>
      <w:r w:rsidRPr="00536B6A">
        <w:rPr>
          <w:rFonts w:eastAsiaTheme="minorHAnsi"/>
          <w:color w:val="000000"/>
          <w:szCs w:val="24"/>
          <w:lang w:eastAsia="en-US"/>
        </w:rPr>
        <w:t>mplementácia systému kybernetickej ochrany, detekcie škodlivých aktivít a riadenie bezpečnostných incidentov</w:t>
      </w:r>
      <w:r w:rsidR="000C17F4">
        <w:rPr>
          <w:rFonts w:eastAsiaTheme="minorHAnsi"/>
          <w:color w:val="000000"/>
          <w:szCs w:val="24"/>
          <w:lang w:eastAsia="en-US"/>
        </w:rPr>
        <w:t>,</w:t>
      </w:r>
    </w:p>
    <w:p w14:paraId="4C629750" w14:textId="192632B5" w:rsidR="00536B6A" w:rsidRPr="00536B6A" w:rsidRDefault="00536B6A" w:rsidP="00536B6A">
      <w:pPr>
        <w:autoSpaceDE w:val="0"/>
        <w:autoSpaceDN w:val="0"/>
        <w:adjustRightInd w:val="0"/>
        <w:ind w:left="708"/>
        <w:jc w:val="both"/>
        <w:rPr>
          <w:rFonts w:eastAsiaTheme="minorHAnsi"/>
          <w:color w:val="000000"/>
          <w:szCs w:val="24"/>
          <w:lang w:eastAsia="en-US"/>
        </w:rPr>
      </w:pPr>
      <w:r w:rsidRPr="00536B6A">
        <w:rPr>
          <w:rFonts w:eastAsiaTheme="minorHAnsi"/>
          <w:color w:val="000000"/>
          <w:szCs w:val="24"/>
          <w:lang w:eastAsia="en-US"/>
        </w:rPr>
        <w:t>•</w:t>
      </w:r>
      <w:r w:rsidRPr="00536B6A">
        <w:rPr>
          <w:rFonts w:eastAsiaTheme="minorHAnsi"/>
          <w:color w:val="000000"/>
          <w:szCs w:val="24"/>
          <w:lang w:eastAsia="en-US"/>
        </w:rPr>
        <w:tab/>
      </w:r>
      <w:r w:rsidR="000C17F4">
        <w:rPr>
          <w:rFonts w:eastAsiaTheme="minorHAnsi"/>
          <w:color w:val="000000"/>
          <w:szCs w:val="24"/>
          <w:lang w:eastAsia="en-US"/>
        </w:rPr>
        <w:t>i</w:t>
      </w:r>
      <w:r w:rsidRPr="00536B6A">
        <w:rPr>
          <w:rFonts w:eastAsiaTheme="minorHAnsi"/>
          <w:color w:val="000000"/>
          <w:szCs w:val="24"/>
          <w:lang w:eastAsia="en-US"/>
        </w:rPr>
        <w:t>mplementácia systému na ochranu dát</w:t>
      </w:r>
      <w:r w:rsidR="000C17F4">
        <w:rPr>
          <w:rFonts w:eastAsiaTheme="minorHAnsi"/>
          <w:color w:val="000000"/>
          <w:szCs w:val="24"/>
          <w:lang w:eastAsia="en-US"/>
        </w:rPr>
        <w:t>,</w:t>
      </w:r>
    </w:p>
    <w:p w14:paraId="7D53A2EA" w14:textId="6B705B2F" w:rsidR="00536B6A" w:rsidRPr="00536B6A" w:rsidRDefault="00536B6A" w:rsidP="00536B6A">
      <w:pPr>
        <w:autoSpaceDE w:val="0"/>
        <w:autoSpaceDN w:val="0"/>
        <w:adjustRightInd w:val="0"/>
        <w:ind w:left="708"/>
        <w:jc w:val="both"/>
        <w:rPr>
          <w:rFonts w:eastAsiaTheme="minorHAnsi"/>
          <w:color w:val="000000"/>
          <w:szCs w:val="24"/>
          <w:lang w:eastAsia="en-US"/>
        </w:rPr>
      </w:pPr>
      <w:r w:rsidRPr="00536B6A">
        <w:rPr>
          <w:rFonts w:eastAsiaTheme="minorHAnsi"/>
          <w:color w:val="000000"/>
          <w:szCs w:val="24"/>
          <w:lang w:eastAsia="en-US"/>
        </w:rPr>
        <w:t>•</w:t>
      </w:r>
      <w:r w:rsidRPr="00536B6A">
        <w:rPr>
          <w:rFonts w:eastAsiaTheme="minorHAnsi"/>
          <w:color w:val="000000"/>
          <w:szCs w:val="24"/>
          <w:lang w:eastAsia="en-US"/>
        </w:rPr>
        <w:tab/>
      </w:r>
      <w:r w:rsidR="000C17F4">
        <w:rPr>
          <w:rFonts w:eastAsiaTheme="minorHAnsi"/>
          <w:color w:val="000000"/>
          <w:szCs w:val="24"/>
          <w:lang w:eastAsia="en-US"/>
        </w:rPr>
        <w:t>i</w:t>
      </w:r>
      <w:r w:rsidRPr="00536B6A">
        <w:rPr>
          <w:rFonts w:eastAsiaTheme="minorHAnsi"/>
          <w:color w:val="000000"/>
          <w:szCs w:val="24"/>
          <w:lang w:eastAsia="en-US"/>
        </w:rPr>
        <w:t>mplementácia systému na ochranu dátových prenosov a</w:t>
      </w:r>
      <w:r w:rsidR="000C17F4">
        <w:rPr>
          <w:rFonts w:eastAsiaTheme="minorHAnsi"/>
          <w:color w:val="000000"/>
          <w:szCs w:val="24"/>
          <w:lang w:eastAsia="en-US"/>
        </w:rPr>
        <w:t> </w:t>
      </w:r>
      <w:r w:rsidRPr="00536B6A">
        <w:rPr>
          <w:rFonts w:eastAsiaTheme="minorHAnsi"/>
          <w:color w:val="000000"/>
          <w:szCs w:val="24"/>
          <w:lang w:eastAsia="en-US"/>
        </w:rPr>
        <w:t>komunikácie</w:t>
      </w:r>
      <w:r w:rsidR="000C17F4">
        <w:rPr>
          <w:rFonts w:eastAsiaTheme="minorHAnsi"/>
          <w:color w:val="000000"/>
          <w:szCs w:val="24"/>
          <w:lang w:eastAsia="en-US"/>
        </w:rPr>
        <w:t>.</w:t>
      </w:r>
    </w:p>
    <w:p w14:paraId="1E390C44" w14:textId="77777777" w:rsidR="00536B6A" w:rsidRPr="00536B6A" w:rsidRDefault="00536B6A" w:rsidP="00536B6A">
      <w:pPr>
        <w:autoSpaceDE w:val="0"/>
        <w:autoSpaceDN w:val="0"/>
        <w:adjustRightInd w:val="0"/>
        <w:jc w:val="both"/>
        <w:rPr>
          <w:rFonts w:eastAsiaTheme="minorHAnsi"/>
          <w:color w:val="000000"/>
          <w:szCs w:val="24"/>
          <w:lang w:eastAsia="en-US"/>
        </w:rPr>
      </w:pPr>
      <w:r w:rsidRPr="00536B6A">
        <w:rPr>
          <w:rFonts w:eastAsiaTheme="minorHAnsi"/>
          <w:color w:val="000000"/>
          <w:szCs w:val="24"/>
          <w:lang w:eastAsia="en-US"/>
        </w:rPr>
        <w:t>Kľúčovým cieľom, ktorý bol splnený, bolo zvýšenie celkovej úrovne ochrany interného IT prostredia a informačných aktív ÚJD SR pred existujúcimi a stále sa zvyšujúcimi kybernetickými a bezpečnostnými hrozbami z externého ale aj interného prostredia.</w:t>
      </w:r>
    </w:p>
    <w:p w14:paraId="54C17B8C" w14:textId="051791B5" w:rsidR="00536B6A" w:rsidRPr="00536B6A" w:rsidRDefault="00536B6A" w:rsidP="000C17F4">
      <w:pPr>
        <w:autoSpaceDE w:val="0"/>
        <w:autoSpaceDN w:val="0"/>
        <w:adjustRightInd w:val="0"/>
        <w:jc w:val="both"/>
        <w:rPr>
          <w:rFonts w:eastAsiaTheme="minorHAnsi"/>
          <w:color w:val="000000"/>
          <w:szCs w:val="24"/>
          <w:lang w:eastAsia="en-US"/>
        </w:rPr>
      </w:pPr>
      <w:r w:rsidRPr="00536B6A">
        <w:rPr>
          <w:rFonts w:eastAsiaTheme="minorHAnsi"/>
          <w:color w:val="000000"/>
          <w:szCs w:val="24"/>
          <w:lang w:eastAsia="en-US"/>
        </w:rPr>
        <w:t>Sekundárne ciele projektu, ktoré sa implementáciou naplnili vychádzali aj z existujúceho stavu a rozsahu bezpečnostnej infraštruktúry, jej kľúčových komponentov a charakteru implementovaných riešení</w:t>
      </w:r>
      <w:r w:rsidR="000C17F4">
        <w:rPr>
          <w:rFonts w:eastAsiaTheme="minorHAnsi"/>
          <w:color w:val="000000"/>
          <w:szCs w:val="24"/>
          <w:lang w:eastAsia="en-US"/>
        </w:rPr>
        <w:t>. P</w:t>
      </w:r>
      <w:r w:rsidRPr="00536B6A">
        <w:rPr>
          <w:rFonts w:eastAsiaTheme="minorHAnsi"/>
          <w:color w:val="000000"/>
          <w:szCs w:val="24"/>
          <w:lang w:eastAsia="en-US"/>
        </w:rPr>
        <w:t>ovýšili sa technologické úrovne existujúcich bezpečnostných riešení</w:t>
      </w:r>
      <w:r w:rsidR="000C17F4">
        <w:rPr>
          <w:rFonts w:eastAsiaTheme="minorHAnsi"/>
          <w:color w:val="000000"/>
          <w:szCs w:val="24"/>
          <w:lang w:eastAsia="en-US"/>
        </w:rPr>
        <w:t>. D</w:t>
      </w:r>
      <w:r w:rsidRPr="00536B6A">
        <w:rPr>
          <w:rFonts w:eastAsiaTheme="minorHAnsi"/>
          <w:color w:val="000000"/>
          <w:szCs w:val="24"/>
          <w:lang w:eastAsia="en-US"/>
        </w:rPr>
        <w:t>oplnili v súčasnosti nepokryté oblasti bezpečnostnej infraštruktúry prostredníctvom implementácie nových nástrojov</w:t>
      </w:r>
      <w:r w:rsidR="000C17F4">
        <w:rPr>
          <w:rFonts w:eastAsiaTheme="minorHAnsi"/>
          <w:color w:val="000000"/>
          <w:szCs w:val="24"/>
          <w:lang w:eastAsia="en-US"/>
        </w:rPr>
        <w:t>. Z</w:t>
      </w:r>
      <w:r w:rsidRPr="00536B6A">
        <w:rPr>
          <w:rFonts w:eastAsiaTheme="minorHAnsi"/>
          <w:color w:val="000000"/>
          <w:szCs w:val="24"/>
          <w:lang w:eastAsia="en-US"/>
        </w:rPr>
        <w:t>abezpečil</w:t>
      </w:r>
      <w:r w:rsidR="000C17F4">
        <w:rPr>
          <w:rFonts w:eastAsiaTheme="minorHAnsi"/>
          <w:color w:val="000000"/>
          <w:szCs w:val="24"/>
          <w:lang w:eastAsia="en-US"/>
        </w:rPr>
        <w:t>a</w:t>
      </w:r>
      <w:r w:rsidRPr="00536B6A">
        <w:rPr>
          <w:rFonts w:eastAsiaTheme="minorHAnsi"/>
          <w:color w:val="000000"/>
          <w:szCs w:val="24"/>
          <w:lang w:eastAsia="en-US"/>
        </w:rPr>
        <w:t xml:space="preserve"> </w:t>
      </w:r>
      <w:r w:rsidR="000C17F4">
        <w:rPr>
          <w:rFonts w:eastAsiaTheme="minorHAnsi"/>
          <w:color w:val="000000"/>
          <w:szCs w:val="24"/>
          <w:lang w:eastAsia="en-US"/>
        </w:rPr>
        <w:t>sa</w:t>
      </w:r>
      <w:r w:rsidRPr="00536B6A">
        <w:rPr>
          <w:rFonts w:eastAsiaTheme="minorHAnsi"/>
          <w:color w:val="000000"/>
          <w:szCs w:val="24"/>
          <w:lang w:eastAsia="en-US"/>
        </w:rPr>
        <w:t xml:space="preserve"> vysok</w:t>
      </w:r>
      <w:r w:rsidR="000C17F4">
        <w:rPr>
          <w:rFonts w:eastAsiaTheme="minorHAnsi"/>
          <w:color w:val="000000"/>
          <w:szCs w:val="24"/>
          <w:lang w:eastAsia="en-US"/>
        </w:rPr>
        <w:t>á</w:t>
      </w:r>
      <w:r w:rsidRPr="00536B6A">
        <w:rPr>
          <w:rFonts w:eastAsiaTheme="minorHAnsi"/>
          <w:color w:val="000000"/>
          <w:szCs w:val="24"/>
          <w:lang w:eastAsia="en-US"/>
        </w:rPr>
        <w:t xml:space="preserve"> dostupnosť implementovaných riešení a ochran</w:t>
      </w:r>
      <w:r w:rsidR="000C17F4">
        <w:rPr>
          <w:rFonts w:eastAsiaTheme="minorHAnsi"/>
          <w:color w:val="000000"/>
          <w:szCs w:val="24"/>
          <w:lang w:eastAsia="en-US"/>
        </w:rPr>
        <w:t>a</w:t>
      </w:r>
      <w:r w:rsidRPr="00536B6A">
        <w:rPr>
          <w:rFonts w:eastAsiaTheme="minorHAnsi"/>
          <w:color w:val="000000"/>
          <w:szCs w:val="24"/>
          <w:lang w:eastAsia="en-US"/>
        </w:rPr>
        <w:t xml:space="preserve"> ich údajov a podporil</w:t>
      </w:r>
      <w:r w:rsidR="000C17F4">
        <w:rPr>
          <w:rFonts w:eastAsiaTheme="minorHAnsi"/>
          <w:color w:val="000000"/>
          <w:szCs w:val="24"/>
          <w:lang w:eastAsia="en-US"/>
        </w:rPr>
        <w:t>o</w:t>
      </w:r>
      <w:r w:rsidRPr="00536B6A">
        <w:rPr>
          <w:rFonts w:eastAsiaTheme="minorHAnsi"/>
          <w:color w:val="000000"/>
          <w:szCs w:val="24"/>
          <w:lang w:eastAsia="en-US"/>
        </w:rPr>
        <w:t xml:space="preserve"> </w:t>
      </w:r>
      <w:r w:rsidR="000C17F4">
        <w:rPr>
          <w:rFonts w:eastAsiaTheme="minorHAnsi"/>
          <w:color w:val="000000"/>
          <w:szCs w:val="24"/>
          <w:lang w:eastAsia="en-US"/>
        </w:rPr>
        <w:t xml:space="preserve">sa </w:t>
      </w:r>
      <w:r w:rsidRPr="00536B6A">
        <w:rPr>
          <w:rFonts w:eastAsiaTheme="minorHAnsi"/>
          <w:color w:val="000000"/>
          <w:szCs w:val="24"/>
          <w:lang w:eastAsia="en-US"/>
        </w:rPr>
        <w:t>prevádzkové zabezpečenie implementovaných riešení</w:t>
      </w:r>
      <w:r w:rsidR="000C17F4">
        <w:rPr>
          <w:rFonts w:eastAsiaTheme="minorHAnsi"/>
          <w:color w:val="000000"/>
          <w:szCs w:val="24"/>
          <w:lang w:eastAsia="en-US"/>
        </w:rPr>
        <w:t>.</w:t>
      </w:r>
    </w:p>
    <w:p w14:paraId="0EE5503D" w14:textId="77647F35" w:rsidR="00536B6A" w:rsidRPr="00536B6A" w:rsidRDefault="000C17F4" w:rsidP="00536B6A">
      <w:pPr>
        <w:autoSpaceDE w:val="0"/>
        <w:autoSpaceDN w:val="0"/>
        <w:adjustRightInd w:val="0"/>
        <w:jc w:val="both"/>
        <w:rPr>
          <w:rFonts w:eastAsiaTheme="minorHAnsi"/>
          <w:color w:val="000000"/>
          <w:szCs w:val="24"/>
          <w:lang w:eastAsia="en-US"/>
        </w:rPr>
      </w:pPr>
      <w:r>
        <w:rPr>
          <w:rFonts w:eastAsiaTheme="minorHAnsi"/>
          <w:color w:val="000000"/>
          <w:szCs w:val="24"/>
          <w:lang w:eastAsia="en-US"/>
        </w:rPr>
        <w:t>V roku</w:t>
      </w:r>
      <w:r w:rsidR="00536B6A" w:rsidRPr="00536B6A">
        <w:rPr>
          <w:rFonts w:eastAsiaTheme="minorHAnsi"/>
          <w:color w:val="000000"/>
          <w:szCs w:val="24"/>
          <w:lang w:eastAsia="en-US"/>
        </w:rPr>
        <w:t xml:space="preserve"> 2023 ÚJD SR nezaznamenal žiad</w:t>
      </w:r>
      <w:r>
        <w:rPr>
          <w:rFonts w:eastAsiaTheme="minorHAnsi"/>
          <w:color w:val="000000"/>
          <w:szCs w:val="24"/>
          <w:lang w:eastAsia="en-US"/>
        </w:rPr>
        <w:t>ny</w:t>
      </w:r>
      <w:r w:rsidR="00536B6A" w:rsidRPr="00536B6A">
        <w:rPr>
          <w:rFonts w:eastAsiaTheme="minorHAnsi"/>
          <w:color w:val="000000"/>
          <w:szCs w:val="24"/>
          <w:lang w:eastAsia="en-US"/>
        </w:rPr>
        <w:t xml:space="preserve"> závažný kybernetický incident.</w:t>
      </w:r>
      <w:r w:rsidR="00536B6A">
        <w:rPr>
          <w:rFonts w:eastAsiaTheme="minorHAnsi"/>
          <w:color w:val="000000"/>
          <w:szCs w:val="24"/>
          <w:lang w:eastAsia="en-US"/>
        </w:rPr>
        <w:t xml:space="preserve"> </w:t>
      </w:r>
      <w:r w:rsidR="00536B6A" w:rsidRPr="00536B6A">
        <w:rPr>
          <w:rFonts w:eastAsiaTheme="minorHAnsi"/>
          <w:color w:val="000000"/>
          <w:szCs w:val="24"/>
          <w:lang w:eastAsia="en-US"/>
        </w:rPr>
        <w:t>ÚJD SR v roku 2023 vypracoval novú bezpečnostnú dokumentáciu v oblasti organizačných opatrení zo zameraním sa na ochranu informačných aktív úradu. Na konci roka 2023 ÚJD SR realizoval audit kybernetickej bezpečnosti, ktorý ukázal veľmi významný nárast overenia súladu prevádzkovateľa základnej služby s požiadavkami Zákona č. 69/2018 Z. z. o kybernetickej bezpečnosti (ďalej len „zákon o kybernetickej bezpečnosti“) a Vyhláškou NBÚ 362/2018 Z. z., ktorou sa ustanovuje obsah bezpečnostných opatrení, ktorý je výsledkom všetkých vyššie uvedených aktivít v oblasti kybernetickej bezpečnosti.</w:t>
      </w:r>
    </w:p>
    <w:p w14:paraId="1EE50BC3" w14:textId="5CB0520A" w:rsidR="00241456" w:rsidRPr="00536B6A" w:rsidRDefault="00241456" w:rsidP="001402AE">
      <w:pPr>
        <w:autoSpaceDE w:val="0"/>
        <w:autoSpaceDN w:val="0"/>
        <w:adjustRightInd w:val="0"/>
        <w:jc w:val="both"/>
        <w:rPr>
          <w:rFonts w:eastAsiaTheme="minorHAnsi"/>
          <w:color w:val="000000"/>
          <w:szCs w:val="24"/>
          <w:lang w:eastAsia="en-US"/>
        </w:rPr>
      </w:pPr>
      <w:r w:rsidRPr="00536B6A">
        <w:rPr>
          <w:rFonts w:eastAsiaTheme="minorHAnsi"/>
          <w:color w:val="000000"/>
          <w:szCs w:val="24"/>
          <w:lang w:eastAsia="en-US"/>
        </w:rPr>
        <w:br w:type="page"/>
      </w:r>
    </w:p>
    <w:p w14:paraId="5400E9D1" w14:textId="4E9F3811" w:rsidR="00155A3A" w:rsidRPr="00C35FB9" w:rsidRDefault="00155A3A" w:rsidP="007C21EA">
      <w:pPr>
        <w:pStyle w:val="Nadpis1"/>
        <w:numPr>
          <w:ilvl w:val="0"/>
          <w:numId w:val="7"/>
        </w:numPr>
        <w:tabs>
          <w:tab w:val="clear" w:pos="2771"/>
        </w:tabs>
        <w:ind w:left="567" w:hanging="567"/>
        <w:jc w:val="both"/>
        <w:rPr>
          <w:b w:val="0"/>
          <w:bCs/>
          <w:lang w:eastAsia="x-none"/>
        </w:rPr>
      </w:pPr>
      <w:bookmarkStart w:id="79" w:name="_Toc161214340"/>
      <w:r w:rsidRPr="00C35FB9">
        <w:rPr>
          <w:bCs/>
          <w:lang w:val="en-US" w:eastAsia="x-none"/>
        </w:rPr>
        <w:lastRenderedPageBreak/>
        <w:t>ZOZNAM SKRATIEK</w:t>
      </w:r>
      <w:bookmarkEnd w:id="79"/>
    </w:p>
    <w:p w14:paraId="4216D6AF" w14:textId="77777777" w:rsidR="00155A3A" w:rsidRPr="00C13965" w:rsidRDefault="00155A3A" w:rsidP="00F16D0C">
      <w:pPr>
        <w:jc w:val="both"/>
        <w:rPr>
          <w:lang w:eastAsia="x-none"/>
        </w:rPr>
      </w:pPr>
    </w:p>
    <w:tbl>
      <w:tblPr>
        <w:tblStyle w:val="Mriekatabuky"/>
        <w:tblW w:w="10100" w:type="dxa"/>
        <w:tblLook w:val="04A0" w:firstRow="1" w:lastRow="0" w:firstColumn="1" w:lastColumn="0" w:noHBand="0" w:noVBand="1"/>
      </w:tblPr>
      <w:tblGrid>
        <w:gridCol w:w="2552"/>
        <w:gridCol w:w="7548"/>
      </w:tblGrid>
      <w:tr w:rsidR="00DF49C6" w:rsidRPr="00C13965" w14:paraId="6119A935" w14:textId="77777777" w:rsidTr="00C13A84">
        <w:tc>
          <w:tcPr>
            <w:tcW w:w="2552" w:type="dxa"/>
            <w:tcBorders>
              <w:top w:val="nil"/>
              <w:left w:val="nil"/>
              <w:bottom w:val="nil"/>
              <w:right w:val="nil"/>
            </w:tcBorders>
          </w:tcPr>
          <w:p w14:paraId="69DAB8FC" w14:textId="4DC7D742" w:rsidR="00DF49C6" w:rsidRPr="00C13965" w:rsidRDefault="00DF49C6" w:rsidP="00F16D0C">
            <w:pPr>
              <w:jc w:val="both"/>
              <w:rPr>
                <w:szCs w:val="24"/>
                <w:lang w:eastAsia="en-US"/>
              </w:rPr>
            </w:pPr>
            <w:r w:rsidRPr="00C13965">
              <w:rPr>
                <w:szCs w:val="24"/>
                <w:lang w:eastAsia="en-US"/>
              </w:rPr>
              <w:t>AO1</w:t>
            </w:r>
          </w:p>
        </w:tc>
        <w:tc>
          <w:tcPr>
            <w:tcW w:w="7548" w:type="dxa"/>
            <w:tcBorders>
              <w:top w:val="nil"/>
              <w:left w:val="nil"/>
              <w:bottom w:val="nil"/>
              <w:right w:val="nil"/>
            </w:tcBorders>
          </w:tcPr>
          <w:p w14:paraId="06F78799" w14:textId="55762EBD" w:rsidR="00DF49C6" w:rsidRPr="00C13965" w:rsidRDefault="00DF49C6" w:rsidP="00F16D0C">
            <w:pPr>
              <w:jc w:val="both"/>
              <w:rPr>
                <w:szCs w:val="24"/>
                <w:lang w:eastAsia="en-US"/>
              </w:rPr>
            </w:pPr>
            <w:r w:rsidRPr="00C13965">
              <w:rPr>
                <w:szCs w:val="24"/>
                <w:lang w:eastAsia="en-US"/>
              </w:rPr>
              <w:t>rýchle odstavenie reaktora</w:t>
            </w:r>
          </w:p>
        </w:tc>
      </w:tr>
      <w:tr w:rsidR="00DF49C6" w:rsidRPr="00C13965" w14:paraId="134AC2BB" w14:textId="77777777" w:rsidTr="00C13A84">
        <w:tc>
          <w:tcPr>
            <w:tcW w:w="2552" w:type="dxa"/>
            <w:tcBorders>
              <w:top w:val="nil"/>
              <w:left w:val="nil"/>
              <w:bottom w:val="nil"/>
              <w:right w:val="nil"/>
            </w:tcBorders>
            <w:hideMark/>
          </w:tcPr>
          <w:p w14:paraId="76FCE1D2" w14:textId="40B661AC" w:rsidR="00DF49C6" w:rsidRPr="00C13965" w:rsidRDefault="00DF49C6" w:rsidP="00F16D0C">
            <w:pPr>
              <w:jc w:val="both"/>
              <w:rPr>
                <w:rStyle w:val="A9"/>
                <w:rFonts w:cs="Times New Roman"/>
                <w:sz w:val="24"/>
                <w:szCs w:val="24"/>
              </w:rPr>
            </w:pPr>
            <w:r>
              <w:rPr>
                <w:szCs w:val="24"/>
                <w:lang w:eastAsia="en-US"/>
              </w:rPr>
              <w:t>BN</w:t>
            </w:r>
          </w:p>
        </w:tc>
        <w:tc>
          <w:tcPr>
            <w:tcW w:w="7548" w:type="dxa"/>
            <w:tcBorders>
              <w:top w:val="nil"/>
              <w:left w:val="nil"/>
              <w:bottom w:val="nil"/>
              <w:right w:val="nil"/>
            </w:tcBorders>
            <w:hideMark/>
          </w:tcPr>
          <w:p w14:paraId="5E703FC1" w14:textId="08F27C58" w:rsidR="00DF49C6" w:rsidRPr="00C13965" w:rsidRDefault="00DF49C6" w:rsidP="00F16D0C">
            <w:pPr>
              <w:jc w:val="both"/>
              <w:rPr>
                <w:rStyle w:val="A9"/>
                <w:rFonts w:cs="Times New Roman"/>
                <w:sz w:val="24"/>
                <w:szCs w:val="24"/>
              </w:rPr>
            </w:pPr>
            <w:r>
              <w:rPr>
                <w:szCs w:val="24"/>
                <w:lang w:eastAsia="en-US"/>
              </w:rPr>
              <w:t>bezpečnostný návod</w:t>
            </w:r>
          </w:p>
        </w:tc>
      </w:tr>
      <w:tr w:rsidR="00DF49C6" w:rsidRPr="00C13965" w14:paraId="3D1FB427" w14:textId="77777777" w:rsidTr="00C13A84">
        <w:tc>
          <w:tcPr>
            <w:tcW w:w="2552" w:type="dxa"/>
            <w:tcBorders>
              <w:top w:val="nil"/>
              <w:left w:val="nil"/>
              <w:bottom w:val="nil"/>
              <w:right w:val="nil"/>
            </w:tcBorders>
          </w:tcPr>
          <w:p w14:paraId="56625388" w14:textId="5AE77CEE" w:rsidR="00DF49C6" w:rsidRPr="00C13965" w:rsidRDefault="00DF49C6" w:rsidP="00F16D0C">
            <w:pPr>
              <w:jc w:val="both"/>
              <w:rPr>
                <w:szCs w:val="24"/>
                <w:lang w:eastAsia="en-US"/>
              </w:rPr>
            </w:pPr>
            <w:r>
              <w:rPr>
                <w:rStyle w:val="A9"/>
                <w:rFonts w:cs="Times New Roman"/>
                <w:sz w:val="24"/>
                <w:szCs w:val="24"/>
              </w:rPr>
              <w:t>BRÚ</w:t>
            </w:r>
          </w:p>
        </w:tc>
        <w:tc>
          <w:tcPr>
            <w:tcW w:w="7548" w:type="dxa"/>
            <w:tcBorders>
              <w:top w:val="nil"/>
              <w:left w:val="nil"/>
              <w:bottom w:val="nil"/>
              <w:right w:val="nil"/>
            </w:tcBorders>
          </w:tcPr>
          <w:p w14:paraId="152B671E" w14:textId="7BA2145D" w:rsidR="00DF49C6" w:rsidRPr="00C13965" w:rsidRDefault="00DF49C6" w:rsidP="00F16D0C">
            <w:pPr>
              <w:jc w:val="both"/>
              <w:rPr>
                <w:szCs w:val="24"/>
                <w:lang w:eastAsia="en-US"/>
              </w:rPr>
            </w:pPr>
            <w:r>
              <w:rPr>
                <w:rStyle w:val="A9"/>
                <w:rFonts w:cs="Times New Roman"/>
                <w:sz w:val="24"/>
                <w:szCs w:val="24"/>
              </w:rPr>
              <w:t xml:space="preserve">bezpečnostné referenčné úrovne, angl. </w:t>
            </w:r>
            <w:proofErr w:type="spellStart"/>
            <w:r>
              <w:rPr>
                <w:rStyle w:val="A9"/>
                <w:rFonts w:cs="Times New Roman"/>
                <w:sz w:val="24"/>
                <w:szCs w:val="24"/>
              </w:rPr>
              <w:t>SRLs</w:t>
            </w:r>
            <w:proofErr w:type="spellEnd"/>
          </w:p>
        </w:tc>
      </w:tr>
      <w:tr w:rsidR="00DF49C6" w:rsidRPr="00C13965" w14:paraId="2A48EE1E" w14:textId="77777777" w:rsidTr="009B7A77">
        <w:tc>
          <w:tcPr>
            <w:tcW w:w="2552" w:type="dxa"/>
            <w:tcBorders>
              <w:top w:val="nil"/>
              <w:left w:val="nil"/>
              <w:bottom w:val="nil"/>
              <w:right w:val="nil"/>
            </w:tcBorders>
          </w:tcPr>
          <w:p w14:paraId="361D3DD3" w14:textId="1881596C"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BSC RAO</w:t>
            </w:r>
          </w:p>
        </w:tc>
        <w:tc>
          <w:tcPr>
            <w:tcW w:w="7548" w:type="dxa"/>
            <w:tcBorders>
              <w:top w:val="nil"/>
              <w:left w:val="nil"/>
              <w:bottom w:val="nil"/>
              <w:right w:val="nil"/>
            </w:tcBorders>
          </w:tcPr>
          <w:p w14:paraId="1AD9A2D8" w14:textId="61E62DBE"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Bohunické spracovateľské centrum rádioaktívnych odpadov</w:t>
            </w:r>
          </w:p>
        </w:tc>
      </w:tr>
      <w:tr w:rsidR="00DF49C6" w:rsidRPr="00C13965" w14:paraId="6ABA775B" w14:textId="77777777" w:rsidTr="00C13A84">
        <w:tc>
          <w:tcPr>
            <w:tcW w:w="2552" w:type="dxa"/>
            <w:tcBorders>
              <w:top w:val="nil"/>
              <w:left w:val="nil"/>
              <w:bottom w:val="nil"/>
              <w:right w:val="nil"/>
            </w:tcBorders>
            <w:hideMark/>
          </w:tcPr>
          <w:p w14:paraId="6443B2F8" w14:textId="7FE6BA0F"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CHO</w:t>
            </w:r>
          </w:p>
        </w:tc>
        <w:tc>
          <w:tcPr>
            <w:tcW w:w="7548" w:type="dxa"/>
            <w:tcBorders>
              <w:top w:val="nil"/>
              <w:left w:val="nil"/>
              <w:bottom w:val="nil"/>
              <w:right w:val="nil"/>
            </w:tcBorders>
            <w:hideMark/>
          </w:tcPr>
          <w:p w14:paraId="1435B055" w14:textId="3CD16200"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Centrum havarijnej odozvy</w:t>
            </w:r>
          </w:p>
        </w:tc>
      </w:tr>
      <w:tr w:rsidR="00DF49C6" w:rsidRPr="00C13965" w14:paraId="2A9D63A1" w14:textId="77777777" w:rsidTr="00C13A84">
        <w:tc>
          <w:tcPr>
            <w:tcW w:w="2552" w:type="dxa"/>
            <w:tcBorders>
              <w:top w:val="nil"/>
              <w:left w:val="nil"/>
              <w:bottom w:val="nil"/>
              <w:right w:val="nil"/>
            </w:tcBorders>
            <w:hideMark/>
          </w:tcPr>
          <w:p w14:paraId="0E81CD08" w14:textId="47A6151E" w:rsidR="00DF49C6" w:rsidRPr="00C13965" w:rsidRDefault="00DF49C6" w:rsidP="00F16D0C">
            <w:pPr>
              <w:jc w:val="both"/>
              <w:rPr>
                <w:rStyle w:val="A9"/>
                <w:rFonts w:cs="Times New Roman"/>
                <w:sz w:val="24"/>
                <w:szCs w:val="24"/>
              </w:rPr>
            </w:pPr>
            <w:r w:rsidRPr="00C13965">
              <w:rPr>
                <w:szCs w:val="24"/>
                <w:lang w:eastAsia="en-US"/>
              </w:rPr>
              <w:t>CSS</w:t>
            </w:r>
          </w:p>
        </w:tc>
        <w:tc>
          <w:tcPr>
            <w:tcW w:w="7548" w:type="dxa"/>
            <w:tcBorders>
              <w:top w:val="nil"/>
              <w:left w:val="nil"/>
              <w:bottom w:val="nil"/>
              <w:right w:val="nil"/>
            </w:tcBorders>
            <w:hideMark/>
          </w:tcPr>
          <w:p w14:paraId="24A35FC2" w14:textId="0E6D6DD3" w:rsidR="00DF49C6" w:rsidRPr="00C13965" w:rsidRDefault="00DF49C6" w:rsidP="00F16D0C">
            <w:pPr>
              <w:jc w:val="both"/>
              <w:rPr>
                <w:rStyle w:val="A9"/>
                <w:rFonts w:cs="Times New Roman"/>
                <w:sz w:val="24"/>
                <w:szCs w:val="24"/>
              </w:rPr>
            </w:pPr>
            <w:r w:rsidRPr="00C13965">
              <w:rPr>
                <w:szCs w:val="24"/>
                <w:lang w:eastAsia="en-US"/>
              </w:rPr>
              <w:t>Komisia pre bezpečnostné štandardy MAAE</w:t>
            </w:r>
          </w:p>
        </w:tc>
      </w:tr>
      <w:tr w:rsidR="00DF49C6" w:rsidRPr="00C13965" w14:paraId="3379D0A0" w14:textId="77777777" w:rsidTr="00C13A84">
        <w:tc>
          <w:tcPr>
            <w:tcW w:w="2552" w:type="dxa"/>
            <w:tcBorders>
              <w:top w:val="nil"/>
              <w:left w:val="nil"/>
              <w:bottom w:val="nil"/>
              <w:right w:val="nil"/>
            </w:tcBorders>
            <w:hideMark/>
          </w:tcPr>
          <w:p w14:paraId="7303DC45" w14:textId="0130A658" w:rsidR="00DF49C6" w:rsidRPr="00C13965" w:rsidRDefault="00DF49C6" w:rsidP="00F16D0C">
            <w:pPr>
              <w:jc w:val="both"/>
              <w:rPr>
                <w:rStyle w:val="A9"/>
                <w:rFonts w:cs="Times New Roman"/>
                <w:sz w:val="24"/>
                <w:szCs w:val="24"/>
              </w:rPr>
            </w:pPr>
            <w:r>
              <w:rPr>
                <w:rStyle w:val="A9"/>
                <w:rFonts w:cs="Times New Roman"/>
                <w:sz w:val="24"/>
                <w:szCs w:val="24"/>
                <w:lang w:eastAsia="en-US"/>
              </w:rPr>
              <w:t>C</w:t>
            </w:r>
            <w:r>
              <w:rPr>
                <w:rStyle w:val="A9"/>
                <w:rFonts w:cs="Times New Roman"/>
                <w:sz w:val="24"/>
                <w:szCs w:val="24"/>
              </w:rPr>
              <w:t>TBT</w:t>
            </w:r>
          </w:p>
        </w:tc>
        <w:tc>
          <w:tcPr>
            <w:tcW w:w="7548" w:type="dxa"/>
            <w:tcBorders>
              <w:top w:val="nil"/>
              <w:left w:val="nil"/>
              <w:bottom w:val="nil"/>
              <w:right w:val="nil"/>
            </w:tcBorders>
            <w:hideMark/>
          </w:tcPr>
          <w:p w14:paraId="76263986" w14:textId="7BE137A6" w:rsidR="00DF49C6" w:rsidRPr="00C13965" w:rsidRDefault="00DF49C6" w:rsidP="00F16D0C">
            <w:pPr>
              <w:jc w:val="both"/>
              <w:rPr>
                <w:rStyle w:val="A9"/>
                <w:rFonts w:cs="Times New Roman"/>
                <w:sz w:val="24"/>
                <w:szCs w:val="24"/>
              </w:rPr>
            </w:pPr>
            <w:r>
              <w:rPr>
                <w:rStyle w:val="A9"/>
                <w:rFonts w:cs="Times New Roman"/>
                <w:sz w:val="24"/>
                <w:szCs w:val="24"/>
                <w:lang w:eastAsia="en-US"/>
              </w:rPr>
              <w:t>Z</w:t>
            </w:r>
            <w:r>
              <w:rPr>
                <w:rStyle w:val="A9"/>
                <w:rFonts w:cs="Times New Roman"/>
                <w:sz w:val="24"/>
                <w:szCs w:val="24"/>
              </w:rPr>
              <w:t>mluva o všeobecnom zákaze jadrových skúšok</w:t>
            </w:r>
          </w:p>
        </w:tc>
      </w:tr>
      <w:tr w:rsidR="00DF49C6" w:rsidRPr="00C13965" w14:paraId="6BA918B8" w14:textId="77777777" w:rsidTr="00C13A84">
        <w:tc>
          <w:tcPr>
            <w:tcW w:w="2552" w:type="dxa"/>
            <w:tcBorders>
              <w:top w:val="nil"/>
              <w:left w:val="nil"/>
              <w:bottom w:val="nil"/>
              <w:right w:val="nil"/>
            </w:tcBorders>
          </w:tcPr>
          <w:p w14:paraId="3C25A80A" w14:textId="2894E75B"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CTBTO</w:t>
            </w:r>
          </w:p>
        </w:tc>
        <w:tc>
          <w:tcPr>
            <w:tcW w:w="7548" w:type="dxa"/>
            <w:tcBorders>
              <w:top w:val="nil"/>
              <w:left w:val="nil"/>
              <w:bottom w:val="nil"/>
              <w:right w:val="nil"/>
            </w:tcBorders>
          </w:tcPr>
          <w:p w14:paraId="0BAC4A3F" w14:textId="047FED31"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 xml:space="preserve">Organizácia </w:t>
            </w:r>
            <w:r>
              <w:rPr>
                <w:rStyle w:val="A9"/>
                <w:rFonts w:cs="Times New Roman"/>
                <w:sz w:val="24"/>
                <w:szCs w:val="24"/>
                <w:lang w:eastAsia="en-US"/>
              </w:rPr>
              <w:t>Z</w:t>
            </w:r>
            <w:r w:rsidRPr="00C13965">
              <w:rPr>
                <w:rStyle w:val="A9"/>
                <w:rFonts w:cs="Times New Roman"/>
                <w:sz w:val="24"/>
                <w:szCs w:val="24"/>
                <w:lang w:eastAsia="en-US"/>
              </w:rPr>
              <w:t>mluvy o všeobecnom zákaze jadrových skúšok</w:t>
            </w:r>
          </w:p>
        </w:tc>
      </w:tr>
      <w:tr w:rsidR="00DF49C6" w:rsidRPr="00C13965" w14:paraId="11A75928" w14:textId="77777777" w:rsidTr="00C13A84">
        <w:tc>
          <w:tcPr>
            <w:tcW w:w="2552" w:type="dxa"/>
            <w:tcBorders>
              <w:top w:val="nil"/>
              <w:left w:val="nil"/>
              <w:bottom w:val="nil"/>
              <w:right w:val="nil"/>
            </w:tcBorders>
            <w:hideMark/>
          </w:tcPr>
          <w:p w14:paraId="63456935" w14:textId="36D35BD4" w:rsidR="00DF49C6" w:rsidRPr="00C13965" w:rsidRDefault="00DF49C6" w:rsidP="00F16D0C">
            <w:pPr>
              <w:jc w:val="both"/>
              <w:rPr>
                <w:szCs w:val="24"/>
                <w:lang w:eastAsia="en-US"/>
              </w:rPr>
            </w:pPr>
            <w:r w:rsidRPr="00C13965">
              <w:rPr>
                <w:rStyle w:val="A9"/>
                <w:rFonts w:cs="Times New Roman"/>
                <w:sz w:val="24"/>
                <w:szCs w:val="24"/>
                <w:lang w:eastAsia="en-US"/>
              </w:rPr>
              <w:t>ČJP</w:t>
            </w:r>
          </w:p>
        </w:tc>
        <w:tc>
          <w:tcPr>
            <w:tcW w:w="7548" w:type="dxa"/>
            <w:tcBorders>
              <w:top w:val="nil"/>
              <w:left w:val="nil"/>
              <w:bottom w:val="nil"/>
              <w:right w:val="nil"/>
            </w:tcBorders>
            <w:hideMark/>
          </w:tcPr>
          <w:p w14:paraId="78E20359" w14:textId="165CEC32" w:rsidR="00DF49C6" w:rsidRPr="00C13965" w:rsidRDefault="00DF49C6" w:rsidP="00F16D0C">
            <w:pPr>
              <w:jc w:val="both"/>
              <w:rPr>
                <w:szCs w:val="24"/>
                <w:lang w:eastAsia="en-US"/>
              </w:rPr>
            </w:pPr>
            <w:r w:rsidRPr="00C13965">
              <w:rPr>
                <w:rStyle w:val="A9"/>
                <w:rFonts w:cs="Times New Roman"/>
                <w:sz w:val="24"/>
                <w:szCs w:val="24"/>
                <w:lang w:eastAsia="en-US"/>
              </w:rPr>
              <w:t>čerstvé jadrové palivo</w:t>
            </w:r>
          </w:p>
        </w:tc>
      </w:tr>
      <w:tr w:rsidR="00DF49C6" w:rsidRPr="00C13965" w14:paraId="1D219A04" w14:textId="77777777" w:rsidTr="00C13A84">
        <w:tc>
          <w:tcPr>
            <w:tcW w:w="2552" w:type="dxa"/>
            <w:tcBorders>
              <w:top w:val="nil"/>
              <w:left w:val="nil"/>
              <w:bottom w:val="nil"/>
              <w:right w:val="nil"/>
            </w:tcBorders>
            <w:hideMark/>
          </w:tcPr>
          <w:p w14:paraId="5C1415B1" w14:textId="31C99206" w:rsidR="00DF49C6" w:rsidRPr="00C13965" w:rsidRDefault="00DF49C6" w:rsidP="00F16D0C">
            <w:pPr>
              <w:jc w:val="both"/>
              <w:rPr>
                <w:szCs w:val="24"/>
                <w:lang w:eastAsia="en-US"/>
              </w:rPr>
            </w:pPr>
            <w:r w:rsidRPr="00C13965">
              <w:rPr>
                <w:rStyle w:val="A9"/>
                <w:rFonts w:cs="Times New Roman"/>
                <w:sz w:val="24"/>
                <w:szCs w:val="24"/>
                <w:lang w:eastAsia="en-US"/>
              </w:rPr>
              <w:t>DBL</w:t>
            </w:r>
          </w:p>
        </w:tc>
        <w:tc>
          <w:tcPr>
            <w:tcW w:w="7548" w:type="dxa"/>
            <w:tcBorders>
              <w:top w:val="nil"/>
              <w:left w:val="nil"/>
              <w:bottom w:val="nil"/>
              <w:right w:val="nil"/>
            </w:tcBorders>
            <w:hideMark/>
          </w:tcPr>
          <w:p w14:paraId="0991100E" w14:textId="4B4A2526" w:rsidR="00DF49C6" w:rsidRPr="00C13965" w:rsidRDefault="00DF49C6" w:rsidP="00F16D0C">
            <w:pPr>
              <w:jc w:val="both"/>
              <w:rPr>
                <w:szCs w:val="24"/>
                <w:lang w:eastAsia="en-US"/>
              </w:rPr>
            </w:pPr>
            <w:r w:rsidRPr="00C13965">
              <w:rPr>
                <w:rStyle w:val="A9"/>
                <w:rFonts w:cs="Times New Roman"/>
                <w:sz w:val="24"/>
                <w:szCs w:val="24"/>
                <w:lang w:eastAsia="en-US"/>
              </w:rPr>
              <w:t xml:space="preserve">diskontinuálna </w:t>
            </w:r>
            <w:proofErr w:type="spellStart"/>
            <w:r w:rsidRPr="00C13965">
              <w:rPr>
                <w:rStyle w:val="A9"/>
                <w:rFonts w:cs="Times New Roman"/>
                <w:sz w:val="24"/>
                <w:szCs w:val="24"/>
                <w:lang w:eastAsia="en-US"/>
              </w:rPr>
              <w:t>bitúmenačná</w:t>
            </w:r>
            <w:proofErr w:type="spellEnd"/>
            <w:r w:rsidRPr="00C13965">
              <w:rPr>
                <w:rStyle w:val="A9"/>
                <w:rFonts w:cs="Times New Roman"/>
                <w:sz w:val="24"/>
                <w:szCs w:val="24"/>
                <w:lang w:eastAsia="en-US"/>
              </w:rPr>
              <w:t xml:space="preserve"> linka</w:t>
            </w:r>
          </w:p>
        </w:tc>
      </w:tr>
      <w:tr w:rsidR="00DF49C6" w:rsidRPr="00C13965" w14:paraId="6DEBA0D6" w14:textId="77777777" w:rsidTr="00C13A84">
        <w:tc>
          <w:tcPr>
            <w:tcW w:w="2552" w:type="dxa"/>
            <w:tcBorders>
              <w:top w:val="nil"/>
              <w:left w:val="nil"/>
              <w:bottom w:val="nil"/>
              <w:right w:val="nil"/>
            </w:tcBorders>
            <w:hideMark/>
          </w:tcPr>
          <w:p w14:paraId="676675DD" w14:textId="286AC7D6" w:rsidR="00DF49C6" w:rsidRPr="00C13965" w:rsidRDefault="00DF49C6" w:rsidP="00F16D0C">
            <w:pPr>
              <w:jc w:val="both"/>
              <w:rPr>
                <w:szCs w:val="24"/>
                <w:lang w:eastAsia="en-US"/>
              </w:rPr>
            </w:pPr>
            <w:r>
              <w:rPr>
                <w:rStyle w:val="A9"/>
                <w:rFonts w:cs="Times New Roman"/>
                <w:sz w:val="24"/>
                <w:szCs w:val="24"/>
                <w:lang w:eastAsia="en-US"/>
              </w:rPr>
              <w:t>DG</w:t>
            </w:r>
          </w:p>
        </w:tc>
        <w:tc>
          <w:tcPr>
            <w:tcW w:w="7548" w:type="dxa"/>
            <w:tcBorders>
              <w:top w:val="nil"/>
              <w:left w:val="nil"/>
              <w:bottom w:val="nil"/>
              <w:right w:val="nil"/>
            </w:tcBorders>
            <w:hideMark/>
          </w:tcPr>
          <w:p w14:paraId="60C4833D" w14:textId="2E6B4B90" w:rsidR="00DF49C6" w:rsidRPr="00C13965" w:rsidRDefault="00DF49C6" w:rsidP="00F16D0C">
            <w:pPr>
              <w:jc w:val="both"/>
              <w:rPr>
                <w:szCs w:val="24"/>
                <w:lang w:eastAsia="en-US"/>
              </w:rPr>
            </w:pPr>
            <w:proofErr w:type="spellStart"/>
            <w:r>
              <w:rPr>
                <w:rStyle w:val="A9"/>
                <w:rFonts w:cs="Times New Roman"/>
                <w:sz w:val="24"/>
                <w:szCs w:val="24"/>
                <w:lang w:eastAsia="en-US"/>
              </w:rPr>
              <w:t>dieselgenerátor</w:t>
            </w:r>
            <w:proofErr w:type="spellEnd"/>
          </w:p>
        </w:tc>
      </w:tr>
      <w:tr w:rsidR="00DF49C6" w:rsidRPr="00C13965" w14:paraId="565C706B" w14:textId="77777777" w:rsidTr="00C13A84">
        <w:tc>
          <w:tcPr>
            <w:tcW w:w="2552" w:type="dxa"/>
            <w:tcBorders>
              <w:top w:val="nil"/>
              <w:left w:val="nil"/>
              <w:bottom w:val="nil"/>
              <w:right w:val="nil"/>
            </w:tcBorders>
          </w:tcPr>
          <w:p w14:paraId="7524901A" w14:textId="2D43E859" w:rsidR="00DF49C6" w:rsidRPr="00C13965" w:rsidRDefault="00DF49C6" w:rsidP="00F16D0C">
            <w:pPr>
              <w:jc w:val="both"/>
              <w:rPr>
                <w:rStyle w:val="A9"/>
                <w:rFonts w:cs="Times New Roman"/>
                <w:sz w:val="24"/>
                <w:szCs w:val="24"/>
                <w:lang w:eastAsia="en-US"/>
              </w:rPr>
            </w:pPr>
            <w:r w:rsidRPr="00C13965">
              <w:rPr>
                <w:szCs w:val="24"/>
                <w:lang w:eastAsia="en-US"/>
              </w:rPr>
              <w:t>EBO</w:t>
            </w:r>
          </w:p>
        </w:tc>
        <w:tc>
          <w:tcPr>
            <w:tcW w:w="7548" w:type="dxa"/>
            <w:tcBorders>
              <w:top w:val="nil"/>
              <w:left w:val="nil"/>
              <w:bottom w:val="nil"/>
              <w:right w:val="nil"/>
            </w:tcBorders>
          </w:tcPr>
          <w:p w14:paraId="16B91B63" w14:textId="165F3A90" w:rsidR="00DF49C6" w:rsidRPr="00C13965" w:rsidRDefault="00DF49C6" w:rsidP="00F16D0C">
            <w:pPr>
              <w:jc w:val="both"/>
              <w:rPr>
                <w:rStyle w:val="A9"/>
                <w:rFonts w:cs="Times New Roman"/>
                <w:sz w:val="24"/>
                <w:szCs w:val="24"/>
                <w:lang w:eastAsia="en-US"/>
              </w:rPr>
            </w:pPr>
            <w:r w:rsidRPr="00C13965">
              <w:t>jadrová</w:t>
            </w:r>
            <w:r w:rsidRPr="00C13965">
              <w:rPr>
                <w:rStyle w:val="A9"/>
                <w:rFonts w:cs="Times New Roman"/>
                <w:sz w:val="24"/>
                <w:szCs w:val="24"/>
                <w:lang w:eastAsia="en-US"/>
              </w:rPr>
              <w:t xml:space="preserve"> elektráreň Bohunice</w:t>
            </w:r>
          </w:p>
        </w:tc>
      </w:tr>
      <w:tr w:rsidR="00DF49C6" w:rsidRPr="00C13965" w14:paraId="034648CB" w14:textId="77777777" w:rsidTr="00C13A84">
        <w:tc>
          <w:tcPr>
            <w:tcW w:w="2552" w:type="dxa"/>
            <w:tcBorders>
              <w:top w:val="nil"/>
              <w:left w:val="nil"/>
              <w:bottom w:val="nil"/>
              <w:right w:val="nil"/>
            </w:tcBorders>
            <w:hideMark/>
          </w:tcPr>
          <w:p w14:paraId="64EB2041" w14:textId="33351B3E" w:rsidR="00DF49C6" w:rsidRPr="00C13965" w:rsidRDefault="00DF49C6" w:rsidP="00F16D0C">
            <w:pPr>
              <w:jc w:val="both"/>
              <w:rPr>
                <w:szCs w:val="24"/>
                <w:lang w:eastAsia="en-US"/>
              </w:rPr>
            </w:pPr>
            <w:r w:rsidRPr="00C13965">
              <w:rPr>
                <w:rStyle w:val="A9"/>
                <w:rFonts w:cs="Times New Roman"/>
                <w:sz w:val="24"/>
                <w:szCs w:val="24"/>
                <w:lang w:eastAsia="en-US"/>
              </w:rPr>
              <w:t>EK</w:t>
            </w:r>
          </w:p>
        </w:tc>
        <w:tc>
          <w:tcPr>
            <w:tcW w:w="7548" w:type="dxa"/>
            <w:tcBorders>
              <w:top w:val="nil"/>
              <w:left w:val="nil"/>
              <w:bottom w:val="nil"/>
              <w:right w:val="nil"/>
            </w:tcBorders>
            <w:hideMark/>
          </w:tcPr>
          <w:p w14:paraId="2B414D7C" w14:textId="4A4186E8" w:rsidR="00DF49C6" w:rsidRPr="00C13965" w:rsidRDefault="00DF49C6" w:rsidP="00F16D0C">
            <w:pPr>
              <w:jc w:val="both"/>
              <w:rPr>
                <w:szCs w:val="24"/>
                <w:lang w:eastAsia="en-US"/>
              </w:rPr>
            </w:pPr>
            <w:r w:rsidRPr="00C13965">
              <w:rPr>
                <w:rStyle w:val="A9"/>
                <w:rFonts w:cs="Times New Roman"/>
                <w:sz w:val="24"/>
                <w:szCs w:val="24"/>
                <w:lang w:eastAsia="en-US"/>
              </w:rPr>
              <w:t>Európska komisia</w:t>
            </w:r>
          </w:p>
        </w:tc>
      </w:tr>
      <w:tr w:rsidR="00DF49C6" w:rsidRPr="00C13965" w14:paraId="5319ADE3" w14:textId="77777777" w:rsidTr="00C13A84">
        <w:tc>
          <w:tcPr>
            <w:tcW w:w="2552" w:type="dxa"/>
            <w:tcBorders>
              <w:top w:val="nil"/>
              <w:left w:val="nil"/>
              <w:bottom w:val="nil"/>
              <w:right w:val="nil"/>
            </w:tcBorders>
            <w:hideMark/>
          </w:tcPr>
          <w:p w14:paraId="3A6356CF" w14:textId="327766DA" w:rsidR="00DF49C6" w:rsidRPr="00C13965" w:rsidRDefault="00DF49C6" w:rsidP="00F16D0C">
            <w:pPr>
              <w:jc w:val="both"/>
              <w:rPr>
                <w:szCs w:val="24"/>
                <w:lang w:eastAsia="en-US"/>
              </w:rPr>
            </w:pPr>
            <w:r w:rsidRPr="00C13965">
              <w:rPr>
                <w:szCs w:val="24"/>
                <w:lang w:eastAsia="en-US"/>
              </w:rPr>
              <w:t>EMO</w:t>
            </w:r>
          </w:p>
        </w:tc>
        <w:tc>
          <w:tcPr>
            <w:tcW w:w="7548" w:type="dxa"/>
            <w:tcBorders>
              <w:top w:val="nil"/>
              <w:left w:val="nil"/>
              <w:bottom w:val="nil"/>
              <w:right w:val="nil"/>
            </w:tcBorders>
            <w:hideMark/>
          </w:tcPr>
          <w:p w14:paraId="10060C7C" w14:textId="19B0B0FB" w:rsidR="00DF49C6" w:rsidRPr="00C13965" w:rsidRDefault="00DF49C6" w:rsidP="00F16D0C">
            <w:pPr>
              <w:jc w:val="both"/>
              <w:rPr>
                <w:szCs w:val="24"/>
                <w:lang w:eastAsia="en-US"/>
              </w:rPr>
            </w:pPr>
            <w:r w:rsidRPr="00C13965">
              <w:t>jadrová</w:t>
            </w:r>
            <w:r w:rsidRPr="00C13965">
              <w:rPr>
                <w:rStyle w:val="A9"/>
                <w:rFonts w:cs="Times New Roman"/>
                <w:sz w:val="24"/>
                <w:szCs w:val="24"/>
                <w:lang w:eastAsia="en-US"/>
              </w:rPr>
              <w:t xml:space="preserve"> elektráreň Mochovce</w:t>
            </w:r>
          </w:p>
        </w:tc>
      </w:tr>
      <w:tr w:rsidR="00DF49C6" w:rsidRPr="00C13965" w14:paraId="7CEB4B8F" w14:textId="77777777" w:rsidTr="00C13A84">
        <w:tc>
          <w:tcPr>
            <w:tcW w:w="2552" w:type="dxa"/>
            <w:tcBorders>
              <w:top w:val="nil"/>
              <w:left w:val="nil"/>
              <w:bottom w:val="nil"/>
              <w:right w:val="nil"/>
            </w:tcBorders>
            <w:hideMark/>
          </w:tcPr>
          <w:p w14:paraId="1B30CA30" w14:textId="6663F21C"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ENSREG</w:t>
            </w:r>
          </w:p>
        </w:tc>
        <w:tc>
          <w:tcPr>
            <w:tcW w:w="7548" w:type="dxa"/>
            <w:tcBorders>
              <w:top w:val="nil"/>
              <w:left w:val="nil"/>
              <w:bottom w:val="nil"/>
              <w:right w:val="nil"/>
            </w:tcBorders>
            <w:hideMark/>
          </w:tcPr>
          <w:p w14:paraId="39C95C6B" w14:textId="37FAF6CB"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Skupina európskych dozorov nad jadrovou bezpečnosťou</w:t>
            </w:r>
          </w:p>
        </w:tc>
      </w:tr>
      <w:tr w:rsidR="00DF49C6" w:rsidRPr="00C13965" w14:paraId="79C0CCA3" w14:textId="77777777" w:rsidTr="00C13A84">
        <w:tc>
          <w:tcPr>
            <w:tcW w:w="2552" w:type="dxa"/>
            <w:tcBorders>
              <w:top w:val="nil"/>
              <w:left w:val="nil"/>
              <w:bottom w:val="nil"/>
              <w:right w:val="nil"/>
            </w:tcBorders>
            <w:hideMark/>
          </w:tcPr>
          <w:p w14:paraId="69BEB338" w14:textId="28AEE69A" w:rsidR="00DF49C6" w:rsidRPr="00C13965" w:rsidRDefault="00DF49C6" w:rsidP="00F16D0C">
            <w:pPr>
              <w:jc w:val="both"/>
              <w:rPr>
                <w:rStyle w:val="A9"/>
                <w:rFonts w:cs="Times New Roman"/>
                <w:sz w:val="24"/>
                <w:szCs w:val="24"/>
              </w:rPr>
            </w:pPr>
            <w:r>
              <w:rPr>
                <w:rStyle w:val="A9"/>
                <w:rFonts w:cs="Times New Roman"/>
                <w:sz w:val="24"/>
                <w:szCs w:val="24"/>
                <w:lang w:eastAsia="en-US"/>
              </w:rPr>
              <w:t>E</w:t>
            </w:r>
            <w:r>
              <w:rPr>
                <w:rStyle w:val="A9"/>
                <w:rFonts w:cs="Times New Roman"/>
                <w:sz w:val="24"/>
                <w:szCs w:val="24"/>
              </w:rPr>
              <w:t>S PRES</w:t>
            </w:r>
          </w:p>
        </w:tc>
        <w:tc>
          <w:tcPr>
            <w:tcW w:w="7548" w:type="dxa"/>
            <w:tcBorders>
              <w:top w:val="nil"/>
              <w:left w:val="nil"/>
              <w:bottom w:val="nil"/>
              <w:right w:val="nil"/>
            </w:tcBorders>
            <w:hideMark/>
          </w:tcPr>
          <w:p w14:paraId="53EE585D" w14:textId="7433C5F8" w:rsidR="00DF49C6" w:rsidRPr="00C13965" w:rsidRDefault="00DF49C6" w:rsidP="00F16D0C">
            <w:pPr>
              <w:jc w:val="both"/>
              <w:rPr>
                <w:rStyle w:val="A9"/>
                <w:rFonts w:cs="Times New Roman"/>
                <w:sz w:val="24"/>
                <w:szCs w:val="24"/>
              </w:rPr>
            </w:pPr>
            <w:r w:rsidRPr="000220AC">
              <w:rPr>
                <w:rStyle w:val="A9"/>
                <w:rFonts w:cs="Times New Roman"/>
                <w:sz w:val="24"/>
                <w:szCs w:val="24"/>
                <w:lang w:eastAsia="en-US"/>
              </w:rPr>
              <w:t>španielske predsedníctvo Rady EÚ</w:t>
            </w:r>
          </w:p>
        </w:tc>
      </w:tr>
      <w:tr w:rsidR="00DF49C6" w:rsidRPr="00C13965" w14:paraId="61607716" w14:textId="77777777" w:rsidTr="00C13A84">
        <w:tc>
          <w:tcPr>
            <w:tcW w:w="2552" w:type="dxa"/>
            <w:tcBorders>
              <w:top w:val="nil"/>
              <w:left w:val="nil"/>
              <w:bottom w:val="nil"/>
              <w:right w:val="nil"/>
            </w:tcBorders>
          </w:tcPr>
          <w:p w14:paraId="1894C1DC" w14:textId="5D67F295"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EÚ</w:t>
            </w:r>
          </w:p>
        </w:tc>
        <w:tc>
          <w:tcPr>
            <w:tcW w:w="7548" w:type="dxa"/>
            <w:tcBorders>
              <w:top w:val="nil"/>
              <w:left w:val="nil"/>
              <w:bottom w:val="nil"/>
              <w:right w:val="nil"/>
            </w:tcBorders>
          </w:tcPr>
          <w:p w14:paraId="1DDDCF25" w14:textId="51DA4322"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Európska únia</w:t>
            </w:r>
          </w:p>
        </w:tc>
      </w:tr>
      <w:tr w:rsidR="00DF49C6" w:rsidRPr="00C13965" w14:paraId="49EAF17A" w14:textId="77777777" w:rsidTr="00C13A84">
        <w:tc>
          <w:tcPr>
            <w:tcW w:w="2552" w:type="dxa"/>
            <w:tcBorders>
              <w:top w:val="nil"/>
              <w:left w:val="nil"/>
              <w:bottom w:val="nil"/>
              <w:right w:val="nil"/>
            </w:tcBorders>
            <w:hideMark/>
          </w:tcPr>
          <w:p w14:paraId="747775C8" w14:textId="02688B4D" w:rsidR="00DF49C6" w:rsidRPr="00C13965" w:rsidRDefault="00DF49C6" w:rsidP="00F16D0C">
            <w:pPr>
              <w:jc w:val="both"/>
              <w:rPr>
                <w:rStyle w:val="A9"/>
                <w:rFonts w:cs="Times New Roman"/>
                <w:sz w:val="24"/>
                <w:szCs w:val="24"/>
              </w:rPr>
            </w:pPr>
            <w:proofErr w:type="spellStart"/>
            <w:r w:rsidRPr="00C13965">
              <w:rPr>
                <w:rStyle w:val="A9"/>
                <w:rFonts w:cs="Times New Roman"/>
                <w:sz w:val="24"/>
                <w:szCs w:val="24"/>
                <w:lang w:eastAsia="en-US"/>
              </w:rPr>
              <w:t>Euratom</w:t>
            </w:r>
            <w:proofErr w:type="spellEnd"/>
          </w:p>
        </w:tc>
        <w:tc>
          <w:tcPr>
            <w:tcW w:w="7548" w:type="dxa"/>
            <w:tcBorders>
              <w:top w:val="nil"/>
              <w:left w:val="nil"/>
              <w:bottom w:val="nil"/>
              <w:right w:val="nil"/>
            </w:tcBorders>
            <w:hideMark/>
          </w:tcPr>
          <w:p w14:paraId="25EE8181" w14:textId="525B28B6"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Európske spoločenstvo pre atómovú energiu</w:t>
            </w:r>
          </w:p>
        </w:tc>
      </w:tr>
      <w:tr w:rsidR="00DF49C6" w:rsidRPr="00C13965" w14:paraId="7BEF6F25" w14:textId="77777777" w:rsidTr="00C13A84">
        <w:tc>
          <w:tcPr>
            <w:tcW w:w="2552" w:type="dxa"/>
            <w:tcBorders>
              <w:top w:val="nil"/>
              <w:left w:val="nil"/>
              <w:bottom w:val="nil"/>
              <w:right w:val="nil"/>
            </w:tcBorders>
            <w:hideMark/>
          </w:tcPr>
          <w:p w14:paraId="553EB753" w14:textId="3D002217" w:rsidR="00DF49C6" w:rsidRPr="00C13965" w:rsidRDefault="00DF49C6" w:rsidP="00F16D0C">
            <w:pPr>
              <w:jc w:val="both"/>
              <w:rPr>
                <w:rStyle w:val="A9"/>
                <w:rFonts w:cs="Times New Roman"/>
                <w:sz w:val="24"/>
                <w:szCs w:val="24"/>
              </w:rPr>
            </w:pPr>
            <w:r w:rsidRPr="00C13965">
              <w:rPr>
                <w:rStyle w:val="A9"/>
                <w:rFonts w:cs="Times New Roman"/>
                <w:sz w:val="24"/>
                <w:szCs w:val="24"/>
                <w:lang w:eastAsia="en-US"/>
              </w:rPr>
              <w:t>FS KRAO</w:t>
            </w:r>
          </w:p>
        </w:tc>
        <w:tc>
          <w:tcPr>
            <w:tcW w:w="7548" w:type="dxa"/>
            <w:tcBorders>
              <w:top w:val="nil"/>
              <w:left w:val="nil"/>
              <w:bottom w:val="nil"/>
              <w:right w:val="nil"/>
            </w:tcBorders>
            <w:hideMark/>
          </w:tcPr>
          <w:p w14:paraId="620BDB78" w14:textId="33EA86F6" w:rsidR="00DF49C6" w:rsidRPr="00C13965" w:rsidRDefault="00DF49C6" w:rsidP="00F16D0C">
            <w:pPr>
              <w:jc w:val="both"/>
              <w:rPr>
                <w:rStyle w:val="A9"/>
                <w:rFonts w:cs="Times New Roman"/>
                <w:sz w:val="24"/>
                <w:szCs w:val="24"/>
              </w:rPr>
            </w:pPr>
            <w:r>
              <w:rPr>
                <w:rStyle w:val="A9"/>
                <w:rFonts w:cs="Times New Roman"/>
                <w:sz w:val="24"/>
                <w:szCs w:val="24"/>
                <w:lang w:eastAsia="en-US"/>
              </w:rPr>
              <w:t>f</w:t>
            </w:r>
            <w:r w:rsidRPr="00C13965">
              <w:rPr>
                <w:rStyle w:val="A9"/>
                <w:rFonts w:cs="Times New Roman"/>
                <w:sz w:val="24"/>
                <w:szCs w:val="24"/>
                <w:lang w:eastAsia="en-US"/>
              </w:rPr>
              <w:t>inálne spracovanie kvapalných rádioaktívnych odpadov</w:t>
            </w:r>
          </w:p>
        </w:tc>
      </w:tr>
      <w:tr w:rsidR="00DF49C6" w:rsidRPr="00C13965" w14:paraId="0A18CC31" w14:textId="77777777" w:rsidTr="00C13A84">
        <w:tc>
          <w:tcPr>
            <w:tcW w:w="2552" w:type="dxa"/>
            <w:tcBorders>
              <w:top w:val="nil"/>
              <w:left w:val="nil"/>
              <w:bottom w:val="nil"/>
              <w:right w:val="nil"/>
            </w:tcBorders>
            <w:hideMark/>
          </w:tcPr>
          <w:p w14:paraId="193F462A" w14:textId="4039EA19" w:rsidR="00DF49C6" w:rsidRPr="00C13965" w:rsidRDefault="00DF49C6" w:rsidP="00F16D0C">
            <w:pPr>
              <w:jc w:val="both"/>
              <w:rPr>
                <w:rStyle w:val="A9"/>
                <w:rFonts w:cs="Times New Roman"/>
                <w:sz w:val="24"/>
                <w:szCs w:val="24"/>
              </w:rPr>
            </w:pPr>
            <w:r>
              <w:rPr>
                <w:rStyle w:val="A9"/>
                <w:rFonts w:cs="Times New Roman"/>
                <w:sz w:val="24"/>
                <w:szCs w:val="24"/>
                <w:lang w:eastAsia="en-US"/>
              </w:rPr>
              <w:t>G</w:t>
            </w:r>
            <w:r>
              <w:rPr>
                <w:rStyle w:val="A9"/>
                <w:rFonts w:cs="Times New Roman"/>
                <w:sz w:val="24"/>
              </w:rPr>
              <w:t>K MAAE</w:t>
            </w:r>
          </w:p>
        </w:tc>
        <w:tc>
          <w:tcPr>
            <w:tcW w:w="7548" w:type="dxa"/>
            <w:tcBorders>
              <w:top w:val="nil"/>
              <w:left w:val="nil"/>
              <w:bottom w:val="nil"/>
              <w:right w:val="nil"/>
            </w:tcBorders>
            <w:hideMark/>
          </w:tcPr>
          <w:p w14:paraId="2B738742" w14:textId="2AFF6D0C" w:rsidR="00DF49C6" w:rsidRPr="00C13965" w:rsidRDefault="00DF49C6" w:rsidP="00F16D0C">
            <w:pPr>
              <w:jc w:val="both"/>
              <w:rPr>
                <w:rStyle w:val="A9"/>
                <w:rFonts w:cs="Times New Roman"/>
                <w:sz w:val="24"/>
                <w:szCs w:val="24"/>
                <w:lang w:eastAsia="en-US"/>
              </w:rPr>
            </w:pPr>
            <w:r>
              <w:rPr>
                <w:rStyle w:val="A9"/>
                <w:rFonts w:cs="Times New Roman"/>
                <w:sz w:val="24"/>
                <w:szCs w:val="24"/>
                <w:lang w:eastAsia="en-US"/>
              </w:rPr>
              <w:t>G</w:t>
            </w:r>
            <w:r>
              <w:rPr>
                <w:rStyle w:val="A9"/>
                <w:rFonts w:cs="Times New Roman"/>
                <w:sz w:val="24"/>
              </w:rPr>
              <w:t>enerálna konferencia Medzinárodnej agentúry pre atómovú energiu</w:t>
            </w:r>
          </w:p>
        </w:tc>
      </w:tr>
      <w:tr w:rsidR="00DF49C6" w:rsidRPr="00C13965" w14:paraId="711C161A" w14:textId="77777777" w:rsidTr="00C13A84">
        <w:tc>
          <w:tcPr>
            <w:tcW w:w="2552" w:type="dxa"/>
            <w:tcBorders>
              <w:top w:val="nil"/>
              <w:left w:val="nil"/>
              <w:bottom w:val="nil"/>
              <w:right w:val="nil"/>
            </w:tcBorders>
          </w:tcPr>
          <w:p w14:paraId="0A6D4323" w14:textId="43166FF6" w:rsidR="00DF49C6" w:rsidRDefault="00DF49C6" w:rsidP="00F16D0C">
            <w:pPr>
              <w:jc w:val="both"/>
              <w:rPr>
                <w:rStyle w:val="A9"/>
                <w:rFonts w:cs="Times New Roman"/>
                <w:sz w:val="24"/>
                <w:szCs w:val="24"/>
                <w:lang w:eastAsia="en-US"/>
              </w:rPr>
            </w:pPr>
            <w:r>
              <w:rPr>
                <w:rStyle w:val="A9"/>
                <w:rFonts w:cs="Times New Roman"/>
                <w:sz w:val="24"/>
                <w:szCs w:val="24"/>
                <w:lang w:eastAsia="en-US"/>
              </w:rPr>
              <w:t>GO</w:t>
            </w:r>
          </w:p>
        </w:tc>
        <w:tc>
          <w:tcPr>
            <w:tcW w:w="7548" w:type="dxa"/>
            <w:tcBorders>
              <w:top w:val="nil"/>
              <w:left w:val="nil"/>
              <w:bottom w:val="nil"/>
              <w:right w:val="nil"/>
            </w:tcBorders>
          </w:tcPr>
          <w:p w14:paraId="1CB544C6" w14:textId="6A432BE8" w:rsidR="00DF49C6" w:rsidRPr="00C13965" w:rsidRDefault="00DF49C6" w:rsidP="00F16D0C">
            <w:pPr>
              <w:jc w:val="both"/>
              <w:rPr>
                <w:rStyle w:val="A9"/>
                <w:rFonts w:cs="Times New Roman"/>
                <w:sz w:val="24"/>
                <w:szCs w:val="24"/>
                <w:lang w:eastAsia="en-US"/>
              </w:rPr>
            </w:pPr>
            <w:r w:rsidRPr="00C13965">
              <w:rPr>
                <w:rStyle w:val="A9"/>
                <w:rFonts w:cs="Times New Roman"/>
                <w:sz w:val="24"/>
                <w:szCs w:val="24"/>
                <w:lang w:eastAsia="en-US"/>
              </w:rPr>
              <w:t>generálna oprava</w:t>
            </w:r>
          </w:p>
        </w:tc>
      </w:tr>
      <w:tr w:rsidR="00DF49C6" w:rsidRPr="00C13965" w14:paraId="4A3988F5" w14:textId="77777777" w:rsidTr="00C13A84">
        <w:tc>
          <w:tcPr>
            <w:tcW w:w="2552" w:type="dxa"/>
            <w:tcBorders>
              <w:top w:val="nil"/>
              <w:left w:val="nil"/>
              <w:bottom w:val="nil"/>
              <w:right w:val="nil"/>
            </w:tcBorders>
            <w:hideMark/>
          </w:tcPr>
          <w:p w14:paraId="745E25C6" w14:textId="2BD6EBB0" w:rsidR="00DF49C6" w:rsidRPr="007C4219" w:rsidRDefault="00DF49C6" w:rsidP="00F16D0C">
            <w:pPr>
              <w:jc w:val="both"/>
              <w:rPr>
                <w:rStyle w:val="A9"/>
                <w:rFonts w:cs="Times New Roman"/>
                <w:sz w:val="24"/>
              </w:rPr>
            </w:pPr>
            <w:r>
              <w:rPr>
                <w:szCs w:val="24"/>
                <w:lang w:eastAsia="en-US"/>
              </w:rPr>
              <w:t>HCČ</w:t>
            </w:r>
          </w:p>
        </w:tc>
        <w:tc>
          <w:tcPr>
            <w:tcW w:w="7548" w:type="dxa"/>
            <w:tcBorders>
              <w:top w:val="nil"/>
              <w:left w:val="nil"/>
              <w:bottom w:val="nil"/>
              <w:right w:val="nil"/>
            </w:tcBorders>
            <w:hideMark/>
          </w:tcPr>
          <w:p w14:paraId="5ADC230D" w14:textId="34C23720" w:rsidR="00DF49C6" w:rsidRPr="00C13965" w:rsidRDefault="00DF49C6" w:rsidP="00F16D0C">
            <w:pPr>
              <w:jc w:val="both"/>
              <w:rPr>
                <w:rStyle w:val="A9"/>
                <w:rFonts w:cs="Times New Roman"/>
                <w:sz w:val="24"/>
                <w:szCs w:val="24"/>
              </w:rPr>
            </w:pPr>
            <w:r>
              <w:rPr>
                <w:szCs w:val="24"/>
                <w:lang w:eastAsia="en-US"/>
              </w:rPr>
              <w:t>hlavné cirkulačné čerpadlá</w:t>
            </w:r>
          </w:p>
        </w:tc>
      </w:tr>
      <w:tr w:rsidR="00DF49C6" w:rsidRPr="00C13965" w14:paraId="155A5AC8" w14:textId="77777777" w:rsidTr="00C13A84">
        <w:tc>
          <w:tcPr>
            <w:tcW w:w="2552" w:type="dxa"/>
            <w:tcBorders>
              <w:top w:val="nil"/>
              <w:left w:val="nil"/>
              <w:bottom w:val="nil"/>
              <w:right w:val="nil"/>
            </w:tcBorders>
          </w:tcPr>
          <w:p w14:paraId="2DE746BD" w14:textId="6482E4E7" w:rsidR="00DF49C6" w:rsidRPr="00C13965" w:rsidRDefault="00DF49C6" w:rsidP="003151A9">
            <w:pPr>
              <w:jc w:val="both"/>
              <w:rPr>
                <w:szCs w:val="24"/>
                <w:lang w:eastAsia="en-US"/>
              </w:rPr>
            </w:pPr>
            <w:r>
              <w:rPr>
                <w:szCs w:val="24"/>
                <w:lang w:eastAsia="en-US"/>
              </w:rPr>
              <w:t>HK NPT</w:t>
            </w:r>
          </w:p>
        </w:tc>
        <w:tc>
          <w:tcPr>
            <w:tcW w:w="7548" w:type="dxa"/>
            <w:tcBorders>
              <w:top w:val="nil"/>
              <w:left w:val="nil"/>
              <w:bottom w:val="nil"/>
              <w:right w:val="nil"/>
            </w:tcBorders>
          </w:tcPr>
          <w:p w14:paraId="1C9182F9" w14:textId="3566A6E2" w:rsidR="00DF49C6" w:rsidRPr="00C13965" w:rsidRDefault="00DF49C6" w:rsidP="007775A4">
            <w:pPr>
              <w:jc w:val="both"/>
              <w:rPr>
                <w:szCs w:val="24"/>
                <w:lang w:eastAsia="en-US"/>
              </w:rPr>
            </w:pPr>
            <w:r>
              <w:rPr>
                <w:szCs w:val="24"/>
                <w:lang w:eastAsia="en-US"/>
              </w:rPr>
              <w:t>Zmluva o nešírení jadrových zbraní</w:t>
            </w:r>
          </w:p>
        </w:tc>
      </w:tr>
      <w:tr w:rsidR="00DF49C6" w:rsidRPr="00C13965" w14:paraId="361045CE" w14:textId="77777777" w:rsidTr="00C13A84">
        <w:tc>
          <w:tcPr>
            <w:tcW w:w="2552" w:type="dxa"/>
            <w:tcBorders>
              <w:top w:val="nil"/>
              <w:left w:val="nil"/>
              <w:bottom w:val="nil"/>
              <w:right w:val="nil"/>
            </w:tcBorders>
          </w:tcPr>
          <w:p w14:paraId="2AA8C25B" w14:textId="7A1244E0" w:rsidR="00DF49C6" w:rsidRPr="00C13965" w:rsidRDefault="00DF49C6" w:rsidP="003151A9">
            <w:pPr>
              <w:jc w:val="both"/>
              <w:rPr>
                <w:szCs w:val="24"/>
                <w:lang w:eastAsia="en-US"/>
              </w:rPr>
            </w:pPr>
            <w:r w:rsidRPr="00C13965">
              <w:rPr>
                <w:szCs w:val="24"/>
                <w:lang w:eastAsia="en-US"/>
              </w:rPr>
              <w:t>HNČ</w:t>
            </w:r>
          </w:p>
        </w:tc>
        <w:tc>
          <w:tcPr>
            <w:tcW w:w="7548" w:type="dxa"/>
            <w:tcBorders>
              <w:top w:val="nil"/>
              <w:left w:val="nil"/>
              <w:bottom w:val="nil"/>
              <w:right w:val="nil"/>
            </w:tcBorders>
          </w:tcPr>
          <w:p w14:paraId="2734F7B9" w14:textId="744A5A14" w:rsidR="00DF49C6" w:rsidRPr="00C13965" w:rsidRDefault="00DF49C6" w:rsidP="003151A9">
            <w:pPr>
              <w:jc w:val="both"/>
              <w:rPr>
                <w:szCs w:val="24"/>
                <w:lang w:eastAsia="en-US"/>
              </w:rPr>
            </w:pPr>
            <w:r w:rsidRPr="00C13965">
              <w:rPr>
                <w:szCs w:val="24"/>
                <w:lang w:eastAsia="en-US"/>
              </w:rPr>
              <w:t>čerpadlá havarijného systému napájania parogenerátorov</w:t>
            </w:r>
          </w:p>
        </w:tc>
      </w:tr>
      <w:tr w:rsidR="00DF49C6" w:rsidRPr="00C13965" w14:paraId="199E5AD3" w14:textId="77777777" w:rsidTr="00C13A84">
        <w:tc>
          <w:tcPr>
            <w:tcW w:w="2552" w:type="dxa"/>
            <w:tcBorders>
              <w:top w:val="nil"/>
              <w:left w:val="nil"/>
              <w:bottom w:val="nil"/>
              <w:right w:val="nil"/>
            </w:tcBorders>
          </w:tcPr>
          <w:p w14:paraId="6F5E6A70" w14:textId="294A7261" w:rsidR="00DF49C6" w:rsidRPr="00C13965" w:rsidRDefault="00DF49C6" w:rsidP="003151A9">
            <w:pPr>
              <w:jc w:val="both"/>
              <w:rPr>
                <w:szCs w:val="24"/>
                <w:lang w:eastAsia="en-US"/>
              </w:rPr>
            </w:pPr>
            <w:r>
              <w:rPr>
                <w:szCs w:val="24"/>
                <w:lang w:eastAsia="en-US"/>
              </w:rPr>
              <w:t>HŠ</w:t>
            </w:r>
          </w:p>
        </w:tc>
        <w:tc>
          <w:tcPr>
            <w:tcW w:w="7548" w:type="dxa"/>
            <w:tcBorders>
              <w:top w:val="nil"/>
              <w:left w:val="nil"/>
              <w:bottom w:val="nil"/>
              <w:right w:val="nil"/>
            </w:tcBorders>
          </w:tcPr>
          <w:p w14:paraId="14263A7C" w14:textId="71138F4F" w:rsidR="00DF49C6" w:rsidRPr="00C13965" w:rsidRDefault="00DF49C6" w:rsidP="003151A9">
            <w:pPr>
              <w:jc w:val="both"/>
              <w:rPr>
                <w:szCs w:val="24"/>
                <w:lang w:eastAsia="en-US"/>
              </w:rPr>
            </w:pPr>
            <w:r>
              <w:rPr>
                <w:szCs w:val="24"/>
                <w:lang w:eastAsia="en-US"/>
              </w:rPr>
              <w:t>Havarijný štáb</w:t>
            </w:r>
          </w:p>
        </w:tc>
      </w:tr>
      <w:tr w:rsidR="00DF49C6" w:rsidRPr="00C13965" w14:paraId="448A7BD5" w14:textId="77777777" w:rsidTr="00C13A84">
        <w:tc>
          <w:tcPr>
            <w:tcW w:w="2552" w:type="dxa"/>
            <w:tcBorders>
              <w:top w:val="nil"/>
              <w:left w:val="nil"/>
              <w:bottom w:val="nil"/>
              <w:right w:val="nil"/>
            </w:tcBorders>
          </w:tcPr>
          <w:p w14:paraId="57542411" w14:textId="0D185265" w:rsidR="00DF49C6" w:rsidRPr="00C13965" w:rsidRDefault="00DF49C6" w:rsidP="003151A9">
            <w:pPr>
              <w:jc w:val="both"/>
              <w:rPr>
                <w:szCs w:val="24"/>
                <w:lang w:eastAsia="en-US"/>
              </w:rPr>
            </w:pPr>
            <w:r>
              <w:rPr>
                <w:szCs w:val="24"/>
                <w:lang w:eastAsia="en-US"/>
              </w:rPr>
              <w:t>I</w:t>
            </w:r>
            <w:r>
              <w:t>EA</w:t>
            </w:r>
          </w:p>
        </w:tc>
        <w:tc>
          <w:tcPr>
            <w:tcW w:w="7548" w:type="dxa"/>
            <w:tcBorders>
              <w:top w:val="nil"/>
              <w:left w:val="nil"/>
              <w:bottom w:val="nil"/>
              <w:right w:val="nil"/>
            </w:tcBorders>
          </w:tcPr>
          <w:p w14:paraId="51F87AC3" w14:textId="0184F890" w:rsidR="00DF49C6" w:rsidRPr="00C13965" w:rsidRDefault="00DF49C6" w:rsidP="003151A9">
            <w:pPr>
              <w:jc w:val="both"/>
              <w:rPr>
                <w:szCs w:val="24"/>
                <w:lang w:eastAsia="en-US"/>
              </w:rPr>
            </w:pPr>
            <w:r>
              <w:rPr>
                <w:szCs w:val="24"/>
                <w:lang w:eastAsia="en-US"/>
              </w:rPr>
              <w:t>M</w:t>
            </w:r>
            <w:r>
              <w:t>edzinárodná energetická agentúra</w:t>
            </w:r>
          </w:p>
        </w:tc>
      </w:tr>
      <w:tr w:rsidR="00DF49C6" w:rsidRPr="00C13965" w14:paraId="650C8ABC" w14:textId="77777777" w:rsidTr="00C13A84">
        <w:tc>
          <w:tcPr>
            <w:tcW w:w="2552" w:type="dxa"/>
            <w:tcBorders>
              <w:top w:val="nil"/>
              <w:left w:val="nil"/>
              <w:bottom w:val="nil"/>
              <w:right w:val="nil"/>
            </w:tcBorders>
          </w:tcPr>
          <w:p w14:paraId="78476B71" w14:textId="7214D524" w:rsidR="00DF49C6" w:rsidRPr="00C13965" w:rsidRDefault="00DF49C6" w:rsidP="003151A9">
            <w:pPr>
              <w:jc w:val="both"/>
              <w:rPr>
                <w:szCs w:val="24"/>
                <w:lang w:eastAsia="en-US"/>
              </w:rPr>
            </w:pPr>
            <w:r w:rsidRPr="00C13965">
              <w:rPr>
                <w:szCs w:val="24"/>
                <w:lang w:eastAsia="en-US"/>
              </w:rPr>
              <w:t>INES</w:t>
            </w:r>
          </w:p>
        </w:tc>
        <w:tc>
          <w:tcPr>
            <w:tcW w:w="7548" w:type="dxa"/>
            <w:tcBorders>
              <w:top w:val="nil"/>
              <w:left w:val="nil"/>
              <w:bottom w:val="nil"/>
              <w:right w:val="nil"/>
            </w:tcBorders>
          </w:tcPr>
          <w:p w14:paraId="66F1CB2E" w14:textId="05CE9E78" w:rsidR="00DF49C6" w:rsidRPr="00C13965" w:rsidRDefault="00DF49C6" w:rsidP="00C23C41">
            <w:pPr>
              <w:jc w:val="both"/>
              <w:rPr>
                <w:szCs w:val="24"/>
                <w:lang w:eastAsia="en-US"/>
              </w:rPr>
            </w:pPr>
            <w:r w:rsidRPr="00C13965">
              <w:rPr>
                <w:szCs w:val="24"/>
                <w:lang w:eastAsia="en-US"/>
              </w:rPr>
              <w:t>Medzinárodná stupnica jadrových a radiačných udalostí</w:t>
            </w:r>
          </w:p>
        </w:tc>
      </w:tr>
      <w:tr w:rsidR="00DF49C6" w:rsidRPr="00C13965" w14:paraId="11EB34A0" w14:textId="77777777" w:rsidTr="00C13A84">
        <w:tc>
          <w:tcPr>
            <w:tcW w:w="2552" w:type="dxa"/>
            <w:tcBorders>
              <w:top w:val="nil"/>
              <w:left w:val="nil"/>
              <w:bottom w:val="nil"/>
              <w:right w:val="nil"/>
            </w:tcBorders>
            <w:hideMark/>
          </w:tcPr>
          <w:p w14:paraId="24AFCA6D" w14:textId="7D62D87A" w:rsidR="00DF49C6" w:rsidRPr="00C13965" w:rsidRDefault="00DF49C6" w:rsidP="003151A9">
            <w:pPr>
              <w:jc w:val="both"/>
              <w:rPr>
                <w:szCs w:val="24"/>
                <w:lang w:eastAsia="en-US"/>
              </w:rPr>
            </w:pPr>
            <w:r w:rsidRPr="00C13965">
              <w:rPr>
                <w:szCs w:val="24"/>
                <w:lang w:eastAsia="en-US"/>
              </w:rPr>
              <w:t>INRA</w:t>
            </w:r>
          </w:p>
        </w:tc>
        <w:tc>
          <w:tcPr>
            <w:tcW w:w="7548" w:type="dxa"/>
            <w:tcBorders>
              <w:top w:val="nil"/>
              <w:left w:val="nil"/>
              <w:bottom w:val="nil"/>
              <w:right w:val="nil"/>
            </w:tcBorders>
            <w:hideMark/>
          </w:tcPr>
          <w:p w14:paraId="06F57737" w14:textId="2E3906BE" w:rsidR="00DF49C6" w:rsidRPr="00C13965" w:rsidRDefault="00DF49C6" w:rsidP="00C23C41">
            <w:pPr>
              <w:jc w:val="both"/>
              <w:rPr>
                <w:szCs w:val="24"/>
                <w:lang w:eastAsia="en-US"/>
              </w:rPr>
            </w:pPr>
            <w:r w:rsidRPr="00C13965">
              <w:rPr>
                <w:szCs w:val="24"/>
                <w:lang w:eastAsia="en-US"/>
              </w:rPr>
              <w:t>Úrad jadrového dozoru Iránu</w:t>
            </w:r>
          </w:p>
        </w:tc>
      </w:tr>
      <w:tr w:rsidR="00DF49C6" w:rsidRPr="00C13965" w14:paraId="0BA759E4" w14:textId="77777777" w:rsidTr="00C13A84">
        <w:tc>
          <w:tcPr>
            <w:tcW w:w="2552" w:type="dxa"/>
            <w:tcBorders>
              <w:top w:val="nil"/>
              <w:left w:val="nil"/>
              <w:bottom w:val="nil"/>
              <w:right w:val="nil"/>
            </w:tcBorders>
          </w:tcPr>
          <w:p w14:paraId="507D20A7" w14:textId="7599BD9B"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IRRS</w:t>
            </w:r>
          </w:p>
        </w:tc>
        <w:tc>
          <w:tcPr>
            <w:tcW w:w="7548" w:type="dxa"/>
            <w:tcBorders>
              <w:top w:val="nil"/>
              <w:left w:val="nil"/>
              <w:bottom w:val="nil"/>
              <w:right w:val="nil"/>
            </w:tcBorders>
          </w:tcPr>
          <w:p w14:paraId="6B5A8B85" w14:textId="309CD057" w:rsidR="00DF49C6" w:rsidRPr="00C13965" w:rsidRDefault="00DF49C6" w:rsidP="003151A9">
            <w:pPr>
              <w:jc w:val="both"/>
              <w:rPr>
                <w:rStyle w:val="A9"/>
                <w:rFonts w:cs="Times New Roman"/>
                <w:sz w:val="24"/>
                <w:szCs w:val="24"/>
                <w:lang w:eastAsia="en-US"/>
              </w:rPr>
            </w:pPr>
            <w:r>
              <w:rPr>
                <w:rStyle w:val="A9"/>
                <w:rFonts w:cs="Times New Roman"/>
                <w:sz w:val="24"/>
                <w:szCs w:val="24"/>
                <w:lang w:eastAsia="en-US"/>
              </w:rPr>
              <w:t>M</w:t>
            </w:r>
            <w:r>
              <w:rPr>
                <w:rStyle w:val="A9"/>
                <w:rFonts w:cs="Times New Roman"/>
                <w:sz w:val="24"/>
              </w:rPr>
              <w:t>isia medzinárodného posúdenia dozornej činnosti</w:t>
            </w:r>
          </w:p>
        </w:tc>
      </w:tr>
      <w:tr w:rsidR="00DF49C6" w:rsidRPr="00C13965" w14:paraId="726DA7FC" w14:textId="77777777" w:rsidTr="00C13A84">
        <w:tc>
          <w:tcPr>
            <w:tcW w:w="2552" w:type="dxa"/>
            <w:tcBorders>
              <w:top w:val="nil"/>
              <w:left w:val="nil"/>
              <w:bottom w:val="nil"/>
              <w:right w:val="nil"/>
            </w:tcBorders>
            <w:hideMark/>
          </w:tcPr>
          <w:p w14:paraId="074EA815" w14:textId="6C1D4BA0" w:rsidR="00DF49C6" w:rsidRPr="00C13965" w:rsidRDefault="00DF49C6" w:rsidP="003151A9">
            <w:pPr>
              <w:jc w:val="both"/>
              <w:rPr>
                <w:szCs w:val="24"/>
                <w:lang w:eastAsia="en-US"/>
              </w:rPr>
            </w:pPr>
            <w:r w:rsidRPr="00C13965">
              <w:rPr>
                <w:rStyle w:val="A9"/>
                <w:rFonts w:cs="Times New Roman"/>
                <w:sz w:val="24"/>
                <w:szCs w:val="24"/>
                <w:lang w:eastAsia="en-US"/>
              </w:rPr>
              <w:t>IS RAO</w:t>
            </w:r>
          </w:p>
        </w:tc>
        <w:tc>
          <w:tcPr>
            <w:tcW w:w="7548" w:type="dxa"/>
            <w:tcBorders>
              <w:top w:val="nil"/>
              <w:left w:val="nil"/>
              <w:bottom w:val="nil"/>
              <w:right w:val="nil"/>
            </w:tcBorders>
            <w:hideMark/>
          </w:tcPr>
          <w:p w14:paraId="6F92EBD1" w14:textId="6CB580AD" w:rsidR="00DF49C6" w:rsidRPr="00C13965" w:rsidRDefault="00DF49C6" w:rsidP="003151A9">
            <w:pPr>
              <w:jc w:val="both"/>
              <w:rPr>
                <w:szCs w:val="24"/>
                <w:lang w:eastAsia="en-US"/>
              </w:rPr>
            </w:pPr>
            <w:r w:rsidRPr="00C13965">
              <w:rPr>
                <w:rStyle w:val="A9"/>
                <w:rFonts w:cs="Times New Roman"/>
                <w:sz w:val="24"/>
                <w:szCs w:val="24"/>
                <w:lang w:eastAsia="en-US"/>
              </w:rPr>
              <w:t>Integrálny sklad RAO</w:t>
            </w:r>
          </w:p>
        </w:tc>
      </w:tr>
      <w:tr w:rsidR="00DF49C6" w:rsidRPr="00C13965" w14:paraId="2AD18A58" w14:textId="77777777" w:rsidTr="00C13A84">
        <w:tc>
          <w:tcPr>
            <w:tcW w:w="2552" w:type="dxa"/>
            <w:tcBorders>
              <w:top w:val="nil"/>
              <w:left w:val="nil"/>
              <w:bottom w:val="nil"/>
              <w:right w:val="nil"/>
            </w:tcBorders>
            <w:hideMark/>
          </w:tcPr>
          <w:p w14:paraId="73D26083" w14:textId="18BE84EB" w:rsidR="00DF49C6" w:rsidRPr="00C13965" w:rsidRDefault="00DF49C6" w:rsidP="003151A9">
            <w:pPr>
              <w:jc w:val="both"/>
              <w:rPr>
                <w:szCs w:val="24"/>
                <w:lang w:eastAsia="en-US"/>
              </w:rPr>
            </w:pPr>
            <w:r w:rsidRPr="00C13965">
              <w:rPr>
                <w:rStyle w:val="A9"/>
                <w:rFonts w:cs="Times New Roman"/>
                <w:sz w:val="24"/>
                <w:szCs w:val="24"/>
                <w:lang w:eastAsia="en-US"/>
              </w:rPr>
              <w:t>JAVYS, a. s.</w:t>
            </w:r>
          </w:p>
        </w:tc>
        <w:tc>
          <w:tcPr>
            <w:tcW w:w="7548" w:type="dxa"/>
            <w:tcBorders>
              <w:top w:val="nil"/>
              <w:left w:val="nil"/>
              <w:bottom w:val="nil"/>
              <w:right w:val="nil"/>
            </w:tcBorders>
            <w:hideMark/>
          </w:tcPr>
          <w:p w14:paraId="68CD6611" w14:textId="2C157D14" w:rsidR="00DF49C6" w:rsidRPr="00C13965" w:rsidRDefault="00DF49C6" w:rsidP="003151A9">
            <w:pPr>
              <w:jc w:val="both"/>
              <w:rPr>
                <w:szCs w:val="24"/>
                <w:lang w:eastAsia="en-US"/>
              </w:rPr>
            </w:pPr>
            <w:r w:rsidRPr="00C13965">
              <w:rPr>
                <w:rStyle w:val="A9"/>
                <w:rFonts w:cs="Times New Roman"/>
                <w:sz w:val="24"/>
                <w:szCs w:val="24"/>
                <w:lang w:eastAsia="en-US"/>
              </w:rPr>
              <w:t>Jadrová a vyraďovacia spoločnosť, a. s.</w:t>
            </w:r>
          </w:p>
        </w:tc>
      </w:tr>
      <w:tr w:rsidR="00DF49C6" w:rsidRPr="00C13965" w14:paraId="7508FC1A" w14:textId="77777777" w:rsidTr="00C13A84">
        <w:tc>
          <w:tcPr>
            <w:tcW w:w="2552" w:type="dxa"/>
            <w:tcBorders>
              <w:top w:val="nil"/>
              <w:left w:val="nil"/>
              <w:bottom w:val="nil"/>
              <w:right w:val="nil"/>
            </w:tcBorders>
            <w:hideMark/>
          </w:tcPr>
          <w:p w14:paraId="43B52896" w14:textId="06873F1D" w:rsidR="00DF49C6" w:rsidRPr="00C13965" w:rsidRDefault="00DF49C6" w:rsidP="003151A9">
            <w:pPr>
              <w:jc w:val="both"/>
              <w:rPr>
                <w:szCs w:val="24"/>
                <w:lang w:eastAsia="en-US"/>
              </w:rPr>
            </w:pPr>
            <w:r w:rsidRPr="00C13965">
              <w:rPr>
                <w:rStyle w:val="A9"/>
                <w:rFonts w:cs="Times New Roman"/>
                <w:sz w:val="24"/>
                <w:szCs w:val="24"/>
                <w:lang w:eastAsia="en-US"/>
              </w:rPr>
              <w:t>JE</w:t>
            </w:r>
          </w:p>
        </w:tc>
        <w:tc>
          <w:tcPr>
            <w:tcW w:w="7548" w:type="dxa"/>
            <w:tcBorders>
              <w:top w:val="nil"/>
              <w:left w:val="nil"/>
              <w:bottom w:val="nil"/>
              <w:right w:val="nil"/>
            </w:tcBorders>
            <w:hideMark/>
          </w:tcPr>
          <w:p w14:paraId="17E2DB6F" w14:textId="749A2229" w:rsidR="00DF49C6" w:rsidRPr="00C13965" w:rsidRDefault="00DF49C6" w:rsidP="003151A9">
            <w:pPr>
              <w:jc w:val="both"/>
              <w:rPr>
                <w:szCs w:val="24"/>
                <w:lang w:eastAsia="en-US"/>
              </w:rPr>
            </w:pPr>
            <w:r w:rsidRPr="00C13965">
              <w:rPr>
                <w:rStyle w:val="A9"/>
                <w:rFonts w:cs="Times New Roman"/>
                <w:sz w:val="24"/>
                <w:szCs w:val="24"/>
                <w:lang w:eastAsia="en-US"/>
              </w:rPr>
              <w:t>jadrová elektráreň</w:t>
            </w:r>
          </w:p>
        </w:tc>
      </w:tr>
      <w:tr w:rsidR="00DF49C6" w:rsidRPr="00C13965" w14:paraId="44C92A9C" w14:textId="77777777" w:rsidTr="00C13A84">
        <w:tc>
          <w:tcPr>
            <w:tcW w:w="2552" w:type="dxa"/>
            <w:tcBorders>
              <w:top w:val="nil"/>
              <w:left w:val="nil"/>
              <w:bottom w:val="nil"/>
              <w:right w:val="nil"/>
            </w:tcBorders>
            <w:hideMark/>
          </w:tcPr>
          <w:p w14:paraId="74BC55EC" w14:textId="7EE99084" w:rsidR="00DF49C6" w:rsidRPr="00C13965" w:rsidRDefault="00DF49C6" w:rsidP="003151A9">
            <w:pPr>
              <w:jc w:val="both"/>
              <w:rPr>
                <w:szCs w:val="24"/>
                <w:lang w:eastAsia="en-US"/>
              </w:rPr>
            </w:pPr>
            <w:r>
              <w:rPr>
                <w:rStyle w:val="A9"/>
                <w:rFonts w:cs="Times New Roman"/>
                <w:sz w:val="24"/>
                <w:szCs w:val="24"/>
                <w:lang w:eastAsia="en-US"/>
              </w:rPr>
              <w:t>JESS, a. s.</w:t>
            </w:r>
          </w:p>
        </w:tc>
        <w:tc>
          <w:tcPr>
            <w:tcW w:w="7548" w:type="dxa"/>
            <w:tcBorders>
              <w:top w:val="nil"/>
              <w:left w:val="nil"/>
              <w:bottom w:val="nil"/>
              <w:right w:val="nil"/>
            </w:tcBorders>
            <w:hideMark/>
          </w:tcPr>
          <w:p w14:paraId="78392EE6" w14:textId="5A1B144E" w:rsidR="00DF49C6" w:rsidRPr="00C13965" w:rsidRDefault="00DF49C6" w:rsidP="003151A9">
            <w:pPr>
              <w:jc w:val="both"/>
              <w:rPr>
                <w:szCs w:val="24"/>
                <w:lang w:eastAsia="en-US"/>
              </w:rPr>
            </w:pPr>
            <w:r>
              <w:rPr>
                <w:rStyle w:val="A9"/>
                <w:rFonts w:cs="Times New Roman"/>
                <w:sz w:val="24"/>
                <w:szCs w:val="24"/>
                <w:lang w:eastAsia="en-US"/>
              </w:rPr>
              <w:t xml:space="preserve">Jadrová energetická spoločnosť Slovenska, a. s. </w:t>
            </w:r>
          </w:p>
        </w:tc>
      </w:tr>
      <w:tr w:rsidR="00DF49C6" w:rsidRPr="00C13965" w14:paraId="391E50A6" w14:textId="77777777" w:rsidTr="00C13A84">
        <w:tc>
          <w:tcPr>
            <w:tcW w:w="2552" w:type="dxa"/>
            <w:tcBorders>
              <w:top w:val="nil"/>
              <w:left w:val="nil"/>
              <w:bottom w:val="nil"/>
              <w:right w:val="nil"/>
            </w:tcBorders>
          </w:tcPr>
          <w:p w14:paraId="34E5A3FE" w14:textId="44885797"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JM</w:t>
            </w:r>
          </w:p>
        </w:tc>
        <w:tc>
          <w:tcPr>
            <w:tcW w:w="7548" w:type="dxa"/>
            <w:tcBorders>
              <w:top w:val="nil"/>
              <w:left w:val="nil"/>
              <w:bottom w:val="nil"/>
              <w:right w:val="nil"/>
            </w:tcBorders>
          </w:tcPr>
          <w:p w14:paraId="68D11BA4" w14:textId="1DDDE34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jadrové materiály</w:t>
            </w:r>
          </w:p>
        </w:tc>
      </w:tr>
      <w:tr w:rsidR="00DF49C6" w:rsidRPr="00C13965" w14:paraId="0C81F1C4" w14:textId="77777777" w:rsidTr="00C13A84">
        <w:tc>
          <w:tcPr>
            <w:tcW w:w="2552" w:type="dxa"/>
            <w:tcBorders>
              <w:top w:val="nil"/>
              <w:left w:val="nil"/>
              <w:bottom w:val="nil"/>
              <w:right w:val="nil"/>
            </w:tcBorders>
            <w:hideMark/>
          </w:tcPr>
          <w:p w14:paraId="747482A7" w14:textId="086FB415" w:rsidR="00DF49C6" w:rsidRPr="00C13965" w:rsidRDefault="00DF49C6" w:rsidP="003151A9">
            <w:pPr>
              <w:jc w:val="both"/>
              <w:rPr>
                <w:szCs w:val="24"/>
                <w:lang w:eastAsia="en-US"/>
              </w:rPr>
            </w:pPr>
            <w:r w:rsidRPr="00C13965">
              <w:rPr>
                <w:rStyle w:val="A9"/>
                <w:rFonts w:cs="Times New Roman"/>
                <w:sz w:val="24"/>
                <w:szCs w:val="24"/>
                <w:lang w:eastAsia="en-US"/>
              </w:rPr>
              <w:t>JZ</w:t>
            </w:r>
          </w:p>
        </w:tc>
        <w:tc>
          <w:tcPr>
            <w:tcW w:w="7548" w:type="dxa"/>
            <w:tcBorders>
              <w:top w:val="nil"/>
              <w:left w:val="nil"/>
              <w:bottom w:val="nil"/>
              <w:right w:val="nil"/>
            </w:tcBorders>
            <w:hideMark/>
          </w:tcPr>
          <w:p w14:paraId="34C534A8" w14:textId="2BFA797E" w:rsidR="00DF49C6" w:rsidRPr="00C13965" w:rsidRDefault="00DF49C6" w:rsidP="003151A9">
            <w:pPr>
              <w:jc w:val="both"/>
              <w:rPr>
                <w:szCs w:val="24"/>
                <w:lang w:eastAsia="en-US"/>
              </w:rPr>
            </w:pPr>
            <w:r w:rsidRPr="00C13965">
              <w:rPr>
                <w:rStyle w:val="A9"/>
                <w:rFonts w:cs="Times New Roman"/>
                <w:sz w:val="24"/>
                <w:szCs w:val="24"/>
                <w:lang w:eastAsia="en-US"/>
              </w:rPr>
              <w:t>jadrové zariadenie</w:t>
            </w:r>
          </w:p>
        </w:tc>
      </w:tr>
      <w:tr w:rsidR="00DF49C6" w:rsidRPr="00C13965" w14:paraId="4D6EDCAF" w14:textId="77777777" w:rsidTr="00C13A84">
        <w:tc>
          <w:tcPr>
            <w:tcW w:w="2552" w:type="dxa"/>
            <w:tcBorders>
              <w:top w:val="nil"/>
              <w:left w:val="nil"/>
              <w:bottom w:val="nil"/>
              <w:right w:val="nil"/>
            </w:tcBorders>
            <w:hideMark/>
          </w:tcPr>
          <w:p w14:paraId="7024B2C8" w14:textId="64267752" w:rsidR="00DF49C6" w:rsidRPr="00C13965" w:rsidRDefault="00DF49C6" w:rsidP="003151A9">
            <w:pPr>
              <w:jc w:val="both"/>
              <w:rPr>
                <w:szCs w:val="24"/>
                <w:lang w:eastAsia="en-US"/>
              </w:rPr>
            </w:pPr>
            <w:proofErr w:type="spellStart"/>
            <w:r w:rsidRPr="00C13965">
              <w:rPr>
                <w:rStyle w:val="A9"/>
                <w:rFonts w:cs="Times New Roman"/>
                <w:sz w:val="24"/>
                <w:szCs w:val="24"/>
                <w:lang w:eastAsia="en-US"/>
              </w:rPr>
              <w:t>LaP</w:t>
            </w:r>
            <w:proofErr w:type="spellEnd"/>
          </w:p>
        </w:tc>
        <w:tc>
          <w:tcPr>
            <w:tcW w:w="7548" w:type="dxa"/>
            <w:tcBorders>
              <w:top w:val="nil"/>
              <w:left w:val="nil"/>
              <w:bottom w:val="nil"/>
              <w:right w:val="nil"/>
            </w:tcBorders>
            <w:hideMark/>
          </w:tcPr>
          <w:p w14:paraId="4AEBA6E8" w14:textId="0041EFC2" w:rsidR="00DF49C6" w:rsidRPr="00C13965" w:rsidRDefault="00DF49C6" w:rsidP="003151A9">
            <w:pPr>
              <w:jc w:val="both"/>
              <w:rPr>
                <w:szCs w:val="24"/>
                <w:lang w:eastAsia="en-US"/>
              </w:rPr>
            </w:pPr>
            <w:r w:rsidRPr="00C13965">
              <w:rPr>
                <w:rStyle w:val="A9"/>
                <w:rFonts w:cs="Times New Roman"/>
                <w:sz w:val="24"/>
                <w:szCs w:val="24"/>
                <w:lang w:eastAsia="en-US"/>
              </w:rPr>
              <w:t>limity a</w:t>
            </w:r>
            <w:r>
              <w:rPr>
                <w:rStyle w:val="A9"/>
                <w:rFonts w:cs="Times New Roman"/>
                <w:sz w:val="24"/>
                <w:szCs w:val="24"/>
                <w:lang w:eastAsia="en-US"/>
              </w:rPr>
              <w:t> </w:t>
            </w:r>
            <w:r w:rsidRPr="00C13965">
              <w:rPr>
                <w:rStyle w:val="A9"/>
                <w:rFonts w:cs="Times New Roman"/>
                <w:sz w:val="24"/>
                <w:szCs w:val="24"/>
                <w:lang w:eastAsia="en-US"/>
              </w:rPr>
              <w:t>podmienky</w:t>
            </w:r>
          </w:p>
        </w:tc>
      </w:tr>
      <w:tr w:rsidR="00DF49C6" w:rsidRPr="00C13965" w14:paraId="6BF4866F" w14:textId="77777777" w:rsidTr="00C13A84">
        <w:tc>
          <w:tcPr>
            <w:tcW w:w="2552" w:type="dxa"/>
            <w:tcBorders>
              <w:top w:val="nil"/>
              <w:left w:val="nil"/>
              <w:bottom w:val="nil"/>
              <w:right w:val="nil"/>
            </w:tcBorders>
            <w:hideMark/>
          </w:tcPr>
          <w:p w14:paraId="31150D93" w14:textId="5EDC39ED" w:rsidR="00DF49C6" w:rsidRPr="00C13965" w:rsidRDefault="00DF49C6" w:rsidP="003151A9">
            <w:pPr>
              <w:jc w:val="both"/>
              <w:rPr>
                <w:szCs w:val="24"/>
                <w:lang w:eastAsia="en-US"/>
              </w:rPr>
            </w:pPr>
            <w:r w:rsidRPr="00C13965">
              <w:rPr>
                <w:szCs w:val="24"/>
                <w:lang w:eastAsia="en-US"/>
              </w:rPr>
              <w:t>ĽF</w:t>
            </w:r>
          </w:p>
        </w:tc>
        <w:tc>
          <w:tcPr>
            <w:tcW w:w="7548" w:type="dxa"/>
            <w:tcBorders>
              <w:top w:val="nil"/>
              <w:left w:val="nil"/>
              <w:bottom w:val="nil"/>
              <w:right w:val="nil"/>
            </w:tcBorders>
            <w:hideMark/>
          </w:tcPr>
          <w:p w14:paraId="0FB69EBE" w14:textId="41CD9004" w:rsidR="00DF49C6" w:rsidRPr="00C13965" w:rsidRDefault="00DF49C6" w:rsidP="003151A9">
            <w:pPr>
              <w:jc w:val="both"/>
              <w:rPr>
                <w:szCs w:val="24"/>
                <w:lang w:eastAsia="en-US"/>
              </w:rPr>
            </w:pPr>
            <w:r w:rsidRPr="00C13965">
              <w:rPr>
                <w:szCs w:val="24"/>
                <w:lang w:eastAsia="en-US"/>
              </w:rPr>
              <w:t>ľudský faktor</w:t>
            </w:r>
          </w:p>
        </w:tc>
      </w:tr>
      <w:tr w:rsidR="00DF49C6" w:rsidRPr="00C13965" w14:paraId="30EC8754" w14:textId="77777777" w:rsidTr="00C13A84">
        <w:tc>
          <w:tcPr>
            <w:tcW w:w="2552" w:type="dxa"/>
            <w:tcBorders>
              <w:top w:val="nil"/>
              <w:left w:val="nil"/>
              <w:bottom w:val="nil"/>
              <w:right w:val="nil"/>
            </w:tcBorders>
            <w:hideMark/>
          </w:tcPr>
          <w:p w14:paraId="1ED63EFF" w14:textId="499AFEC0" w:rsidR="00DF49C6" w:rsidRPr="00C13965" w:rsidRDefault="00DF49C6" w:rsidP="003151A9">
            <w:pPr>
              <w:jc w:val="both"/>
              <w:rPr>
                <w:szCs w:val="24"/>
                <w:lang w:eastAsia="en-US"/>
              </w:rPr>
            </w:pPr>
            <w:r w:rsidRPr="00C13965">
              <w:rPr>
                <w:rStyle w:val="A9"/>
                <w:rFonts w:cs="Times New Roman"/>
                <w:sz w:val="24"/>
                <w:szCs w:val="24"/>
                <w:lang w:eastAsia="en-US"/>
              </w:rPr>
              <w:t>MAAE</w:t>
            </w:r>
          </w:p>
        </w:tc>
        <w:tc>
          <w:tcPr>
            <w:tcW w:w="7548" w:type="dxa"/>
            <w:tcBorders>
              <w:top w:val="nil"/>
              <w:left w:val="nil"/>
              <w:bottom w:val="nil"/>
              <w:right w:val="nil"/>
            </w:tcBorders>
            <w:hideMark/>
          </w:tcPr>
          <w:p w14:paraId="1C3B7B0E" w14:textId="5EDA7D22" w:rsidR="00DF49C6" w:rsidRPr="00C13965" w:rsidRDefault="00DF49C6" w:rsidP="003151A9">
            <w:pPr>
              <w:jc w:val="both"/>
              <w:rPr>
                <w:szCs w:val="24"/>
                <w:lang w:eastAsia="en-US"/>
              </w:rPr>
            </w:pPr>
            <w:r w:rsidRPr="00C13965">
              <w:rPr>
                <w:rStyle w:val="A9"/>
                <w:rFonts w:cs="Times New Roman"/>
                <w:sz w:val="24"/>
                <w:szCs w:val="24"/>
                <w:lang w:eastAsia="en-US"/>
              </w:rPr>
              <w:t>Medzinárodná agentúra pre atómovú energiu</w:t>
            </w:r>
          </w:p>
        </w:tc>
      </w:tr>
      <w:tr w:rsidR="00DF49C6" w:rsidRPr="00C13965" w14:paraId="28D15566" w14:textId="77777777" w:rsidTr="00C13A84">
        <w:tc>
          <w:tcPr>
            <w:tcW w:w="2552" w:type="dxa"/>
            <w:tcBorders>
              <w:top w:val="nil"/>
              <w:left w:val="nil"/>
              <w:bottom w:val="nil"/>
              <w:right w:val="nil"/>
            </w:tcBorders>
            <w:hideMark/>
          </w:tcPr>
          <w:p w14:paraId="7D1060AD" w14:textId="26D5A767" w:rsidR="00DF49C6" w:rsidRPr="00C13965" w:rsidRDefault="00DF49C6" w:rsidP="003151A9">
            <w:pPr>
              <w:jc w:val="both"/>
              <w:rPr>
                <w:szCs w:val="24"/>
                <w:lang w:eastAsia="en-US"/>
              </w:rPr>
            </w:pPr>
            <w:r w:rsidRPr="00C13965">
              <w:rPr>
                <w:szCs w:val="24"/>
                <w:lang w:eastAsia="en-US"/>
              </w:rPr>
              <w:t>MH SR</w:t>
            </w:r>
          </w:p>
        </w:tc>
        <w:tc>
          <w:tcPr>
            <w:tcW w:w="7548" w:type="dxa"/>
            <w:tcBorders>
              <w:top w:val="nil"/>
              <w:left w:val="nil"/>
              <w:bottom w:val="nil"/>
              <w:right w:val="nil"/>
            </w:tcBorders>
            <w:hideMark/>
          </w:tcPr>
          <w:p w14:paraId="7859D1C4" w14:textId="792A660F" w:rsidR="00DF49C6" w:rsidRPr="00C13965" w:rsidRDefault="00DF49C6" w:rsidP="003151A9">
            <w:pPr>
              <w:jc w:val="both"/>
              <w:rPr>
                <w:szCs w:val="24"/>
                <w:lang w:eastAsia="en-US"/>
              </w:rPr>
            </w:pPr>
            <w:r w:rsidRPr="00C13965">
              <w:rPr>
                <w:szCs w:val="24"/>
                <w:lang w:eastAsia="en-US"/>
              </w:rPr>
              <w:t>Ministerstvo hospodárstva SR</w:t>
            </w:r>
          </w:p>
        </w:tc>
      </w:tr>
      <w:tr w:rsidR="00DF49C6" w:rsidRPr="00C13965" w14:paraId="79B8FBDA" w14:textId="77777777" w:rsidTr="00C13A84">
        <w:tc>
          <w:tcPr>
            <w:tcW w:w="2552" w:type="dxa"/>
            <w:tcBorders>
              <w:top w:val="nil"/>
              <w:left w:val="nil"/>
              <w:bottom w:val="nil"/>
              <w:right w:val="nil"/>
            </w:tcBorders>
            <w:hideMark/>
          </w:tcPr>
          <w:p w14:paraId="01C5F403" w14:textId="3E623D3E" w:rsidR="00DF49C6" w:rsidRPr="00C13965" w:rsidRDefault="00DF49C6" w:rsidP="003151A9">
            <w:pPr>
              <w:jc w:val="both"/>
              <w:rPr>
                <w:szCs w:val="24"/>
                <w:lang w:eastAsia="en-US"/>
              </w:rPr>
            </w:pPr>
            <w:r>
              <w:t>MIRRI SR</w:t>
            </w:r>
          </w:p>
        </w:tc>
        <w:tc>
          <w:tcPr>
            <w:tcW w:w="7548" w:type="dxa"/>
            <w:tcBorders>
              <w:top w:val="nil"/>
              <w:left w:val="nil"/>
              <w:bottom w:val="nil"/>
              <w:right w:val="nil"/>
            </w:tcBorders>
            <w:hideMark/>
          </w:tcPr>
          <w:p w14:paraId="222ED548" w14:textId="3D478162" w:rsidR="00DF49C6" w:rsidRPr="00C13965" w:rsidRDefault="00DF49C6" w:rsidP="003151A9">
            <w:pPr>
              <w:jc w:val="both"/>
              <w:rPr>
                <w:szCs w:val="24"/>
                <w:lang w:eastAsia="en-US"/>
              </w:rPr>
            </w:pPr>
            <w:r>
              <w:t>Ministerstvo investícií, regionálneho rozvoja a informatizácie SR</w:t>
            </w:r>
          </w:p>
        </w:tc>
      </w:tr>
      <w:tr w:rsidR="00DF49C6" w:rsidRPr="00C13965" w14:paraId="08BF4E39" w14:textId="77777777" w:rsidTr="00C13A84">
        <w:tc>
          <w:tcPr>
            <w:tcW w:w="2552" w:type="dxa"/>
            <w:tcBorders>
              <w:top w:val="nil"/>
              <w:left w:val="nil"/>
              <w:bottom w:val="nil"/>
              <w:right w:val="nil"/>
            </w:tcBorders>
          </w:tcPr>
          <w:p w14:paraId="7D30C4CF" w14:textId="32B01963" w:rsidR="00DF49C6" w:rsidRPr="002967BC" w:rsidRDefault="00DF49C6" w:rsidP="003151A9">
            <w:pPr>
              <w:jc w:val="both"/>
            </w:pPr>
            <w:r>
              <w:t>MO34</w:t>
            </w:r>
          </w:p>
        </w:tc>
        <w:tc>
          <w:tcPr>
            <w:tcW w:w="7548" w:type="dxa"/>
            <w:tcBorders>
              <w:top w:val="nil"/>
              <w:left w:val="nil"/>
              <w:bottom w:val="nil"/>
              <w:right w:val="nil"/>
            </w:tcBorders>
          </w:tcPr>
          <w:p w14:paraId="52FB2B77" w14:textId="01B41523" w:rsidR="00DF49C6" w:rsidRPr="002967BC" w:rsidRDefault="00DF49C6" w:rsidP="003151A9">
            <w:pPr>
              <w:jc w:val="both"/>
            </w:pPr>
            <w:r>
              <w:t>Jadrová elektráreň Mochovce 3, 4</w:t>
            </w:r>
          </w:p>
        </w:tc>
      </w:tr>
      <w:tr w:rsidR="00DF49C6" w:rsidRPr="00C13965" w14:paraId="220BF324" w14:textId="77777777" w:rsidTr="00C13A84">
        <w:tc>
          <w:tcPr>
            <w:tcW w:w="2552" w:type="dxa"/>
            <w:tcBorders>
              <w:top w:val="nil"/>
              <w:left w:val="nil"/>
              <w:bottom w:val="nil"/>
              <w:right w:val="nil"/>
            </w:tcBorders>
          </w:tcPr>
          <w:p w14:paraId="1DDF0358" w14:textId="11983764" w:rsidR="00DF49C6" w:rsidRPr="002967BC" w:rsidRDefault="00DF49C6" w:rsidP="003151A9">
            <w:pPr>
              <w:jc w:val="both"/>
            </w:pPr>
            <w:r w:rsidRPr="002967BC">
              <w:t>MRPS OBPZJŠ</w:t>
            </w:r>
          </w:p>
        </w:tc>
        <w:tc>
          <w:tcPr>
            <w:tcW w:w="7548" w:type="dxa"/>
            <w:tcBorders>
              <w:top w:val="nil"/>
              <w:left w:val="nil"/>
              <w:bottom w:val="nil"/>
              <w:right w:val="nil"/>
            </w:tcBorders>
          </w:tcPr>
          <w:p w14:paraId="0F8FFDE5" w14:textId="48E28310" w:rsidR="00DF49C6" w:rsidRPr="002967BC" w:rsidRDefault="00DF49C6" w:rsidP="003151A9">
            <w:pPr>
              <w:jc w:val="both"/>
            </w:pPr>
            <w:r w:rsidRPr="002967BC">
              <w:t>medzirezortn</w:t>
            </w:r>
            <w:r>
              <w:t>á</w:t>
            </w:r>
            <w:r w:rsidRPr="002967BC">
              <w:t xml:space="preserve"> pracovn</w:t>
            </w:r>
            <w:r>
              <w:t>á</w:t>
            </w:r>
            <w:r w:rsidRPr="002967BC">
              <w:t xml:space="preserve"> skupin</w:t>
            </w:r>
            <w:r>
              <w:t>a</w:t>
            </w:r>
            <w:r w:rsidRPr="002967BC">
              <w:t xml:space="preserve"> k občianskoprávnej zodpovednosti za</w:t>
            </w:r>
            <w:r>
              <w:t> </w:t>
            </w:r>
            <w:r w:rsidRPr="002967BC">
              <w:t>jadrové škody</w:t>
            </w:r>
          </w:p>
        </w:tc>
      </w:tr>
      <w:tr w:rsidR="00DF49C6" w:rsidRPr="00C13965" w14:paraId="7C6C3149" w14:textId="77777777" w:rsidTr="00C13A84">
        <w:tc>
          <w:tcPr>
            <w:tcW w:w="2552" w:type="dxa"/>
            <w:tcBorders>
              <w:top w:val="nil"/>
              <w:left w:val="nil"/>
              <w:bottom w:val="nil"/>
              <w:right w:val="nil"/>
            </w:tcBorders>
          </w:tcPr>
          <w:p w14:paraId="64746EFF" w14:textId="631867AB" w:rsidR="00DF49C6" w:rsidRPr="00C13965" w:rsidRDefault="00DF49C6" w:rsidP="003151A9">
            <w:pPr>
              <w:jc w:val="both"/>
              <w:rPr>
                <w:szCs w:val="24"/>
                <w:lang w:eastAsia="en-US"/>
              </w:rPr>
            </w:pPr>
            <w:r>
              <w:rPr>
                <w:rStyle w:val="A9"/>
                <w:rFonts w:cs="Times New Roman"/>
                <w:sz w:val="24"/>
                <w:szCs w:val="24"/>
                <w:lang w:eastAsia="en-US"/>
              </w:rPr>
              <w:t>MS SR</w:t>
            </w:r>
          </w:p>
        </w:tc>
        <w:tc>
          <w:tcPr>
            <w:tcW w:w="7548" w:type="dxa"/>
            <w:tcBorders>
              <w:top w:val="nil"/>
              <w:left w:val="nil"/>
              <w:bottom w:val="nil"/>
              <w:right w:val="nil"/>
            </w:tcBorders>
          </w:tcPr>
          <w:p w14:paraId="61D3262B" w14:textId="5B88E9B1" w:rsidR="00DF49C6" w:rsidRPr="00C13965" w:rsidRDefault="00DF49C6" w:rsidP="003151A9">
            <w:pPr>
              <w:jc w:val="both"/>
              <w:rPr>
                <w:szCs w:val="24"/>
                <w:lang w:eastAsia="en-US"/>
              </w:rPr>
            </w:pPr>
            <w:r>
              <w:rPr>
                <w:rStyle w:val="A9"/>
                <w:rFonts w:cs="Times New Roman"/>
                <w:sz w:val="24"/>
                <w:szCs w:val="24"/>
                <w:lang w:eastAsia="en-US"/>
              </w:rPr>
              <w:t>Ministerstvo spravodlivosti SR</w:t>
            </w:r>
          </w:p>
        </w:tc>
      </w:tr>
      <w:tr w:rsidR="00DF49C6" w:rsidRPr="00C13965" w14:paraId="19D6B6A6" w14:textId="77777777" w:rsidTr="00C13A84">
        <w:tc>
          <w:tcPr>
            <w:tcW w:w="2552" w:type="dxa"/>
            <w:tcBorders>
              <w:top w:val="nil"/>
              <w:left w:val="nil"/>
              <w:bottom w:val="nil"/>
              <w:right w:val="nil"/>
            </w:tcBorders>
          </w:tcPr>
          <w:p w14:paraId="43C16434" w14:textId="19C24C2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MSVP</w:t>
            </w:r>
          </w:p>
        </w:tc>
        <w:tc>
          <w:tcPr>
            <w:tcW w:w="7548" w:type="dxa"/>
            <w:tcBorders>
              <w:top w:val="nil"/>
              <w:left w:val="nil"/>
              <w:bottom w:val="nil"/>
              <w:right w:val="nil"/>
            </w:tcBorders>
          </w:tcPr>
          <w:p w14:paraId="6D2E0730" w14:textId="0F1CCE6A" w:rsidR="00DF49C6" w:rsidRPr="00C13965" w:rsidRDefault="00DF49C6" w:rsidP="003151A9">
            <w:pPr>
              <w:jc w:val="both"/>
              <w:rPr>
                <w:rStyle w:val="A9"/>
                <w:rFonts w:cs="Times New Roman"/>
                <w:sz w:val="24"/>
                <w:szCs w:val="24"/>
                <w:lang w:eastAsia="en-US"/>
              </w:rPr>
            </w:pPr>
            <w:proofErr w:type="spellStart"/>
            <w:r w:rsidRPr="00C13965">
              <w:rPr>
                <w:rStyle w:val="A9"/>
                <w:rFonts w:cs="Times New Roman"/>
                <w:sz w:val="24"/>
                <w:szCs w:val="24"/>
                <w:lang w:eastAsia="en-US"/>
              </w:rPr>
              <w:t>Medzisklad</w:t>
            </w:r>
            <w:proofErr w:type="spellEnd"/>
            <w:r w:rsidRPr="00C13965">
              <w:rPr>
                <w:rStyle w:val="A9"/>
                <w:rFonts w:cs="Times New Roman"/>
                <w:sz w:val="24"/>
                <w:szCs w:val="24"/>
                <w:lang w:eastAsia="en-US"/>
              </w:rPr>
              <w:t xml:space="preserve"> vyhoretého jadrového paliva</w:t>
            </w:r>
          </w:p>
        </w:tc>
      </w:tr>
      <w:tr w:rsidR="00DF49C6" w:rsidRPr="00C13965" w14:paraId="00F43027" w14:textId="77777777" w:rsidTr="00C13A84">
        <w:tc>
          <w:tcPr>
            <w:tcW w:w="2552" w:type="dxa"/>
            <w:tcBorders>
              <w:top w:val="nil"/>
              <w:left w:val="nil"/>
              <w:bottom w:val="nil"/>
              <w:right w:val="nil"/>
            </w:tcBorders>
            <w:hideMark/>
          </w:tcPr>
          <w:p w14:paraId="48A2E317" w14:textId="04FC4485" w:rsidR="00DF49C6" w:rsidRPr="00C13965" w:rsidRDefault="00DF49C6" w:rsidP="003151A9">
            <w:pPr>
              <w:jc w:val="both"/>
              <w:rPr>
                <w:szCs w:val="24"/>
                <w:lang w:eastAsia="en-US"/>
              </w:rPr>
            </w:pPr>
            <w:r>
              <w:rPr>
                <w:rStyle w:val="A9"/>
                <w:rFonts w:cs="Times New Roman"/>
                <w:sz w:val="24"/>
                <w:szCs w:val="24"/>
                <w:lang w:eastAsia="en-US"/>
              </w:rPr>
              <w:t>M</w:t>
            </w:r>
            <w:r>
              <w:rPr>
                <w:rStyle w:val="A9"/>
                <w:rFonts w:cs="Times New Roman"/>
                <w:sz w:val="24"/>
              </w:rPr>
              <w:t>V SR</w:t>
            </w:r>
          </w:p>
        </w:tc>
        <w:tc>
          <w:tcPr>
            <w:tcW w:w="7548" w:type="dxa"/>
            <w:tcBorders>
              <w:top w:val="nil"/>
              <w:left w:val="nil"/>
              <w:bottom w:val="nil"/>
              <w:right w:val="nil"/>
            </w:tcBorders>
            <w:hideMark/>
          </w:tcPr>
          <w:p w14:paraId="2BEEBDCD" w14:textId="2F73BDFA" w:rsidR="00DF49C6" w:rsidRPr="00C13965" w:rsidRDefault="00DF49C6" w:rsidP="003151A9">
            <w:pPr>
              <w:jc w:val="both"/>
              <w:rPr>
                <w:szCs w:val="24"/>
                <w:lang w:eastAsia="en-US"/>
              </w:rPr>
            </w:pPr>
            <w:r>
              <w:rPr>
                <w:rStyle w:val="A9"/>
                <w:rFonts w:cs="Times New Roman"/>
                <w:sz w:val="24"/>
                <w:szCs w:val="24"/>
                <w:lang w:eastAsia="en-US"/>
              </w:rPr>
              <w:t>M</w:t>
            </w:r>
            <w:r>
              <w:rPr>
                <w:rStyle w:val="A9"/>
                <w:rFonts w:cs="Times New Roman"/>
                <w:sz w:val="24"/>
              </w:rPr>
              <w:t>inisterstvo vnútra SR</w:t>
            </w:r>
          </w:p>
        </w:tc>
      </w:tr>
      <w:tr w:rsidR="00DF49C6" w:rsidRPr="00C13965" w14:paraId="06B026D6" w14:textId="77777777" w:rsidTr="00C13A84">
        <w:tc>
          <w:tcPr>
            <w:tcW w:w="2552" w:type="dxa"/>
            <w:tcBorders>
              <w:top w:val="nil"/>
              <w:left w:val="nil"/>
              <w:bottom w:val="nil"/>
              <w:right w:val="nil"/>
            </w:tcBorders>
          </w:tcPr>
          <w:p w14:paraId="12FF5753" w14:textId="23210AD3" w:rsidR="00DF49C6" w:rsidRPr="00C13965" w:rsidRDefault="00DF49C6" w:rsidP="003151A9">
            <w:pPr>
              <w:jc w:val="both"/>
              <w:rPr>
                <w:rStyle w:val="A9"/>
                <w:rFonts w:cs="Times New Roman"/>
                <w:sz w:val="24"/>
                <w:szCs w:val="24"/>
                <w:lang w:eastAsia="en-US"/>
              </w:rPr>
            </w:pPr>
            <w:r w:rsidRPr="00C13965">
              <w:rPr>
                <w:szCs w:val="24"/>
                <w:lang w:eastAsia="en-US"/>
              </w:rPr>
              <w:t>MZVEZ SR</w:t>
            </w:r>
          </w:p>
        </w:tc>
        <w:tc>
          <w:tcPr>
            <w:tcW w:w="7548" w:type="dxa"/>
            <w:tcBorders>
              <w:top w:val="nil"/>
              <w:left w:val="nil"/>
              <w:bottom w:val="nil"/>
              <w:right w:val="nil"/>
            </w:tcBorders>
          </w:tcPr>
          <w:p w14:paraId="68C5C8AB" w14:textId="7E9BDCCB" w:rsidR="00DF49C6" w:rsidRPr="00C13965" w:rsidRDefault="00DF49C6" w:rsidP="003151A9">
            <w:pPr>
              <w:jc w:val="both"/>
              <w:rPr>
                <w:rStyle w:val="A9"/>
                <w:rFonts w:cs="Times New Roman"/>
                <w:sz w:val="24"/>
                <w:szCs w:val="24"/>
                <w:lang w:eastAsia="en-US"/>
              </w:rPr>
            </w:pPr>
            <w:r w:rsidRPr="00C13965">
              <w:rPr>
                <w:szCs w:val="24"/>
                <w:lang w:eastAsia="en-US"/>
              </w:rPr>
              <w:t>Ministerstvo zahraničných vecí a európskych záležitostí SR</w:t>
            </w:r>
          </w:p>
        </w:tc>
      </w:tr>
      <w:tr w:rsidR="00DF49C6" w:rsidRPr="00C13965" w14:paraId="60CE4173" w14:textId="77777777" w:rsidTr="00C13A84">
        <w:tc>
          <w:tcPr>
            <w:tcW w:w="2552" w:type="dxa"/>
            <w:tcBorders>
              <w:top w:val="nil"/>
              <w:left w:val="nil"/>
              <w:bottom w:val="nil"/>
              <w:right w:val="nil"/>
            </w:tcBorders>
            <w:hideMark/>
          </w:tcPr>
          <w:p w14:paraId="32E7F101" w14:textId="0971195B" w:rsidR="00DF49C6" w:rsidRPr="00C13965" w:rsidRDefault="00DF49C6" w:rsidP="003151A9">
            <w:pPr>
              <w:jc w:val="both"/>
              <w:rPr>
                <w:szCs w:val="24"/>
                <w:lang w:eastAsia="en-US"/>
              </w:rPr>
            </w:pPr>
            <w:r w:rsidRPr="00C13965">
              <w:rPr>
                <w:rStyle w:val="A9"/>
                <w:rFonts w:cs="Times New Roman"/>
                <w:sz w:val="24"/>
                <w:szCs w:val="24"/>
                <w:lang w:eastAsia="en-US"/>
              </w:rPr>
              <w:t>MŽP SR</w:t>
            </w:r>
          </w:p>
        </w:tc>
        <w:tc>
          <w:tcPr>
            <w:tcW w:w="7548" w:type="dxa"/>
            <w:tcBorders>
              <w:top w:val="nil"/>
              <w:left w:val="nil"/>
              <w:bottom w:val="nil"/>
              <w:right w:val="nil"/>
            </w:tcBorders>
            <w:hideMark/>
          </w:tcPr>
          <w:p w14:paraId="07158CFC" w14:textId="6D509196" w:rsidR="00DF49C6" w:rsidRPr="00C13965" w:rsidRDefault="00DF49C6" w:rsidP="003151A9">
            <w:pPr>
              <w:jc w:val="both"/>
              <w:rPr>
                <w:szCs w:val="24"/>
                <w:lang w:eastAsia="en-US"/>
              </w:rPr>
            </w:pPr>
            <w:r w:rsidRPr="00C13965">
              <w:rPr>
                <w:rStyle w:val="A9"/>
                <w:rFonts w:cs="Times New Roman"/>
                <w:sz w:val="24"/>
                <w:szCs w:val="24"/>
                <w:lang w:eastAsia="en-US"/>
              </w:rPr>
              <w:t>Ministerstvo životného prostredia SR</w:t>
            </w:r>
          </w:p>
        </w:tc>
      </w:tr>
      <w:tr w:rsidR="00DF49C6" w:rsidRPr="00C13965" w14:paraId="5B9AA33B" w14:textId="77777777" w:rsidTr="00C13A84">
        <w:tc>
          <w:tcPr>
            <w:tcW w:w="2552" w:type="dxa"/>
            <w:tcBorders>
              <w:top w:val="nil"/>
              <w:left w:val="nil"/>
              <w:bottom w:val="nil"/>
              <w:right w:val="nil"/>
            </w:tcBorders>
            <w:hideMark/>
          </w:tcPr>
          <w:p w14:paraId="63B1CD2D" w14:textId="3567F82C" w:rsidR="00DF49C6" w:rsidRPr="00C13965" w:rsidRDefault="00DF49C6" w:rsidP="003151A9">
            <w:pPr>
              <w:jc w:val="both"/>
              <w:rPr>
                <w:szCs w:val="24"/>
                <w:lang w:eastAsia="en-US"/>
              </w:rPr>
            </w:pPr>
            <w:r>
              <w:rPr>
                <w:rStyle w:val="A9"/>
                <w:rFonts w:cs="Times New Roman"/>
                <w:sz w:val="24"/>
                <w:szCs w:val="24"/>
                <w:lang w:eastAsia="en-US"/>
              </w:rPr>
              <w:lastRenderedPageBreak/>
              <w:t>N</w:t>
            </w:r>
            <w:r>
              <w:rPr>
                <w:rStyle w:val="A9"/>
                <w:rFonts w:cs="Times New Roman"/>
                <w:sz w:val="24"/>
                <w:szCs w:val="24"/>
              </w:rPr>
              <w:t>BÚ</w:t>
            </w:r>
          </w:p>
        </w:tc>
        <w:tc>
          <w:tcPr>
            <w:tcW w:w="7548" w:type="dxa"/>
            <w:tcBorders>
              <w:top w:val="nil"/>
              <w:left w:val="nil"/>
              <w:bottom w:val="nil"/>
              <w:right w:val="nil"/>
            </w:tcBorders>
            <w:hideMark/>
          </w:tcPr>
          <w:p w14:paraId="37192B30" w14:textId="0D7CCCAA" w:rsidR="00DF49C6" w:rsidRPr="00C13965" w:rsidRDefault="00DF49C6" w:rsidP="003151A9">
            <w:pPr>
              <w:jc w:val="both"/>
              <w:rPr>
                <w:szCs w:val="24"/>
                <w:lang w:eastAsia="en-US"/>
              </w:rPr>
            </w:pPr>
            <w:r>
              <w:rPr>
                <w:rStyle w:val="A9"/>
                <w:rFonts w:cs="Times New Roman"/>
                <w:sz w:val="24"/>
                <w:szCs w:val="24"/>
                <w:lang w:eastAsia="en-US"/>
              </w:rPr>
              <w:t>N</w:t>
            </w:r>
            <w:r>
              <w:rPr>
                <w:rStyle w:val="A9"/>
                <w:rFonts w:cs="Times New Roman"/>
                <w:sz w:val="24"/>
                <w:szCs w:val="24"/>
              </w:rPr>
              <w:t>árodný bezpečnostný úrad</w:t>
            </w:r>
          </w:p>
        </w:tc>
      </w:tr>
      <w:tr w:rsidR="00DF49C6" w:rsidRPr="00C13965" w14:paraId="7C377B68" w14:textId="77777777" w:rsidTr="00C13A84">
        <w:tc>
          <w:tcPr>
            <w:tcW w:w="2552" w:type="dxa"/>
            <w:tcBorders>
              <w:top w:val="nil"/>
              <w:left w:val="nil"/>
              <w:bottom w:val="nil"/>
              <w:right w:val="nil"/>
            </w:tcBorders>
          </w:tcPr>
          <w:p w14:paraId="4FF60F59" w14:textId="0F09A22E"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NRAO</w:t>
            </w:r>
          </w:p>
        </w:tc>
        <w:tc>
          <w:tcPr>
            <w:tcW w:w="7548" w:type="dxa"/>
            <w:tcBorders>
              <w:top w:val="nil"/>
              <w:left w:val="nil"/>
              <w:bottom w:val="nil"/>
              <w:right w:val="nil"/>
            </w:tcBorders>
          </w:tcPr>
          <w:p w14:paraId="2DB7B8C0" w14:textId="25145448"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nízkoaktívne rádioaktívne odpady</w:t>
            </w:r>
          </w:p>
        </w:tc>
      </w:tr>
      <w:tr w:rsidR="00DF49C6" w:rsidRPr="00C13965" w14:paraId="6BB993ED" w14:textId="77777777" w:rsidTr="00C13A84">
        <w:tc>
          <w:tcPr>
            <w:tcW w:w="2552" w:type="dxa"/>
            <w:tcBorders>
              <w:top w:val="nil"/>
              <w:left w:val="nil"/>
              <w:bottom w:val="nil"/>
              <w:right w:val="nil"/>
            </w:tcBorders>
            <w:hideMark/>
          </w:tcPr>
          <w:p w14:paraId="5675039F" w14:textId="3C51DD36" w:rsidR="00DF49C6" w:rsidRPr="00C13965" w:rsidRDefault="00DF49C6" w:rsidP="003151A9">
            <w:pPr>
              <w:jc w:val="both"/>
              <w:rPr>
                <w:szCs w:val="24"/>
                <w:lang w:eastAsia="en-US"/>
              </w:rPr>
            </w:pPr>
            <w:r w:rsidRPr="00C13965">
              <w:rPr>
                <w:szCs w:val="24"/>
                <w:lang w:eastAsia="en-US"/>
              </w:rPr>
              <w:t>NR SR</w:t>
            </w:r>
          </w:p>
        </w:tc>
        <w:tc>
          <w:tcPr>
            <w:tcW w:w="7548" w:type="dxa"/>
            <w:tcBorders>
              <w:top w:val="nil"/>
              <w:left w:val="nil"/>
              <w:bottom w:val="nil"/>
              <w:right w:val="nil"/>
            </w:tcBorders>
            <w:hideMark/>
          </w:tcPr>
          <w:p w14:paraId="6218C7E5" w14:textId="3BBEB9E3" w:rsidR="00DF49C6" w:rsidRPr="00C13965" w:rsidRDefault="00DF49C6" w:rsidP="003151A9">
            <w:pPr>
              <w:jc w:val="both"/>
              <w:rPr>
                <w:szCs w:val="24"/>
                <w:lang w:eastAsia="en-US"/>
              </w:rPr>
            </w:pPr>
            <w:r w:rsidRPr="00C13965">
              <w:rPr>
                <w:szCs w:val="24"/>
                <w:lang w:eastAsia="en-US"/>
              </w:rPr>
              <w:t>Národná rada SR</w:t>
            </w:r>
          </w:p>
        </w:tc>
      </w:tr>
      <w:tr w:rsidR="00DF49C6" w:rsidRPr="00C13965" w14:paraId="29A5A861" w14:textId="77777777" w:rsidTr="00C13A84">
        <w:tc>
          <w:tcPr>
            <w:tcW w:w="2552" w:type="dxa"/>
            <w:tcBorders>
              <w:top w:val="nil"/>
              <w:left w:val="nil"/>
              <w:bottom w:val="nil"/>
              <w:right w:val="nil"/>
            </w:tcBorders>
          </w:tcPr>
          <w:p w14:paraId="4EF63F70" w14:textId="43217A28"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OECD/NEA</w:t>
            </w:r>
          </w:p>
        </w:tc>
        <w:tc>
          <w:tcPr>
            <w:tcW w:w="7548" w:type="dxa"/>
            <w:tcBorders>
              <w:top w:val="nil"/>
              <w:left w:val="nil"/>
              <w:bottom w:val="nil"/>
              <w:right w:val="nil"/>
            </w:tcBorders>
          </w:tcPr>
          <w:p w14:paraId="57EC91E3" w14:textId="2CD4AD6A"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Agentúra pre jadrovú energiu pri Organizácii pre ekonomickú spoluprácu a</w:t>
            </w:r>
            <w:r>
              <w:rPr>
                <w:rStyle w:val="A9"/>
                <w:rFonts w:cs="Times New Roman"/>
                <w:sz w:val="24"/>
                <w:szCs w:val="24"/>
                <w:lang w:eastAsia="en-US"/>
              </w:rPr>
              <w:t> </w:t>
            </w:r>
            <w:r w:rsidRPr="00C13965">
              <w:rPr>
                <w:rStyle w:val="A9"/>
                <w:rFonts w:cs="Times New Roman"/>
                <w:sz w:val="24"/>
                <w:szCs w:val="24"/>
                <w:lang w:eastAsia="en-US"/>
              </w:rPr>
              <w:t>rozvoj</w:t>
            </w:r>
          </w:p>
        </w:tc>
      </w:tr>
      <w:tr w:rsidR="00DF49C6" w:rsidRPr="00C13965" w14:paraId="7B5B756A" w14:textId="77777777" w:rsidTr="00C13A84">
        <w:tc>
          <w:tcPr>
            <w:tcW w:w="2552" w:type="dxa"/>
            <w:tcBorders>
              <w:top w:val="nil"/>
              <w:left w:val="nil"/>
              <w:bottom w:val="nil"/>
              <w:right w:val="nil"/>
            </w:tcBorders>
            <w:hideMark/>
          </w:tcPr>
          <w:p w14:paraId="7D6DDB06" w14:textId="52917EB5" w:rsidR="00DF49C6" w:rsidRPr="00432641" w:rsidRDefault="00DF49C6" w:rsidP="003151A9">
            <w:pPr>
              <w:jc w:val="both"/>
              <w:rPr>
                <w:color w:val="000000"/>
                <w:szCs w:val="24"/>
                <w:lang w:eastAsia="en-US"/>
              </w:rPr>
            </w:pPr>
            <w:r w:rsidRPr="00C13965">
              <w:rPr>
                <w:rStyle w:val="A9"/>
                <w:rFonts w:cs="Times New Roman"/>
                <w:sz w:val="24"/>
                <w:szCs w:val="24"/>
                <w:lang w:eastAsia="en-US"/>
              </w:rPr>
              <w:t>OIK</w:t>
            </w:r>
          </w:p>
        </w:tc>
        <w:tc>
          <w:tcPr>
            <w:tcW w:w="7548" w:type="dxa"/>
            <w:tcBorders>
              <w:top w:val="nil"/>
              <w:left w:val="nil"/>
              <w:bottom w:val="nil"/>
              <w:right w:val="nil"/>
            </w:tcBorders>
            <w:hideMark/>
          </w:tcPr>
          <w:p w14:paraId="7A787CDF" w14:textId="51AD4013" w:rsidR="00DF49C6" w:rsidRPr="00432641" w:rsidRDefault="00DF49C6" w:rsidP="003151A9">
            <w:pPr>
              <w:jc w:val="both"/>
              <w:rPr>
                <w:color w:val="000000"/>
                <w:szCs w:val="24"/>
                <w:lang w:eastAsia="en-US"/>
              </w:rPr>
            </w:pPr>
            <w:r w:rsidRPr="00C13965">
              <w:rPr>
                <w:rStyle w:val="A9"/>
                <w:rFonts w:cs="Times New Roman"/>
                <w:sz w:val="24"/>
                <w:szCs w:val="24"/>
                <w:lang w:eastAsia="en-US"/>
              </w:rPr>
              <w:t>Občianska informačná komisia</w:t>
            </w:r>
          </w:p>
        </w:tc>
      </w:tr>
      <w:tr w:rsidR="00DF49C6" w:rsidRPr="00C13965" w14:paraId="29904CA5" w14:textId="77777777" w:rsidTr="00C13A84">
        <w:tc>
          <w:tcPr>
            <w:tcW w:w="2552" w:type="dxa"/>
            <w:tcBorders>
              <w:top w:val="nil"/>
              <w:left w:val="nil"/>
              <w:bottom w:val="nil"/>
              <w:right w:val="nil"/>
            </w:tcBorders>
            <w:hideMark/>
          </w:tcPr>
          <w:p w14:paraId="7EB44DD4" w14:textId="000B46CE" w:rsidR="00DF49C6" w:rsidRPr="00C13965" w:rsidRDefault="00DF49C6" w:rsidP="003151A9">
            <w:pPr>
              <w:jc w:val="both"/>
              <w:rPr>
                <w:szCs w:val="24"/>
                <w:lang w:eastAsia="en-US"/>
              </w:rPr>
            </w:pPr>
            <w:r>
              <w:rPr>
                <w:szCs w:val="24"/>
                <w:lang w:eastAsia="en-US"/>
              </w:rPr>
              <w:t>O</w:t>
            </w:r>
            <w:r>
              <w:t>SN</w:t>
            </w:r>
          </w:p>
        </w:tc>
        <w:tc>
          <w:tcPr>
            <w:tcW w:w="7548" w:type="dxa"/>
            <w:tcBorders>
              <w:top w:val="nil"/>
              <w:left w:val="nil"/>
              <w:bottom w:val="nil"/>
              <w:right w:val="nil"/>
            </w:tcBorders>
            <w:hideMark/>
          </w:tcPr>
          <w:p w14:paraId="661AB4A0" w14:textId="085FE062" w:rsidR="00DF49C6" w:rsidRPr="00C13965" w:rsidRDefault="00DF49C6" w:rsidP="003151A9">
            <w:pPr>
              <w:jc w:val="both"/>
              <w:rPr>
                <w:szCs w:val="24"/>
                <w:lang w:eastAsia="en-US"/>
              </w:rPr>
            </w:pPr>
            <w:r>
              <w:rPr>
                <w:szCs w:val="24"/>
                <w:lang w:eastAsia="en-US"/>
              </w:rPr>
              <w:t>O</w:t>
            </w:r>
            <w:r>
              <w:t>rganizácia Spojených národov</w:t>
            </w:r>
          </w:p>
        </w:tc>
      </w:tr>
      <w:tr w:rsidR="00DF49C6" w:rsidRPr="00C13965" w14:paraId="02135A00" w14:textId="77777777" w:rsidTr="009B7A77">
        <w:tc>
          <w:tcPr>
            <w:tcW w:w="2552" w:type="dxa"/>
            <w:tcBorders>
              <w:top w:val="nil"/>
              <w:left w:val="nil"/>
              <w:bottom w:val="nil"/>
              <w:right w:val="nil"/>
            </w:tcBorders>
          </w:tcPr>
          <w:p w14:paraId="5D5E9231" w14:textId="66C2E7B3" w:rsidR="00DF49C6" w:rsidRPr="00C13965" w:rsidRDefault="00DF49C6" w:rsidP="003151A9">
            <w:pPr>
              <w:jc w:val="both"/>
              <w:rPr>
                <w:szCs w:val="24"/>
                <w:lang w:eastAsia="en-US"/>
              </w:rPr>
            </w:pPr>
            <w:r>
              <w:rPr>
                <w:szCs w:val="24"/>
                <w:lang w:eastAsia="en-US"/>
              </w:rPr>
              <w:t>PG</w:t>
            </w:r>
          </w:p>
        </w:tc>
        <w:tc>
          <w:tcPr>
            <w:tcW w:w="7548" w:type="dxa"/>
            <w:tcBorders>
              <w:top w:val="nil"/>
              <w:left w:val="nil"/>
              <w:bottom w:val="nil"/>
              <w:right w:val="nil"/>
            </w:tcBorders>
          </w:tcPr>
          <w:p w14:paraId="101B4ADA" w14:textId="4CBCC2C3" w:rsidR="00DF49C6" w:rsidRPr="00C13965" w:rsidRDefault="00DF49C6" w:rsidP="003151A9">
            <w:pPr>
              <w:jc w:val="both"/>
              <w:rPr>
                <w:szCs w:val="24"/>
                <w:lang w:eastAsia="en-US"/>
              </w:rPr>
            </w:pPr>
            <w:r>
              <w:rPr>
                <w:szCs w:val="24"/>
                <w:lang w:eastAsia="en-US"/>
              </w:rPr>
              <w:t>p</w:t>
            </w:r>
            <w:r>
              <w:t>a</w:t>
            </w:r>
            <w:r>
              <w:rPr>
                <w:szCs w:val="24"/>
                <w:lang w:eastAsia="en-US"/>
              </w:rPr>
              <w:t>rogenerátor</w:t>
            </w:r>
          </w:p>
        </w:tc>
      </w:tr>
      <w:tr w:rsidR="00DF49C6" w:rsidRPr="00C13965" w14:paraId="30911E4B" w14:textId="77777777" w:rsidTr="009B7A77">
        <w:tc>
          <w:tcPr>
            <w:tcW w:w="2552" w:type="dxa"/>
            <w:tcBorders>
              <w:top w:val="nil"/>
              <w:left w:val="nil"/>
              <w:bottom w:val="nil"/>
              <w:right w:val="nil"/>
            </w:tcBorders>
          </w:tcPr>
          <w:p w14:paraId="421C1771" w14:textId="135B6BEF" w:rsidR="00DF49C6" w:rsidRDefault="00DF49C6" w:rsidP="003151A9">
            <w:pPr>
              <w:jc w:val="both"/>
              <w:rPr>
                <w:szCs w:val="24"/>
                <w:lang w:eastAsia="en-US"/>
              </w:rPr>
            </w:pPr>
            <w:r w:rsidRPr="008722C5">
              <w:rPr>
                <w:color w:val="000000"/>
                <w:szCs w:val="24"/>
              </w:rPr>
              <w:t>PHJB</w:t>
            </w:r>
          </w:p>
        </w:tc>
        <w:tc>
          <w:tcPr>
            <w:tcW w:w="7548" w:type="dxa"/>
            <w:tcBorders>
              <w:top w:val="nil"/>
              <w:left w:val="nil"/>
              <w:bottom w:val="nil"/>
              <w:right w:val="nil"/>
            </w:tcBorders>
          </w:tcPr>
          <w:p w14:paraId="4ABC302D" w14:textId="3874B759" w:rsidR="00DF49C6" w:rsidRDefault="00DF49C6" w:rsidP="003151A9">
            <w:pPr>
              <w:jc w:val="both"/>
              <w:rPr>
                <w:szCs w:val="24"/>
                <w:lang w:eastAsia="en-US"/>
              </w:rPr>
            </w:pPr>
            <w:r>
              <w:rPr>
                <w:color w:val="000000"/>
                <w:szCs w:val="24"/>
              </w:rPr>
              <w:t>periodické hodnotenie jadrovej bezpečnosti</w:t>
            </w:r>
          </w:p>
        </w:tc>
      </w:tr>
      <w:tr w:rsidR="00DF49C6" w:rsidRPr="00C13965" w14:paraId="57D1191E" w14:textId="77777777" w:rsidTr="009B7A77">
        <w:tc>
          <w:tcPr>
            <w:tcW w:w="2552" w:type="dxa"/>
            <w:tcBorders>
              <w:top w:val="nil"/>
              <w:left w:val="nil"/>
              <w:bottom w:val="nil"/>
              <w:right w:val="nil"/>
            </w:tcBorders>
          </w:tcPr>
          <w:p w14:paraId="640F61D1" w14:textId="5F48CF30" w:rsidR="00DF49C6" w:rsidRDefault="00DF49C6" w:rsidP="003151A9">
            <w:pPr>
              <w:jc w:val="both"/>
              <w:rPr>
                <w:szCs w:val="24"/>
                <w:lang w:eastAsia="en-US"/>
              </w:rPr>
            </w:pPr>
            <w:r>
              <w:rPr>
                <w:szCs w:val="24"/>
                <w:lang w:eastAsia="en-US"/>
              </w:rPr>
              <w:t>PS</w:t>
            </w:r>
          </w:p>
        </w:tc>
        <w:tc>
          <w:tcPr>
            <w:tcW w:w="7548" w:type="dxa"/>
            <w:tcBorders>
              <w:top w:val="nil"/>
              <w:left w:val="nil"/>
              <w:bottom w:val="nil"/>
              <w:right w:val="nil"/>
            </w:tcBorders>
          </w:tcPr>
          <w:p w14:paraId="3D288DB4" w14:textId="6E12EF0C" w:rsidR="00DF49C6" w:rsidRDefault="00DF49C6" w:rsidP="003151A9">
            <w:pPr>
              <w:jc w:val="both"/>
              <w:rPr>
                <w:szCs w:val="24"/>
                <w:lang w:eastAsia="en-US"/>
              </w:rPr>
            </w:pPr>
            <w:r>
              <w:rPr>
                <w:szCs w:val="24"/>
                <w:lang w:eastAsia="en-US"/>
              </w:rPr>
              <w:t>pracovná skupina</w:t>
            </w:r>
          </w:p>
        </w:tc>
      </w:tr>
      <w:tr w:rsidR="00DF49C6" w:rsidRPr="00C13965" w14:paraId="08C607FF" w14:textId="77777777" w:rsidTr="009B7A77">
        <w:tc>
          <w:tcPr>
            <w:tcW w:w="2552" w:type="dxa"/>
            <w:tcBorders>
              <w:top w:val="nil"/>
              <w:left w:val="nil"/>
              <w:bottom w:val="nil"/>
              <w:right w:val="nil"/>
            </w:tcBorders>
          </w:tcPr>
          <w:p w14:paraId="2F67B76A" w14:textId="583DFE87" w:rsidR="00DF49C6" w:rsidRDefault="00DF49C6" w:rsidP="003151A9">
            <w:pPr>
              <w:jc w:val="both"/>
              <w:rPr>
                <w:szCs w:val="24"/>
                <w:lang w:eastAsia="en-US"/>
              </w:rPr>
            </w:pPr>
            <w:r w:rsidRPr="00C13965">
              <w:rPr>
                <w:rStyle w:val="A9"/>
                <w:rFonts w:cs="Times New Roman"/>
                <w:sz w:val="24"/>
                <w:szCs w:val="24"/>
                <w:lang w:eastAsia="en-US"/>
              </w:rPr>
              <w:t>PSA</w:t>
            </w:r>
          </w:p>
        </w:tc>
        <w:tc>
          <w:tcPr>
            <w:tcW w:w="7548" w:type="dxa"/>
            <w:tcBorders>
              <w:top w:val="nil"/>
              <w:left w:val="nil"/>
              <w:bottom w:val="nil"/>
              <w:right w:val="nil"/>
            </w:tcBorders>
          </w:tcPr>
          <w:p w14:paraId="38F421EB" w14:textId="6E6041A4" w:rsidR="00DF49C6" w:rsidRDefault="00DF49C6" w:rsidP="006A1829">
            <w:pPr>
              <w:jc w:val="both"/>
              <w:rPr>
                <w:szCs w:val="24"/>
                <w:lang w:eastAsia="en-US"/>
              </w:rPr>
            </w:pPr>
            <w:r w:rsidRPr="00C13965">
              <w:rPr>
                <w:rStyle w:val="A9"/>
                <w:rFonts w:cs="Times New Roman"/>
                <w:sz w:val="24"/>
                <w:szCs w:val="24"/>
                <w:lang w:eastAsia="en-US"/>
              </w:rPr>
              <w:t>pravdepodobnostné hodnotenie bezpečnosti</w:t>
            </w:r>
          </w:p>
        </w:tc>
      </w:tr>
      <w:tr w:rsidR="00DF49C6" w:rsidRPr="00C13965" w14:paraId="2399DA80" w14:textId="77777777" w:rsidTr="00C13A84">
        <w:tc>
          <w:tcPr>
            <w:tcW w:w="2552" w:type="dxa"/>
            <w:tcBorders>
              <w:top w:val="nil"/>
              <w:left w:val="nil"/>
              <w:bottom w:val="nil"/>
              <w:right w:val="nil"/>
            </w:tcBorders>
            <w:hideMark/>
          </w:tcPr>
          <w:p w14:paraId="3B706C72" w14:textId="4383E25E" w:rsidR="00DF49C6" w:rsidRPr="00C13965" w:rsidRDefault="00DF49C6" w:rsidP="003151A9">
            <w:pPr>
              <w:jc w:val="both"/>
              <w:rPr>
                <w:szCs w:val="24"/>
                <w:lang w:eastAsia="en-US"/>
              </w:rPr>
            </w:pPr>
            <w:r w:rsidRPr="00C13965">
              <w:rPr>
                <w:rStyle w:val="A9"/>
                <w:rFonts w:cs="Times New Roman"/>
                <w:sz w:val="24"/>
                <w:szCs w:val="24"/>
                <w:lang w:eastAsia="en-US"/>
              </w:rPr>
              <w:t>PS ATO</w:t>
            </w:r>
          </w:p>
        </w:tc>
        <w:tc>
          <w:tcPr>
            <w:tcW w:w="7548" w:type="dxa"/>
            <w:tcBorders>
              <w:top w:val="nil"/>
              <w:left w:val="nil"/>
              <w:bottom w:val="nil"/>
              <w:right w:val="nil"/>
            </w:tcBorders>
            <w:hideMark/>
          </w:tcPr>
          <w:p w14:paraId="62FD1EF7" w14:textId="715206C9" w:rsidR="00DF49C6" w:rsidRPr="00C13965" w:rsidRDefault="00DF49C6" w:rsidP="003151A9">
            <w:pPr>
              <w:jc w:val="both"/>
              <w:rPr>
                <w:szCs w:val="24"/>
                <w:lang w:eastAsia="en-US"/>
              </w:rPr>
            </w:pPr>
            <w:r w:rsidRPr="00C13965">
              <w:rPr>
                <w:rStyle w:val="A9"/>
                <w:rFonts w:cs="Times New Roman"/>
                <w:sz w:val="24"/>
                <w:szCs w:val="24"/>
                <w:lang w:eastAsia="en-US"/>
              </w:rPr>
              <w:t>pracovná skupina pre atómové otázky v rámci EK</w:t>
            </w:r>
          </w:p>
        </w:tc>
      </w:tr>
      <w:tr w:rsidR="00DF49C6" w:rsidRPr="00C13965" w14:paraId="2385FB80" w14:textId="77777777" w:rsidTr="00C13A84">
        <w:tc>
          <w:tcPr>
            <w:tcW w:w="2552" w:type="dxa"/>
            <w:tcBorders>
              <w:top w:val="nil"/>
              <w:left w:val="nil"/>
              <w:bottom w:val="nil"/>
              <w:right w:val="nil"/>
            </w:tcBorders>
            <w:hideMark/>
          </w:tcPr>
          <w:p w14:paraId="60602223" w14:textId="63030BE2" w:rsidR="00DF49C6" w:rsidRPr="00C13965" w:rsidRDefault="00DF49C6" w:rsidP="003151A9">
            <w:pPr>
              <w:jc w:val="both"/>
              <w:rPr>
                <w:szCs w:val="24"/>
                <w:lang w:eastAsia="en-US"/>
              </w:rPr>
            </w:pPr>
            <w:r w:rsidRPr="00C13965">
              <w:rPr>
                <w:rStyle w:val="A9"/>
                <w:rFonts w:cs="Times New Roman"/>
                <w:sz w:val="24"/>
                <w:szCs w:val="24"/>
                <w:lang w:eastAsia="en-US"/>
              </w:rPr>
              <w:t>PU</w:t>
            </w:r>
          </w:p>
        </w:tc>
        <w:tc>
          <w:tcPr>
            <w:tcW w:w="7548" w:type="dxa"/>
            <w:tcBorders>
              <w:top w:val="nil"/>
              <w:left w:val="nil"/>
              <w:bottom w:val="nil"/>
              <w:right w:val="nil"/>
            </w:tcBorders>
            <w:hideMark/>
          </w:tcPr>
          <w:p w14:paraId="630A770C" w14:textId="1D1DBE7B" w:rsidR="00DF49C6" w:rsidRPr="00C13965" w:rsidRDefault="00DF49C6" w:rsidP="003151A9">
            <w:pPr>
              <w:jc w:val="both"/>
              <w:rPr>
                <w:szCs w:val="24"/>
                <w:lang w:eastAsia="en-US"/>
              </w:rPr>
            </w:pPr>
            <w:r w:rsidRPr="00C13965">
              <w:rPr>
                <w:rStyle w:val="A9"/>
                <w:rFonts w:cs="Times New Roman"/>
                <w:sz w:val="24"/>
                <w:szCs w:val="24"/>
                <w:lang w:eastAsia="en-US"/>
              </w:rPr>
              <w:t>prevádzková udalosť</w:t>
            </w:r>
          </w:p>
        </w:tc>
      </w:tr>
      <w:tr w:rsidR="00DF49C6" w:rsidRPr="00C13965" w14:paraId="266570C5" w14:textId="77777777" w:rsidTr="00C13A84">
        <w:tc>
          <w:tcPr>
            <w:tcW w:w="2552" w:type="dxa"/>
            <w:tcBorders>
              <w:top w:val="nil"/>
              <w:left w:val="nil"/>
              <w:bottom w:val="nil"/>
              <w:right w:val="nil"/>
            </w:tcBorders>
            <w:hideMark/>
          </w:tcPr>
          <w:p w14:paraId="660E25CE" w14:textId="2C52CD6D" w:rsidR="00DF49C6" w:rsidRPr="00C13965" w:rsidRDefault="00DF49C6" w:rsidP="00557839">
            <w:pPr>
              <w:jc w:val="both"/>
              <w:rPr>
                <w:szCs w:val="24"/>
                <w:lang w:eastAsia="en-US"/>
              </w:rPr>
            </w:pPr>
            <w:r w:rsidRPr="00C13965">
              <w:rPr>
                <w:rStyle w:val="A9"/>
                <w:rFonts w:cs="Times New Roman"/>
                <w:sz w:val="24"/>
                <w:szCs w:val="24"/>
                <w:lang w:eastAsia="en-US"/>
              </w:rPr>
              <w:t>RA</w:t>
            </w:r>
            <w:r>
              <w:rPr>
                <w:rStyle w:val="A9"/>
                <w:rFonts w:cs="Times New Roman"/>
                <w:sz w:val="24"/>
                <w:szCs w:val="24"/>
                <w:lang w:eastAsia="en-US"/>
              </w:rPr>
              <w:t>M</w:t>
            </w:r>
          </w:p>
        </w:tc>
        <w:tc>
          <w:tcPr>
            <w:tcW w:w="7548" w:type="dxa"/>
            <w:tcBorders>
              <w:top w:val="nil"/>
              <w:left w:val="nil"/>
              <w:bottom w:val="nil"/>
              <w:right w:val="nil"/>
            </w:tcBorders>
            <w:hideMark/>
          </w:tcPr>
          <w:p w14:paraId="47CD348A" w14:textId="26451974" w:rsidR="00DF49C6" w:rsidRPr="00C13965" w:rsidRDefault="00DF49C6" w:rsidP="00557839">
            <w:pPr>
              <w:jc w:val="both"/>
              <w:rPr>
                <w:szCs w:val="24"/>
                <w:lang w:eastAsia="en-US"/>
              </w:rPr>
            </w:pPr>
            <w:r w:rsidRPr="00C13965">
              <w:rPr>
                <w:rStyle w:val="A9"/>
                <w:rFonts w:cs="Times New Roman"/>
                <w:sz w:val="24"/>
                <w:szCs w:val="24"/>
                <w:lang w:eastAsia="en-US"/>
              </w:rPr>
              <w:t xml:space="preserve">rádioaktívny </w:t>
            </w:r>
            <w:r>
              <w:rPr>
                <w:rStyle w:val="A9"/>
                <w:rFonts w:cs="Times New Roman"/>
                <w:sz w:val="24"/>
                <w:szCs w:val="24"/>
                <w:lang w:eastAsia="en-US"/>
              </w:rPr>
              <w:t>m</w:t>
            </w:r>
            <w:r>
              <w:rPr>
                <w:rStyle w:val="A9"/>
                <w:rFonts w:cs="Times New Roman"/>
                <w:sz w:val="24"/>
              </w:rPr>
              <w:t>ateriál</w:t>
            </w:r>
          </w:p>
        </w:tc>
      </w:tr>
      <w:tr w:rsidR="00DF49C6" w:rsidRPr="00C13965" w14:paraId="47B684AA" w14:textId="77777777" w:rsidTr="00C13A84">
        <w:tc>
          <w:tcPr>
            <w:tcW w:w="2552" w:type="dxa"/>
            <w:tcBorders>
              <w:top w:val="nil"/>
              <w:left w:val="nil"/>
              <w:bottom w:val="nil"/>
              <w:right w:val="nil"/>
            </w:tcBorders>
          </w:tcPr>
          <w:p w14:paraId="1A069D43" w14:textId="27358F69"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RAO</w:t>
            </w:r>
          </w:p>
        </w:tc>
        <w:tc>
          <w:tcPr>
            <w:tcW w:w="7548" w:type="dxa"/>
            <w:tcBorders>
              <w:top w:val="nil"/>
              <w:left w:val="nil"/>
              <w:bottom w:val="nil"/>
              <w:right w:val="nil"/>
            </w:tcBorders>
          </w:tcPr>
          <w:p w14:paraId="0ACBCE50" w14:textId="35D1CE8D"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rádioaktívny odpad</w:t>
            </w:r>
          </w:p>
        </w:tc>
      </w:tr>
      <w:tr w:rsidR="00DF49C6" w:rsidRPr="00C13965" w14:paraId="00059E06" w14:textId="77777777" w:rsidTr="00C13A84">
        <w:tc>
          <w:tcPr>
            <w:tcW w:w="2552" w:type="dxa"/>
            <w:tcBorders>
              <w:top w:val="nil"/>
              <w:left w:val="nil"/>
              <w:bottom w:val="nil"/>
              <w:right w:val="nil"/>
            </w:tcBorders>
          </w:tcPr>
          <w:p w14:paraId="41EB2CF3" w14:textId="56EDCD5A" w:rsidR="00DF49C6" w:rsidRPr="00C13965" w:rsidRDefault="00DF49C6" w:rsidP="003151A9">
            <w:pPr>
              <w:jc w:val="both"/>
              <w:rPr>
                <w:rStyle w:val="A9"/>
                <w:rFonts w:cs="Times New Roman"/>
                <w:sz w:val="24"/>
                <w:szCs w:val="24"/>
                <w:lang w:eastAsia="en-US"/>
              </w:rPr>
            </w:pPr>
            <w:r w:rsidRPr="006634D6">
              <w:t>RHWG</w:t>
            </w:r>
          </w:p>
        </w:tc>
        <w:tc>
          <w:tcPr>
            <w:tcW w:w="7548" w:type="dxa"/>
            <w:tcBorders>
              <w:top w:val="nil"/>
              <w:left w:val="nil"/>
              <w:bottom w:val="nil"/>
              <w:right w:val="nil"/>
            </w:tcBorders>
          </w:tcPr>
          <w:p w14:paraId="76283852" w14:textId="2023D0D7" w:rsidR="00DF49C6" w:rsidRPr="00C13965" w:rsidRDefault="00DF49C6" w:rsidP="003151A9">
            <w:pPr>
              <w:jc w:val="both"/>
              <w:rPr>
                <w:rStyle w:val="A9"/>
                <w:rFonts w:cs="Times New Roman"/>
                <w:sz w:val="24"/>
                <w:szCs w:val="24"/>
                <w:lang w:eastAsia="en-US"/>
              </w:rPr>
            </w:pPr>
            <w:r w:rsidRPr="006634D6">
              <w:t>PS pre harmonizáciu požiadaviek na bezpečnosť jadrových reaktorov</w:t>
            </w:r>
          </w:p>
        </w:tc>
      </w:tr>
      <w:tr w:rsidR="00DF49C6" w:rsidRPr="00C13965" w14:paraId="5A14E621" w14:textId="77777777" w:rsidTr="00C13A84">
        <w:tc>
          <w:tcPr>
            <w:tcW w:w="2552" w:type="dxa"/>
            <w:tcBorders>
              <w:top w:val="nil"/>
              <w:left w:val="nil"/>
              <w:bottom w:val="nil"/>
              <w:right w:val="nil"/>
            </w:tcBorders>
          </w:tcPr>
          <w:p w14:paraId="182F34DA" w14:textId="05B3AA63" w:rsidR="00DF49C6" w:rsidRPr="00C13965" w:rsidRDefault="00DF49C6" w:rsidP="003151A9">
            <w:pPr>
              <w:jc w:val="both"/>
              <w:rPr>
                <w:rStyle w:val="A9"/>
                <w:rFonts w:cs="Times New Roman"/>
                <w:sz w:val="24"/>
                <w:szCs w:val="24"/>
                <w:lang w:eastAsia="en-US"/>
              </w:rPr>
            </w:pPr>
            <w:r>
              <w:rPr>
                <w:rStyle w:val="A9"/>
                <w:rFonts w:cs="Times New Roman"/>
                <w:sz w:val="24"/>
                <w:szCs w:val="24"/>
                <w:lang w:eastAsia="en-US"/>
              </w:rPr>
              <w:t>R</w:t>
            </w:r>
            <w:r>
              <w:rPr>
                <w:rStyle w:val="A9"/>
                <w:rFonts w:cs="Times New Roman"/>
                <w:sz w:val="24"/>
                <w:szCs w:val="24"/>
              </w:rPr>
              <w:t>U</w:t>
            </w:r>
          </w:p>
        </w:tc>
        <w:tc>
          <w:tcPr>
            <w:tcW w:w="7548" w:type="dxa"/>
            <w:tcBorders>
              <w:top w:val="nil"/>
              <w:left w:val="nil"/>
              <w:bottom w:val="nil"/>
              <w:right w:val="nil"/>
            </w:tcBorders>
          </w:tcPr>
          <w:p w14:paraId="660B49A3" w14:textId="7D9CD004" w:rsidR="00DF49C6" w:rsidRPr="00C13965" w:rsidRDefault="00DF49C6" w:rsidP="003151A9">
            <w:pPr>
              <w:jc w:val="both"/>
              <w:rPr>
                <w:rStyle w:val="A9"/>
                <w:rFonts w:cs="Times New Roman"/>
                <w:sz w:val="24"/>
                <w:szCs w:val="24"/>
                <w:lang w:eastAsia="en-US"/>
              </w:rPr>
            </w:pPr>
            <w:r>
              <w:rPr>
                <w:rStyle w:val="A9"/>
                <w:rFonts w:cs="Times New Roman"/>
                <w:sz w:val="24"/>
                <w:szCs w:val="24"/>
                <w:lang w:eastAsia="en-US"/>
              </w:rPr>
              <w:t>R</w:t>
            </w:r>
            <w:r>
              <w:rPr>
                <w:rStyle w:val="A9"/>
                <w:rFonts w:cs="Times New Roman"/>
                <w:sz w:val="24"/>
                <w:szCs w:val="24"/>
              </w:rPr>
              <w:t>usko</w:t>
            </w:r>
          </w:p>
        </w:tc>
      </w:tr>
      <w:tr w:rsidR="00DF49C6" w:rsidRPr="00C13965" w14:paraId="1BC54882" w14:textId="77777777" w:rsidTr="00C13A84">
        <w:tc>
          <w:tcPr>
            <w:tcW w:w="2552" w:type="dxa"/>
            <w:tcBorders>
              <w:top w:val="nil"/>
              <w:left w:val="nil"/>
              <w:bottom w:val="nil"/>
              <w:right w:val="nil"/>
            </w:tcBorders>
          </w:tcPr>
          <w:p w14:paraId="7662A232" w14:textId="06BE835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RÚ RAO</w:t>
            </w:r>
          </w:p>
        </w:tc>
        <w:tc>
          <w:tcPr>
            <w:tcW w:w="7548" w:type="dxa"/>
            <w:tcBorders>
              <w:top w:val="nil"/>
              <w:left w:val="nil"/>
              <w:bottom w:val="nil"/>
              <w:right w:val="nil"/>
            </w:tcBorders>
          </w:tcPr>
          <w:p w14:paraId="40F540D7" w14:textId="7134444B"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Republikové úložisko RAO</w:t>
            </w:r>
          </w:p>
        </w:tc>
      </w:tr>
      <w:tr w:rsidR="00DF49C6" w:rsidRPr="00C13965" w14:paraId="1D01ED73" w14:textId="77777777" w:rsidTr="00C13A84">
        <w:tc>
          <w:tcPr>
            <w:tcW w:w="2552" w:type="dxa"/>
            <w:tcBorders>
              <w:top w:val="nil"/>
              <w:left w:val="nil"/>
              <w:bottom w:val="nil"/>
              <w:right w:val="nil"/>
            </w:tcBorders>
            <w:hideMark/>
          </w:tcPr>
          <w:p w14:paraId="43687B99" w14:textId="4073F7BC" w:rsidR="00DF49C6" w:rsidRPr="00C13965" w:rsidRDefault="00DF49C6" w:rsidP="003151A9">
            <w:pPr>
              <w:jc w:val="both"/>
              <w:rPr>
                <w:szCs w:val="24"/>
                <w:lang w:eastAsia="en-US"/>
              </w:rPr>
            </w:pPr>
            <w:r>
              <w:rPr>
                <w:rStyle w:val="A9"/>
                <w:rFonts w:cs="Times New Roman"/>
                <w:sz w:val="24"/>
                <w:szCs w:val="24"/>
                <w:lang w:eastAsia="en-US"/>
              </w:rPr>
              <w:t>R</w:t>
            </w:r>
            <w:r>
              <w:rPr>
                <w:rStyle w:val="A9"/>
                <w:rFonts w:cs="Times New Roman"/>
                <w:sz w:val="24"/>
              </w:rPr>
              <w:t>V</w:t>
            </w:r>
          </w:p>
        </w:tc>
        <w:tc>
          <w:tcPr>
            <w:tcW w:w="7548" w:type="dxa"/>
            <w:tcBorders>
              <w:top w:val="nil"/>
              <w:left w:val="nil"/>
              <w:bottom w:val="nil"/>
              <w:right w:val="nil"/>
            </w:tcBorders>
            <w:hideMark/>
          </w:tcPr>
          <w:p w14:paraId="1A5A808A" w14:textId="0FBE3EFA" w:rsidR="00DF49C6" w:rsidRPr="00C13965" w:rsidRDefault="00DF49C6" w:rsidP="003151A9">
            <w:pPr>
              <w:jc w:val="both"/>
              <w:rPr>
                <w:szCs w:val="24"/>
                <w:lang w:eastAsia="en-US"/>
              </w:rPr>
            </w:pPr>
            <w:r>
              <w:rPr>
                <w:rStyle w:val="A9"/>
                <w:rFonts w:cs="Times New Roman"/>
                <w:sz w:val="24"/>
              </w:rPr>
              <w:t>riadiaci výbor</w:t>
            </w:r>
          </w:p>
        </w:tc>
      </w:tr>
      <w:tr w:rsidR="00DF49C6" w:rsidRPr="00C13965" w14:paraId="6F0FEE54" w14:textId="77777777" w:rsidTr="00C13A84">
        <w:tc>
          <w:tcPr>
            <w:tcW w:w="2552" w:type="dxa"/>
            <w:tcBorders>
              <w:top w:val="nil"/>
              <w:left w:val="nil"/>
              <w:bottom w:val="nil"/>
              <w:right w:val="nil"/>
            </w:tcBorders>
          </w:tcPr>
          <w:p w14:paraId="44E8179B" w14:textId="0421BDB6" w:rsidR="00DF49C6" w:rsidRPr="00C13965" w:rsidRDefault="00DF49C6" w:rsidP="003151A9">
            <w:pPr>
              <w:jc w:val="both"/>
              <w:rPr>
                <w:rStyle w:val="A9"/>
                <w:rFonts w:cs="Times New Roman"/>
                <w:sz w:val="24"/>
                <w:szCs w:val="24"/>
                <w:lang w:eastAsia="en-US"/>
              </w:rPr>
            </w:pPr>
            <w:r>
              <w:rPr>
                <w:rStyle w:val="A9"/>
                <w:rFonts w:cs="Times New Roman"/>
                <w:sz w:val="24"/>
                <w:szCs w:val="24"/>
                <w:lang w:eastAsia="en-US"/>
              </w:rPr>
              <w:t>SAV</w:t>
            </w:r>
          </w:p>
        </w:tc>
        <w:tc>
          <w:tcPr>
            <w:tcW w:w="7548" w:type="dxa"/>
            <w:tcBorders>
              <w:top w:val="nil"/>
              <w:left w:val="nil"/>
              <w:bottom w:val="nil"/>
              <w:right w:val="nil"/>
            </w:tcBorders>
          </w:tcPr>
          <w:p w14:paraId="16DE73DF" w14:textId="1251EB22" w:rsidR="00DF49C6" w:rsidRPr="00C13965" w:rsidRDefault="00DF49C6" w:rsidP="003151A9">
            <w:pPr>
              <w:jc w:val="both"/>
              <w:rPr>
                <w:rStyle w:val="A9"/>
                <w:rFonts w:cs="Times New Roman"/>
                <w:sz w:val="24"/>
                <w:szCs w:val="24"/>
                <w:lang w:eastAsia="en-US"/>
              </w:rPr>
            </w:pPr>
            <w:r>
              <w:rPr>
                <w:rFonts w:eastAsia="Calibri"/>
                <w:bCs/>
                <w:szCs w:val="24"/>
              </w:rPr>
              <w:t>Slovenská akadémia vied</w:t>
            </w:r>
          </w:p>
        </w:tc>
      </w:tr>
      <w:tr w:rsidR="00DF49C6" w:rsidRPr="00C13965" w14:paraId="13A4E24F" w14:textId="77777777" w:rsidTr="00C13A84">
        <w:tc>
          <w:tcPr>
            <w:tcW w:w="2552" w:type="dxa"/>
            <w:tcBorders>
              <w:top w:val="nil"/>
              <w:left w:val="nil"/>
              <w:bottom w:val="nil"/>
              <w:right w:val="nil"/>
            </w:tcBorders>
          </w:tcPr>
          <w:p w14:paraId="14AC98A4" w14:textId="49B4F4BC" w:rsidR="00DF49C6" w:rsidRDefault="00DF49C6" w:rsidP="003151A9">
            <w:pPr>
              <w:jc w:val="both"/>
              <w:rPr>
                <w:rStyle w:val="A9"/>
                <w:rFonts w:cs="Times New Roman"/>
                <w:sz w:val="24"/>
                <w:szCs w:val="24"/>
                <w:lang w:eastAsia="en-US"/>
              </w:rPr>
            </w:pPr>
            <w:r w:rsidRPr="00C13965">
              <w:rPr>
                <w:rStyle w:val="A9"/>
                <w:rFonts w:cs="Times New Roman"/>
                <w:sz w:val="24"/>
                <w:szCs w:val="24"/>
                <w:lang w:eastAsia="en-US"/>
              </w:rPr>
              <w:t>SE, a. s.</w:t>
            </w:r>
          </w:p>
        </w:tc>
        <w:tc>
          <w:tcPr>
            <w:tcW w:w="7548" w:type="dxa"/>
            <w:tcBorders>
              <w:top w:val="nil"/>
              <w:left w:val="nil"/>
              <w:bottom w:val="nil"/>
              <w:right w:val="nil"/>
            </w:tcBorders>
          </w:tcPr>
          <w:p w14:paraId="3C68983B" w14:textId="13CCCA1D" w:rsidR="00DF49C6" w:rsidRDefault="00DF49C6" w:rsidP="003151A9">
            <w:pPr>
              <w:jc w:val="both"/>
              <w:rPr>
                <w:rStyle w:val="A9"/>
                <w:rFonts w:cs="Times New Roman"/>
                <w:sz w:val="24"/>
              </w:rPr>
            </w:pPr>
            <w:r w:rsidRPr="00C13965">
              <w:rPr>
                <w:rStyle w:val="A9"/>
                <w:rFonts w:cs="Times New Roman"/>
                <w:sz w:val="24"/>
                <w:szCs w:val="24"/>
                <w:lang w:eastAsia="en-US"/>
              </w:rPr>
              <w:t>Slovenské elektrárne, a. s.</w:t>
            </w:r>
          </w:p>
        </w:tc>
      </w:tr>
      <w:tr w:rsidR="00DF49C6" w:rsidRPr="00C13965" w14:paraId="5226DCE0" w14:textId="77777777" w:rsidTr="00690672">
        <w:tc>
          <w:tcPr>
            <w:tcW w:w="2552" w:type="dxa"/>
            <w:tcBorders>
              <w:top w:val="nil"/>
              <w:left w:val="nil"/>
              <w:bottom w:val="nil"/>
              <w:right w:val="nil"/>
            </w:tcBorders>
            <w:hideMark/>
          </w:tcPr>
          <w:p w14:paraId="0AC31C48" w14:textId="6B99F342" w:rsidR="00DF49C6" w:rsidRPr="00C13965" w:rsidRDefault="00DF49C6" w:rsidP="00690672">
            <w:pPr>
              <w:jc w:val="both"/>
              <w:rPr>
                <w:rStyle w:val="A9"/>
                <w:rFonts w:cs="Times New Roman"/>
                <w:sz w:val="24"/>
                <w:szCs w:val="24"/>
              </w:rPr>
            </w:pPr>
            <w:r>
              <w:rPr>
                <w:szCs w:val="24"/>
                <w:lang w:eastAsia="en-US"/>
              </w:rPr>
              <w:t>SE PRES</w:t>
            </w:r>
          </w:p>
        </w:tc>
        <w:tc>
          <w:tcPr>
            <w:tcW w:w="7548" w:type="dxa"/>
            <w:tcBorders>
              <w:top w:val="nil"/>
              <w:left w:val="nil"/>
              <w:bottom w:val="nil"/>
              <w:right w:val="nil"/>
            </w:tcBorders>
            <w:hideMark/>
          </w:tcPr>
          <w:p w14:paraId="7A20AA01" w14:textId="481EE57E" w:rsidR="00DF49C6" w:rsidRPr="00C13965" w:rsidRDefault="00DF49C6" w:rsidP="00690672">
            <w:pPr>
              <w:jc w:val="both"/>
              <w:rPr>
                <w:rStyle w:val="A9"/>
                <w:rFonts w:cs="Times New Roman"/>
                <w:sz w:val="24"/>
                <w:szCs w:val="24"/>
              </w:rPr>
            </w:pPr>
            <w:r>
              <w:rPr>
                <w:rStyle w:val="A9"/>
                <w:rFonts w:cs="Times New Roman"/>
                <w:sz w:val="24"/>
                <w:szCs w:val="24"/>
              </w:rPr>
              <w:t xml:space="preserve">švédske </w:t>
            </w:r>
            <w:r w:rsidRPr="000220AC">
              <w:rPr>
                <w:rStyle w:val="A9"/>
                <w:rFonts w:cs="Times New Roman"/>
                <w:sz w:val="24"/>
                <w:szCs w:val="24"/>
                <w:lang w:eastAsia="en-US"/>
              </w:rPr>
              <w:t>predsedníctvo Rady EÚ</w:t>
            </w:r>
          </w:p>
        </w:tc>
      </w:tr>
      <w:tr w:rsidR="00DF49C6" w:rsidRPr="00C13965" w14:paraId="282398B7" w14:textId="77777777" w:rsidTr="00C13A84">
        <w:tc>
          <w:tcPr>
            <w:tcW w:w="2552" w:type="dxa"/>
            <w:tcBorders>
              <w:top w:val="nil"/>
              <w:left w:val="nil"/>
              <w:bottom w:val="nil"/>
              <w:right w:val="nil"/>
            </w:tcBorders>
          </w:tcPr>
          <w:p w14:paraId="21803EB6" w14:textId="7891943E" w:rsidR="00DF49C6" w:rsidRPr="00C13965" w:rsidRDefault="00DF49C6" w:rsidP="003151A9">
            <w:pPr>
              <w:jc w:val="both"/>
              <w:rPr>
                <w:szCs w:val="24"/>
                <w:lang w:eastAsia="en-US"/>
              </w:rPr>
            </w:pPr>
            <w:r w:rsidRPr="00C13965">
              <w:rPr>
                <w:szCs w:val="24"/>
                <w:lang w:eastAsia="en-US"/>
              </w:rPr>
              <w:t>SHNČ</w:t>
            </w:r>
          </w:p>
        </w:tc>
        <w:tc>
          <w:tcPr>
            <w:tcW w:w="7548" w:type="dxa"/>
            <w:tcBorders>
              <w:top w:val="nil"/>
              <w:left w:val="nil"/>
              <w:bottom w:val="nil"/>
              <w:right w:val="nil"/>
            </w:tcBorders>
          </w:tcPr>
          <w:p w14:paraId="4FF293F9" w14:textId="51F4258F" w:rsidR="00DF49C6" w:rsidRPr="00C13965" w:rsidRDefault="00DF49C6" w:rsidP="003151A9">
            <w:pPr>
              <w:jc w:val="both"/>
              <w:rPr>
                <w:szCs w:val="24"/>
                <w:lang w:eastAsia="en-US"/>
              </w:rPr>
            </w:pPr>
            <w:r w:rsidRPr="00C13965">
              <w:rPr>
                <w:szCs w:val="24"/>
                <w:lang w:eastAsia="en-US"/>
              </w:rPr>
              <w:t xml:space="preserve">čerpadlá </w:t>
            </w:r>
            <w:proofErr w:type="spellStart"/>
            <w:r w:rsidRPr="00C13965">
              <w:rPr>
                <w:szCs w:val="24"/>
                <w:lang w:eastAsia="en-US"/>
              </w:rPr>
              <w:t>superhavarijného</w:t>
            </w:r>
            <w:proofErr w:type="spellEnd"/>
            <w:r w:rsidRPr="00C13965">
              <w:rPr>
                <w:szCs w:val="24"/>
                <w:lang w:eastAsia="en-US"/>
              </w:rPr>
              <w:t xml:space="preserve"> systému napájania parogenerátorov</w:t>
            </w:r>
          </w:p>
        </w:tc>
      </w:tr>
      <w:tr w:rsidR="00DF49C6" w:rsidRPr="00C13965" w14:paraId="76BE22F9" w14:textId="77777777" w:rsidTr="00C13A84">
        <w:tc>
          <w:tcPr>
            <w:tcW w:w="2552" w:type="dxa"/>
            <w:tcBorders>
              <w:top w:val="nil"/>
              <w:left w:val="nil"/>
              <w:bottom w:val="nil"/>
              <w:right w:val="nil"/>
            </w:tcBorders>
            <w:hideMark/>
          </w:tcPr>
          <w:p w14:paraId="496B0F4E" w14:textId="070D90D1" w:rsidR="00DF49C6" w:rsidRPr="00C13965" w:rsidRDefault="00DF49C6" w:rsidP="003151A9">
            <w:pPr>
              <w:jc w:val="both"/>
              <w:rPr>
                <w:szCs w:val="24"/>
                <w:lang w:eastAsia="en-US"/>
              </w:rPr>
            </w:pPr>
            <w:r w:rsidRPr="000B0F69">
              <w:t>SNRIU</w:t>
            </w:r>
          </w:p>
        </w:tc>
        <w:tc>
          <w:tcPr>
            <w:tcW w:w="7548" w:type="dxa"/>
            <w:tcBorders>
              <w:top w:val="nil"/>
              <w:left w:val="nil"/>
              <w:bottom w:val="nil"/>
              <w:right w:val="nil"/>
            </w:tcBorders>
            <w:hideMark/>
          </w:tcPr>
          <w:p w14:paraId="2B36F768" w14:textId="01C52B76" w:rsidR="00DF49C6" w:rsidRPr="00C13965" w:rsidRDefault="00DF49C6" w:rsidP="003151A9">
            <w:pPr>
              <w:jc w:val="both"/>
              <w:rPr>
                <w:szCs w:val="24"/>
                <w:lang w:eastAsia="en-US"/>
              </w:rPr>
            </w:pPr>
            <w:r w:rsidRPr="000B0F69">
              <w:t>ukrajinský dozorný orgán nad jadrovou a radiačnou bezpečnosťou</w:t>
            </w:r>
          </w:p>
        </w:tc>
      </w:tr>
      <w:tr w:rsidR="000C4534" w:rsidRPr="00C13965" w14:paraId="0A8DF8AB" w14:textId="77777777" w:rsidTr="00C13A84">
        <w:tc>
          <w:tcPr>
            <w:tcW w:w="2552" w:type="dxa"/>
            <w:tcBorders>
              <w:top w:val="nil"/>
              <w:left w:val="nil"/>
              <w:bottom w:val="nil"/>
              <w:right w:val="nil"/>
            </w:tcBorders>
          </w:tcPr>
          <w:p w14:paraId="2413E526" w14:textId="25FBCD9F" w:rsidR="000C4534" w:rsidRPr="00C13965" w:rsidRDefault="000C4534" w:rsidP="003151A9">
            <w:pPr>
              <w:jc w:val="both"/>
              <w:rPr>
                <w:szCs w:val="24"/>
                <w:lang w:eastAsia="en-US"/>
              </w:rPr>
            </w:pPr>
            <w:proofErr w:type="spellStart"/>
            <w:r>
              <w:rPr>
                <w:szCs w:val="24"/>
                <w:lang w:eastAsia="en-US"/>
              </w:rPr>
              <w:t>SnT</w:t>
            </w:r>
            <w:proofErr w:type="spellEnd"/>
          </w:p>
        </w:tc>
        <w:tc>
          <w:tcPr>
            <w:tcW w:w="7548" w:type="dxa"/>
            <w:tcBorders>
              <w:top w:val="nil"/>
              <w:left w:val="nil"/>
              <w:bottom w:val="nil"/>
              <w:right w:val="nil"/>
            </w:tcBorders>
          </w:tcPr>
          <w:p w14:paraId="2A4A96F5" w14:textId="714F65E2" w:rsidR="000C4534" w:rsidRPr="00C13965" w:rsidRDefault="000C4534" w:rsidP="003151A9">
            <w:pPr>
              <w:jc w:val="both"/>
              <w:rPr>
                <w:szCs w:val="24"/>
                <w:lang w:eastAsia="en-US"/>
              </w:rPr>
            </w:pPr>
            <w:proofErr w:type="spellStart"/>
            <w:r>
              <w:t>Science</w:t>
            </w:r>
            <w:proofErr w:type="spellEnd"/>
            <w:r>
              <w:t xml:space="preserve"> and </w:t>
            </w:r>
            <w:proofErr w:type="spellStart"/>
            <w:r>
              <w:t>Technology</w:t>
            </w:r>
            <w:proofErr w:type="spellEnd"/>
            <w:r>
              <w:t xml:space="preserve"> </w:t>
            </w:r>
            <w:proofErr w:type="spellStart"/>
            <w:r>
              <w:t>Conference</w:t>
            </w:r>
            <w:proofErr w:type="spellEnd"/>
            <w:r>
              <w:t xml:space="preserve"> </w:t>
            </w:r>
          </w:p>
        </w:tc>
      </w:tr>
      <w:tr w:rsidR="00DF49C6" w:rsidRPr="00C13965" w14:paraId="4741DBD4" w14:textId="77777777" w:rsidTr="00C13A84">
        <w:tc>
          <w:tcPr>
            <w:tcW w:w="2552" w:type="dxa"/>
            <w:tcBorders>
              <w:top w:val="nil"/>
              <w:left w:val="nil"/>
              <w:bottom w:val="nil"/>
              <w:right w:val="nil"/>
            </w:tcBorders>
          </w:tcPr>
          <w:p w14:paraId="1A1E23B6" w14:textId="0254321A" w:rsidR="00DF49C6" w:rsidRPr="00C13965" w:rsidRDefault="00DF49C6" w:rsidP="003151A9">
            <w:pPr>
              <w:jc w:val="both"/>
              <w:rPr>
                <w:rStyle w:val="A9"/>
                <w:rFonts w:cs="Times New Roman"/>
                <w:sz w:val="24"/>
                <w:szCs w:val="24"/>
                <w:lang w:eastAsia="en-US"/>
              </w:rPr>
            </w:pPr>
            <w:r w:rsidRPr="00C13965">
              <w:rPr>
                <w:szCs w:val="24"/>
                <w:lang w:eastAsia="en-US"/>
              </w:rPr>
              <w:t>SNUS</w:t>
            </w:r>
          </w:p>
        </w:tc>
        <w:tc>
          <w:tcPr>
            <w:tcW w:w="7548" w:type="dxa"/>
            <w:tcBorders>
              <w:top w:val="nil"/>
              <w:left w:val="nil"/>
              <w:bottom w:val="nil"/>
              <w:right w:val="nil"/>
            </w:tcBorders>
          </w:tcPr>
          <w:p w14:paraId="114CB82A" w14:textId="32C3824E" w:rsidR="00DF49C6" w:rsidRPr="00C13965" w:rsidRDefault="00DF49C6" w:rsidP="003151A9">
            <w:pPr>
              <w:jc w:val="both"/>
              <w:rPr>
                <w:rStyle w:val="A9"/>
                <w:rFonts w:cs="Times New Roman"/>
                <w:sz w:val="24"/>
                <w:szCs w:val="24"/>
                <w:lang w:eastAsia="en-US"/>
              </w:rPr>
            </w:pPr>
            <w:r w:rsidRPr="00C13965">
              <w:rPr>
                <w:szCs w:val="24"/>
                <w:lang w:eastAsia="en-US"/>
              </w:rPr>
              <w:t>Slovenská nukleárna spoločnosť</w:t>
            </w:r>
          </w:p>
        </w:tc>
      </w:tr>
      <w:tr w:rsidR="00DF49C6" w:rsidRPr="00C13965" w14:paraId="7DD55418" w14:textId="77777777" w:rsidTr="00C13A84">
        <w:tc>
          <w:tcPr>
            <w:tcW w:w="2552" w:type="dxa"/>
            <w:tcBorders>
              <w:top w:val="nil"/>
              <w:left w:val="nil"/>
              <w:bottom w:val="nil"/>
              <w:right w:val="nil"/>
            </w:tcBorders>
            <w:hideMark/>
          </w:tcPr>
          <w:p w14:paraId="7750B49F" w14:textId="4503A5E7"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SR</w:t>
            </w:r>
          </w:p>
        </w:tc>
        <w:tc>
          <w:tcPr>
            <w:tcW w:w="7548" w:type="dxa"/>
            <w:tcBorders>
              <w:top w:val="nil"/>
              <w:left w:val="nil"/>
              <w:bottom w:val="nil"/>
              <w:right w:val="nil"/>
            </w:tcBorders>
            <w:hideMark/>
          </w:tcPr>
          <w:p w14:paraId="6E2E35DD" w14:textId="0383235C"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Slovenská republika</w:t>
            </w:r>
          </w:p>
        </w:tc>
      </w:tr>
      <w:tr w:rsidR="00DF49C6" w:rsidRPr="00C13965" w14:paraId="06F26C10" w14:textId="77777777" w:rsidTr="00C13A84">
        <w:tc>
          <w:tcPr>
            <w:tcW w:w="2552" w:type="dxa"/>
            <w:tcBorders>
              <w:top w:val="nil"/>
              <w:left w:val="nil"/>
              <w:bottom w:val="nil"/>
              <w:right w:val="nil"/>
            </w:tcBorders>
            <w:hideMark/>
          </w:tcPr>
          <w:p w14:paraId="7C0823D0" w14:textId="1032252E" w:rsidR="00DF49C6" w:rsidRPr="00C13965" w:rsidRDefault="00DF49C6" w:rsidP="003151A9">
            <w:pPr>
              <w:jc w:val="both"/>
              <w:rPr>
                <w:rStyle w:val="A9"/>
                <w:rFonts w:cs="Times New Roman"/>
                <w:sz w:val="24"/>
                <w:szCs w:val="24"/>
              </w:rPr>
            </w:pPr>
            <w:r>
              <w:rPr>
                <w:rStyle w:val="A9"/>
                <w:rFonts w:cs="Times New Roman"/>
                <w:sz w:val="24"/>
                <w:szCs w:val="24"/>
                <w:lang w:eastAsia="en-US"/>
              </w:rPr>
              <w:t>SZ</w:t>
            </w:r>
          </w:p>
        </w:tc>
        <w:tc>
          <w:tcPr>
            <w:tcW w:w="7548" w:type="dxa"/>
            <w:tcBorders>
              <w:top w:val="nil"/>
              <w:left w:val="nil"/>
              <w:bottom w:val="nil"/>
              <w:right w:val="nil"/>
            </w:tcBorders>
            <w:hideMark/>
          </w:tcPr>
          <w:p w14:paraId="5F52CF95" w14:textId="33B12E3F" w:rsidR="00DF49C6" w:rsidRPr="00C13965" w:rsidRDefault="00DF49C6" w:rsidP="003151A9">
            <w:pPr>
              <w:jc w:val="both"/>
              <w:rPr>
                <w:rStyle w:val="A9"/>
                <w:rFonts w:cs="Times New Roman"/>
                <w:sz w:val="24"/>
                <w:szCs w:val="24"/>
              </w:rPr>
            </w:pPr>
            <w:r>
              <w:rPr>
                <w:rStyle w:val="A9"/>
                <w:rFonts w:cs="Times New Roman"/>
                <w:sz w:val="24"/>
                <w:szCs w:val="24"/>
                <w:lang w:eastAsia="en-US"/>
              </w:rPr>
              <w:t>stále zastúpenie</w:t>
            </w:r>
          </w:p>
        </w:tc>
      </w:tr>
      <w:tr w:rsidR="00DF49C6" w:rsidRPr="00C13965" w14:paraId="5F18E1C1" w14:textId="77777777" w:rsidTr="00C13A84">
        <w:tc>
          <w:tcPr>
            <w:tcW w:w="2552" w:type="dxa"/>
            <w:tcBorders>
              <w:top w:val="nil"/>
              <w:left w:val="nil"/>
              <w:bottom w:val="nil"/>
              <w:right w:val="nil"/>
            </w:tcBorders>
          </w:tcPr>
          <w:p w14:paraId="6939706C" w14:textId="30EA97D9"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TSÚ RAO</w:t>
            </w:r>
          </w:p>
        </w:tc>
        <w:tc>
          <w:tcPr>
            <w:tcW w:w="7548" w:type="dxa"/>
            <w:tcBorders>
              <w:top w:val="nil"/>
              <w:left w:val="nil"/>
              <w:bottom w:val="nil"/>
              <w:right w:val="nil"/>
            </w:tcBorders>
          </w:tcPr>
          <w:p w14:paraId="5B9ADCE3" w14:textId="787DD5F2"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Technológie na spracovanie a úpravu RAO</w:t>
            </w:r>
          </w:p>
        </w:tc>
      </w:tr>
      <w:tr w:rsidR="00DF49C6" w:rsidRPr="00C13965" w14:paraId="6C1A21B0" w14:textId="77777777" w:rsidTr="00C13A84">
        <w:tc>
          <w:tcPr>
            <w:tcW w:w="2552" w:type="dxa"/>
            <w:tcBorders>
              <w:top w:val="nil"/>
              <w:left w:val="nil"/>
              <w:bottom w:val="nil"/>
              <w:right w:val="nil"/>
            </w:tcBorders>
            <w:hideMark/>
          </w:tcPr>
          <w:p w14:paraId="50CEADDD" w14:textId="39CB6E3F" w:rsidR="00DF49C6" w:rsidRPr="00C13965" w:rsidRDefault="00DF49C6" w:rsidP="003151A9">
            <w:pPr>
              <w:jc w:val="both"/>
              <w:rPr>
                <w:rStyle w:val="A9"/>
                <w:rFonts w:cs="Times New Roman"/>
                <w:sz w:val="24"/>
                <w:szCs w:val="24"/>
              </w:rPr>
            </w:pPr>
            <w:r>
              <w:rPr>
                <w:rStyle w:val="A9"/>
                <w:rFonts w:cs="Times New Roman"/>
                <w:sz w:val="24"/>
                <w:szCs w:val="24"/>
                <w:lang w:eastAsia="en-US"/>
              </w:rPr>
              <w:t>UA</w:t>
            </w:r>
          </w:p>
        </w:tc>
        <w:tc>
          <w:tcPr>
            <w:tcW w:w="7548" w:type="dxa"/>
            <w:tcBorders>
              <w:top w:val="nil"/>
              <w:left w:val="nil"/>
              <w:bottom w:val="nil"/>
              <w:right w:val="nil"/>
            </w:tcBorders>
            <w:hideMark/>
          </w:tcPr>
          <w:p w14:paraId="23F0E8A7" w14:textId="64804D7D" w:rsidR="00DF49C6" w:rsidRPr="00C13965" w:rsidRDefault="00DF49C6" w:rsidP="003151A9">
            <w:pPr>
              <w:jc w:val="both"/>
              <w:rPr>
                <w:rStyle w:val="A9"/>
                <w:rFonts w:cs="Times New Roman"/>
                <w:sz w:val="24"/>
                <w:szCs w:val="24"/>
              </w:rPr>
            </w:pPr>
            <w:r>
              <w:rPr>
                <w:rStyle w:val="A9"/>
                <w:rFonts w:cs="Times New Roman"/>
                <w:sz w:val="24"/>
                <w:szCs w:val="24"/>
                <w:lang w:eastAsia="en-US"/>
              </w:rPr>
              <w:t>Ukrajina</w:t>
            </w:r>
          </w:p>
        </w:tc>
      </w:tr>
      <w:tr w:rsidR="00DF49C6" w:rsidRPr="00C13965" w14:paraId="7D56CCC9" w14:textId="77777777" w:rsidTr="00C13A84">
        <w:tc>
          <w:tcPr>
            <w:tcW w:w="2552" w:type="dxa"/>
            <w:tcBorders>
              <w:top w:val="nil"/>
              <w:left w:val="nil"/>
              <w:bottom w:val="nil"/>
              <w:right w:val="nil"/>
            </w:tcBorders>
          </w:tcPr>
          <w:p w14:paraId="46C05440" w14:textId="3F47E51D"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ÚJD</w:t>
            </w:r>
            <w:r>
              <w:rPr>
                <w:rStyle w:val="A9"/>
                <w:rFonts w:cs="Times New Roman"/>
                <w:sz w:val="24"/>
                <w:szCs w:val="24"/>
                <w:lang w:eastAsia="en-US"/>
              </w:rPr>
              <w:t> </w:t>
            </w:r>
            <w:r w:rsidRPr="00C13965">
              <w:rPr>
                <w:rStyle w:val="A9"/>
                <w:rFonts w:cs="Times New Roman"/>
                <w:sz w:val="24"/>
                <w:szCs w:val="24"/>
                <w:lang w:eastAsia="en-US"/>
              </w:rPr>
              <w:t>SR, úrad</w:t>
            </w:r>
          </w:p>
        </w:tc>
        <w:tc>
          <w:tcPr>
            <w:tcW w:w="7548" w:type="dxa"/>
            <w:tcBorders>
              <w:top w:val="nil"/>
              <w:left w:val="nil"/>
              <w:bottom w:val="nil"/>
              <w:right w:val="nil"/>
            </w:tcBorders>
          </w:tcPr>
          <w:p w14:paraId="5B6CF098" w14:textId="1C1F0D7D"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Úrad jadrového dozoru SR</w:t>
            </w:r>
          </w:p>
        </w:tc>
      </w:tr>
      <w:tr w:rsidR="00DF49C6" w:rsidRPr="00C13965" w14:paraId="3F15A867" w14:textId="77777777" w:rsidTr="00C13A84">
        <w:tc>
          <w:tcPr>
            <w:tcW w:w="2552" w:type="dxa"/>
            <w:tcBorders>
              <w:top w:val="nil"/>
              <w:left w:val="nil"/>
              <w:bottom w:val="nil"/>
              <w:right w:val="nil"/>
            </w:tcBorders>
          </w:tcPr>
          <w:p w14:paraId="64BF823F" w14:textId="20B522B7"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VBK</w:t>
            </w:r>
          </w:p>
        </w:tc>
        <w:tc>
          <w:tcPr>
            <w:tcW w:w="7548" w:type="dxa"/>
            <w:tcBorders>
              <w:top w:val="nil"/>
              <w:left w:val="nil"/>
              <w:bottom w:val="nil"/>
              <w:right w:val="nil"/>
            </w:tcBorders>
          </w:tcPr>
          <w:p w14:paraId="21F49570" w14:textId="35348C38" w:rsidR="00DF49C6" w:rsidRPr="00C13965" w:rsidRDefault="00DF49C6" w:rsidP="003151A9">
            <w:pPr>
              <w:jc w:val="both"/>
              <w:rPr>
                <w:rStyle w:val="A9"/>
                <w:rFonts w:cs="Times New Roman"/>
                <w:sz w:val="24"/>
                <w:szCs w:val="24"/>
                <w:lang w:eastAsia="en-US"/>
              </w:rPr>
            </w:pPr>
            <w:proofErr w:type="spellStart"/>
            <w:r w:rsidRPr="00C13965">
              <w:rPr>
                <w:rStyle w:val="A9"/>
                <w:rFonts w:cs="Times New Roman"/>
                <w:sz w:val="24"/>
                <w:szCs w:val="24"/>
                <w:lang w:eastAsia="en-US"/>
              </w:rPr>
              <w:t>vláknobetónový</w:t>
            </w:r>
            <w:proofErr w:type="spellEnd"/>
            <w:r w:rsidRPr="00C13965">
              <w:rPr>
                <w:rStyle w:val="A9"/>
                <w:rFonts w:cs="Times New Roman"/>
                <w:sz w:val="24"/>
                <w:szCs w:val="24"/>
                <w:lang w:eastAsia="en-US"/>
              </w:rPr>
              <w:t xml:space="preserve"> kontajner</w:t>
            </w:r>
          </w:p>
        </w:tc>
      </w:tr>
      <w:tr w:rsidR="00DF49C6" w:rsidRPr="00C13965" w14:paraId="530D3D4F" w14:textId="77777777" w:rsidTr="00C13A84">
        <w:tc>
          <w:tcPr>
            <w:tcW w:w="2552" w:type="dxa"/>
            <w:tcBorders>
              <w:top w:val="nil"/>
              <w:left w:val="nil"/>
              <w:bottom w:val="nil"/>
              <w:right w:val="nil"/>
            </w:tcBorders>
            <w:hideMark/>
          </w:tcPr>
          <w:p w14:paraId="2F6FA057" w14:textId="1BA950C3"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VJP</w:t>
            </w:r>
          </w:p>
        </w:tc>
        <w:tc>
          <w:tcPr>
            <w:tcW w:w="7548" w:type="dxa"/>
            <w:tcBorders>
              <w:top w:val="nil"/>
              <w:left w:val="nil"/>
              <w:bottom w:val="nil"/>
              <w:right w:val="nil"/>
            </w:tcBorders>
            <w:hideMark/>
          </w:tcPr>
          <w:p w14:paraId="686703E4" w14:textId="1BBD1131"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vyhoreté jadrové palivo</w:t>
            </w:r>
          </w:p>
        </w:tc>
      </w:tr>
      <w:tr w:rsidR="00DF49C6" w:rsidRPr="00C13965" w14:paraId="4DD608FB" w14:textId="77777777" w:rsidTr="00C13A84">
        <w:tc>
          <w:tcPr>
            <w:tcW w:w="2552" w:type="dxa"/>
            <w:tcBorders>
              <w:top w:val="nil"/>
              <w:left w:val="nil"/>
              <w:bottom w:val="nil"/>
              <w:right w:val="nil"/>
            </w:tcBorders>
            <w:hideMark/>
          </w:tcPr>
          <w:p w14:paraId="3DF5E6BA" w14:textId="7B75FA1E"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VNRAO</w:t>
            </w:r>
          </w:p>
        </w:tc>
        <w:tc>
          <w:tcPr>
            <w:tcW w:w="7548" w:type="dxa"/>
            <w:tcBorders>
              <w:top w:val="nil"/>
              <w:left w:val="nil"/>
              <w:bottom w:val="nil"/>
              <w:right w:val="nil"/>
            </w:tcBorders>
            <w:hideMark/>
          </w:tcPr>
          <w:p w14:paraId="1DA13E0C" w14:textId="1A702DA3" w:rsidR="00DF49C6" w:rsidRPr="00C13965" w:rsidRDefault="00DF49C6" w:rsidP="003151A9">
            <w:pPr>
              <w:jc w:val="both"/>
              <w:rPr>
                <w:rStyle w:val="A9"/>
                <w:rFonts w:cs="Times New Roman"/>
                <w:sz w:val="24"/>
                <w:szCs w:val="24"/>
              </w:rPr>
            </w:pPr>
            <w:r w:rsidRPr="00C13965">
              <w:rPr>
                <w:rStyle w:val="A9"/>
                <w:rFonts w:cs="Times New Roman"/>
                <w:sz w:val="24"/>
                <w:szCs w:val="24"/>
                <w:lang w:eastAsia="en-US"/>
              </w:rPr>
              <w:t>veľmi nízkoaktívne rádioaktívne odpady</w:t>
            </w:r>
          </w:p>
        </w:tc>
      </w:tr>
      <w:tr w:rsidR="00DF49C6" w:rsidRPr="00C13965" w14:paraId="71D1B14B" w14:textId="77777777" w:rsidTr="00C13A84">
        <w:tc>
          <w:tcPr>
            <w:tcW w:w="2552" w:type="dxa"/>
            <w:tcBorders>
              <w:top w:val="nil"/>
              <w:left w:val="nil"/>
              <w:bottom w:val="nil"/>
              <w:right w:val="nil"/>
            </w:tcBorders>
            <w:hideMark/>
          </w:tcPr>
          <w:p w14:paraId="27236EFC" w14:textId="23E0A83F" w:rsidR="00DF49C6" w:rsidRPr="00C13965" w:rsidRDefault="00DF49C6" w:rsidP="003151A9">
            <w:pPr>
              <w:jc w:val="both"/>
              <w:rPr>
                <w:rStyle w:val="A9"/>
                <w:rFonts w:cs="Times New Roman"/>
                <w:sz w:val="24"/>
                <w:szCs w:val="24"/>
              </w:rPr>
            </w:pPr>
            <w:r>
              <w:rPr>
                <w:rStyle w:val="A9"/>
                <w:rFonts w:cs="Times New Roman"/>
                <w:sz w:val="24"/>
                <w:szCs w:val="24"/>
                <w:lang w:eastAsia="en-US"/>
              </w:rPr>
              <w:t>V</w:t>
            </w:r>
            <w:r>
              <w:rPr>
                <w:rStyle w:val="A9"/>
                <w:rFonts w:cs="Times New Roman"/>
                <w:sz w:val="24"/>
                <w:szCs w:val="24"/>
              </w:rPr>
              <w:t>T</w:t>
            </w:r>
          </w:p>
        </w:tc>
        <w:tc>
          <w:tcPr>
            <w:tcW w:w="7548" w:type="dxa"/>
            <w:tcBorders>
              <w:top w:val="nil"/>
              <w:left w:val="nil"/>
              <w:bottom w:val="nil"/>
              <w:right w:val="nil"/>
            </w:tcBorders>
            <w:hideMark/>
          </w:tcPr>
          <w:p w14:paraId="15657F4F" w14:textId="1DACDDA5" w:rsidR="00DF49C6" w:rsidRPr="00C13965" w:rsidRDefault="00DF49C6" w:rsidP="003151A9">
            <w:pPr>
              <w:jc w:val="both"/>
              <w:rPr>
                <w:rStyle w:val="A9"/>
                <w:rFonts w:cs="Times New Roman"/>
                <w:sz w:val="24"/>
                <w:szCs w:val="24"/>
              </w:rPr>
            </w:pPr>
            <w:proofErr w:type="spellStart"/>
            <w:r w:rsidRPr="00A408BF">
              <w:rPr>
                <w:color w:val="000000" w:themeColor="text1"/>
                <w:szCs w:val="24"/>
              </w:rPr>
              <w:t>vysokotlaké</w:t>
            </w:r>
            <w:proofErr w:type="spellEnd"/>
            <w:r w:rsidRPr="00A408BF">
              <w:rPr>
                <w:color w:val="000000" w:themeColor="text1"/>
                <w:szCs w:val="24"/>
              </w:rPr>
              <w:t xml:space="preserve"> havarijné doplňovani</w:t>
            </w:r>
            <w:r>
              <w:rPr>
                <w:color w:val="000000" w:themeColor="text1"/>
                <w:szCs w:val="24"/>
              </w:rPr>
              <w:t>e</w:t>
            </w:r>
          </w:p>
        </w:tc>
      </w:tr>
      <w:tr w:rsidR="00DF49C6" w:rsidRPr="00C13965" w14:paraId="319184B3" w14:textId="77777777" w:rsidTr="00C13A84">
        <w:tc>
          <w:tcPr>
            <w:tcW w:w="2552" w:type="dxa"/>
            <w:tcBorders>
              <w:top w:val="nil"/>
              <w:left w:val="nil"/>
              <w:bottom w:val="nil"/>
              <w:right w:val="nil"/>
            </w:tcBorders>
          </w:tcPr>
          <w:p w14:paraId="3A52648B" w14:textId="5801D34C"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VUJE, a. s.</w:t>
            </w:r>
          </w:p>
        </w:tc>
        <w:tc>
          <w:tcPr>
            <w:tcW w:w="7548" w:type="dxa"/>
            <w:tcBorders>
              <w:top w:val="nil"/>
              <w:left w:val="nil"/>
              <w:bottom w:val="nil"/>
              <w:right w:val="nil"/>
            </w:tcBorders>
          </w:tcPr>
          <w:p w14:paraId="05E80842" w14:textId="6B7A9E16"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VUJE, a. s., Trnava – inžinierska, projektová a výskumná organizácia</w:t>
            </w:r>
          </w:p>
        </w:tc>
      </w:tr>
      <w:tr w:rsidR="00DF49C6" w:rsidRPr="00C13965" w14:paraId="7E449320" w14:textId="77777777" w:rsidTr="00C13A84">
        <w:tc>
          <w:tcPr>
            <w:tcW w:w="2552" w:type="dxa"/>
            <w:tcBorders>
              <w:top w:val="nil"/>
              <w:left w:val="nil"/>
              <w:bottom w:val="nil"/>
              <w:right w:val="nil"/>
            </w:tcBorders>
          </w:tcPr>
          <w:p w14:paraId="6A7A8510" w14:textId="2293AF32"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VZ</w:t>
            </w:r>
          </w:p>
        </w:tc>
        <w:tc>
          <w:tcPr>
            <w:tcW w:w="7548" w:type="dxa"/>
            <w:tcBorders>
              <w:top w:val="nil"/>
              <w:left w:val="nil"/>
              <w:bottom w:val="nil"/>
              <w:right w:val="nil"/>
            </w:tcBorders>
          </w:tcPr>
          <w:p w14:paraId="794F9CF0" w14:textId="325E1CEE" w:rsidR="00DF49C6" w:rsidRPr="00C13965" w:rsidRDefault="00DF49C6" w:rsidP="003151A9">
            <w:pPr>
              <w:jc w:val="both"/>
              <w:rPr>
                <w:rStyle w:val="A9"/>
                <w:rFonts w:cs="Times New Roman"/>
                <w:sz w:val="24"/>
                <w:szCs w:val="24"/>
                <w:lang w:eastAsia="en-US"/>
              </w:rPr>
            </w:pPr>
            <w:r w:rsidRPr="00C13965">
              <w:rPr>
                <w:rStyle w:val="A9"/>
                <w:rFonts w:cs="Times New Roman"/>
                <w:sz w:val="24"/>
                <w:szCs w:val="24"/>
                <w:lang w:eastAsia="en-US"/>
              </w:rPr>
              <w:t>vybrané zariadenia</w:t>
            </w:r>
          </w:p>
        </w:tc>
      </w:tr>
      <w:tr w:rsidR="00DF49C6" w:rsidRPr="00903612" w14:paraId="1DEDEDF6" w14:textId="77777777" w:rsidTr="00C13A84">
        <w:tc>
          <w:tcPr>
            <w:tcW w:w="2552" w:type="dxa"/>
            <w:tcBorders>
              <w:top w:val="nil"/>
              <w:left w:val="nil"/>
              <w:bottom w:val="nil"/>
              <w:right w:val="nil"/>
            </w:tcBorders>
            <w:hideMark/>
          </w:tcPr>
          <w:p w14:paraId="071F18AB" w14:textId="16C9CF36" w:rsidR="00DF49C6" w:rsidRPr="00C13965" w:rsidRDefault="00DF49C6" w:rsidP="003151A9">
            <w:pPr>
              <w:jc w:val="both"/>
              <w:rPr>
                <w:rStyle w:val="A9"/>
                <w:rFonts w:cs="Times New Roman"/>
                <w:sz w:val="24"/>
                <w:szCs w:val="24"/>
              </w:rPr>
            </w:pPr>
            <w:r w:rsidRPr="006634D6">
              <w:t>WGWD</w:t>
            </w:r>
          </w:p>
        </w:tc>
        <w:tc>
          <w:tcPr>
            <w:tcW w:w="7548" w:type="dxa"/>
            <w:tcBorders>
              <w:top w:val="nil"/>
              <w:left w:val="nil"/>
              <w:bottom w:val="nil"/>
              <w:right w:val="nil"/>
            </w:tcBorders>
            <w:hideMark/>
          </w:tcPr>
          <w:p w14:paraId="4F02150A" w14:textId="5E11AD57" w:rsidR="00DF49C6" w:rsidRPr="00C13965" w:rsidRDefault="00DF49C6" w:rsidP="003151A9">
            <w:pPr>
              <w:jc w:val="both"/>
              <w:rPr>
                <w:rStyle w:val="A9"/>
                <w:rFonts w:cs="Times New Roman"/>
                <w:sz w:val="24"/>
                <w:szCs w:val="24"/>
              </w:rPr>
            </w:pPr>
            <w:r w:rsidRPr="006634D6">
              <w:t xml:space="preserve">PS pre harmonizáciu požiadaviek na bezpečnosť nakladania s </w:t>
            </w:r>
            <w:r>
              <w:t>RAO</w:t>
            </w:r>
            <w:r w:rsidRPr="006634D6">
              <w:t xml:space="preserve"> a</w:t>
            </w:r>
            <w:r>
              <w:t> </w:t>
            </w:r>
            <w:r w:rsidRPr="006634D6">
              <w:t>vyraďovania JZ z prevádzky</w:t>
            </w:r>
          </w:p>
        </w:tc>
      </w:tr>
      <w:tr w:rsidR="00DF49C6" w:rsidRPr="00903612" w14:paraId="6BAE9E96" w14:textId="77777777" w:rsidTr="00C13A84">
        <w:tc>
          <w:tcPr>
            <w:tcW w:w="2552" w:type="dxa"/>
            <w:tcBorders>
              <w:top w:val="nil"/>
              <w:left w:val="nil"/>
              <w:bottom w:val="nil"/>
              <w:right w:val="nil"/>
            </w:tcBorders>
          </w:tcPr>
          <w:p w14:paraId="0DD2AF8C" w14:textId="4BDBD905" w:rsidR="00DF49C6" w:rsidRPr="00C13965" w:rsidRDefault="00DF49C6" w:rsidP="003151A9">
            <w:pPr>
              <w:jc w:val="both"/>
              <w:rPr>
                <w:rStyle w:val="A9"/>
                <w:rFonts w:cs="Times New Roman"/>
                <w:sz w:val="24"/>
                <w:szCs w:val="24"/>
                <w:lang w:eastAsia="en-US"/>
              </w:rPr>
            </w:pPr>
            <w:proofErr w:type="spellStart"/>
            <w:r w:rsidRPr="00B0319D">
              <w:rPr>
                <w:rFonts w:eastAsiaTheme="minorHAnsi"/>
                <w:color w:val="000000"/>
                <w:szCs w:val="24"/>
                <w:lang w:eastAsia="en-US"/>
              </w:rPr>
              <w:t>ZUIaKB</w:t>
            </w:r>
            <w:proofErr w:type="spellEnd"/>
          </w:p>
        </w:tc>
        <w:tc>
          <w:tcPr>
            <w:tcW w:w="7548" w:type="dxa"/>
            <w:tcBorders>
              <w:top w:val="nil"/>
              <w:left w:val="nil"/>
              <w:bottom w:val="nil"/>
              <w:right w:val="nil"/>
            </w:tcBorders>
          </w:tcPr>
          <w:p w14:paraId="66A539FD" w14:textId="3837A4DF" w:rsidR="00DF49C6" w:rsidRPr="00C13965" w:rsidRDefault="00DF49C6" w:rsidP="003151A9">
            <w:pPr>
              <w:jc w:val="both"/>
              <w:rPr>
                <w:rStyle w:val="A9"/>
                <w:rFonts w:cs="Times New Roman"/>
                <w:sz w:val="24"/>
                <w:szCs w:val="24"/>
                <w:lang w:eastAsia="en-US"/>
              </w:rPr>
            </w:pPr>
            <w:r>
              <w:rPr>
                <w:rFonts w:eastAsiaTheme="minorHAnsi"/>
                <w:color w:val="000000"/>
                <w:szCs w:val="24"/>
                <w:lang w:eastAsia="en-US"/>
              </w:rPr>
              <w:t>z</w:t>
            </w:r>
            <w:r w:rsidRPr="00536B6A">
              <w:rPr>
                <w:rFonts w:eastAsiaTheme="minorHAnsi"/>
                <w:color w:val="000000"/>
                <w:szCs w:val="24"/>
                <w:lang w:eastAsia="en-US"/>
              </w:rPr>
              <w:t>výšenie úrovne informačnej a kybernetickej bezpečnosti</w:t>
            </w:r>
          </w:p>
        </w:tc>
      </w:tr>
    </w:tbl>
    <w:p w14:paraId="14B3CB70" w14:textId="0CE8FD55" w:rsidR="00241456" w:rsidRPr="00903612" w:rsidRDefault="00241456">
      <w:pPr>
        <w:spacing w:after="200" w:line="276" w:lineRule="auto"/>
        <w:rPr>
          <w:highlight w:val="yellow"/>
        </w:rPr>
      </w:pPr>
      <w:r w:rsidRPr="00903612">
        <w:rPr>
          <w:highlight w:val="yellow"/>
        </w:rPr>
        <w:br w:type="page"/>
      </w:r>
    </w:p>
    <w:p w14:paraId="614B5D66" w14:textId="68A2D781" w:rsidR="009F5796" w:rsidRPr="00866C2D" w:rsidRDefault="00241456" w:rsidP="00FA0505">
      <w:pPr>
        <w:tabs>
          <w:tab w:val="left" w:pos="2485"/>
        </w:tabs>
      </w:pPr>
      <w:r w:rsidRPr="00866C2D">
        <w:lastRenderedPageBreak/>
        <w:t>OBSAH</w:t>
      </w:r>
      <w:r w:rsidR="00FA0505">
        <w:tab/>
      </w:r>
    </w:p>
    <w:p w14:paraId="7521740F" w14:textId="77777777" w:rsidR="00155A3A" w:rsidRPr="00866C2D" w:rsidRDefault="00155A3A" w:rsidP="00C06D35">
      <w:pPr>
        <w:pStyle w:val="Obsah1"/>
      </w:pPr>
    </w:p>
    <w:p w14:paraId="640A2487" w14:textId="67FDBA15" w:rsidR="00AA060F" w:rsidRDefault="0026008A">
      <w:pPr>
        <w:pStyle w:val="Obsah1"/>
        <w:rPr>
          <w:rFonts w:asciiTheme="minorHAnsi" w:eastAsiaTheme="minorEastAsia" w:hAnsiTheme="minorHAnsi" w:cstheme="minorBidi"/>
          <w:b w:val="0"/>
          <w:bCs w:val="0"/>
          <w:caps w:val="0"/>
          <w:sz w:val="22"/>
          <w:szCs w:val="22"/>
        </w:rPr>
      </w:pPr>
      <w:r w:rsidRPr="00C35FB9">
        <w:fldChar w:fldCharType="begin"/>
      </w:r>
      <w:r w:rsidRPr="00C35FB9">
        <w:instrText xml:space="preserve"> TOC \o "1-4" \h \z </w:instrText>
      </w:r>
      <w:r w:rsidRPr="00C35FB9">
        <w:fldChar w:fldCharType="separate"/>
      </w:r>
      <w:hyperlink w:anchor="_Toc161214303" w:history="1">
        <w:r w:rsidR="00AA060F" w:rsidRPr="00DD243B">
          <w:rPr>
            <w:rStyle w:val="Hypertextovprepojenie"/>
          </w:rPr>
          <w:t>Úvod</w:t>
        </w:r>
        <w:r w:rsidR="00AA060F">
          <w:rPr>
            <w:webHidden/>
          </w:rPr>
          <w:tab/>
        </w:r>
        <w:r w:rsidR="00AA060F">
          <w:rPr>
            <w:webHidden/>
          </w:rPr>
          <w:fldChar w:fldCharType="begin"/>
        </w:r>
        <w:r w:rsidR="00AA060F">
          <w:rPr>
            <w:webHidden/>
          </w:rPr>
          <w:instrText xml:space="preserve"> PAGEREF _Toc161214303 \h </w:instrText>
        </w:r>
        <w:r w:rsidR="00AA060F">
          <w:rPr>
            <w:webHidden/>
          </w:rPr>
        </w:r>
        <w:r w:rsidR="00AA060F">
          <w:rPr>
            <w:webHidden/>
          </w:rPr>
          <w:fldChar w:fldCharType="separate"/>
        </w:r>
        <w:r w:rsidR="00AA060F">
          <w:rPr>
            <w:webHidden/>
          </w:rPr>
          <w:t>1</w:t>
        </w:r>
        <w:r w:rsidR="00AA060F">
          <w:rPr>
            <w:webHidden/>
          </w:rPr>
          <w:fldChar w:fldCharType="end"/>
        </w:r>
      </w:hyperlink>
    </w:p>
    <w:p w14:paraId="74284307" w14:textId="2C119C48" w:rsidR="00AA060F" w:rsidRDefault="00690672">
      <w:pPr>
        <w:pStyle w:val="Obsah1"/>
        <w:rPr>
          <w:rFonts w:asciiTheme="minorHAnsi" w:eastAsiaTheme="minorEastAsia" w:hAnsiTheme="minorHAnsi" w:cstheme="minorBidi"/>
          <w:b w:val="0"/>
          <w:bCs w:val="0"/>
          <w:caps w:val="0"/>
          <w:sz w:val="22"/>
          <w:szCs w:val="22"/>
        </w:rPr>
      </w:pPr>
      <w:hyperlink w:anchor="_Toc161214304" w:history="1">
        <w:r w:rsidR="00AA060F" w:rsidRPr="00DD243B">
          <w:rPr>
            <w:rStyle w:val="Hypertextovprepojenie"/>
          </w:rPr>
          <w:t>1.</w:t>
        </w:r>
        <w:r w:rsidR="00AA060F">
          <w:rPr>
            <w:rFonts w:asciiTheme="minorHAnsi" w:eastAsiaTheme="minorEastAsia" w:hAnsiTheme="minorHAnsi" w:cstheme="minorBidi"/>
            <w:b w:val="0"/>
            <w:bCs w:val="0"/>
            <w:caps w:val="0"/>
            <w:sz w:val="22"/>
            <w:szCs w:val="22"/>
          </w:rPr>
          <w:tab/>
        </w:r>
        <w:r w:rsidR="00AA060F" w:rsidRPr="00DD243B">
          <w:rPr>
            <w:rStyle w:val="Hypertextovprepojenie"/>
          </w:rPr>
          <w:t>Výkon dozoru</w:t>
        </w:r>
        <w:r w:rsidR="00AA060F">
          <w:rPr>
            <w:webHidden/>
          </w:rPr>
          <w:tab/>
        </w:r>
        <w:r w:rsidR="00AA060F">
          <w:rPr>
            <w:webHidden/>
          </w:rPr>
          <w:fldChar w:fldCharType="begin"/>
        </w:r>
        <w:r w:rsidR="00AA060F">
          <w:rPr>
            <w:webHidden/>
          </w:rPr>
          <w:instrText xml:space="preserve"> PAGEREF _Toc161214304 \h </w:instrText>
        </w:r>
        <w:r w:rsidR="00AA060F">
          <w:rPr>
            <w:webHidden/>
          </w:rPr>
        </w:r>
        <w:r w:rsidR="00AA060F">
          <w:rPr>
            <w:webHidden/>
          </w:rPr>
          <w:fldChar w:fldCharType="separate"/>
        </w:r>
        <w:r w:rsidR="00AA060F">
          <w:rPr>
            <w:webHidden/>
          </w:rPr>
          <w:t>1</w:t>
        </w:r>
        <w:r w:rsidR="00AA060F">
          <w:rPr>
            <w:webHidden/>
          </w:rPr>
          <w:fldChar w:fldCharType="end"/>
        </w:r>
      </w:hyperlink>
    </w:p>
    <w:p w14:paraId="47A06AA3" w14:textId="64CE53DA" w:rsidR="00AA060F" w:rsidRDefault="00690672">
      <w:pPr>
        <w:pStyle w:val="Obsah2"/>
        <w:rPr>
          <w:rFonts w:asciiTheme="minorHAnsi" w:eastAsiaTheme="minorEastAsia" w:hAnsiTheme="minorHAnsi" w:cstheme="minorBidi"/>
          <w:smallCaps w:val="0"/>
          <w:noProof/>
          <w:sz w:val="22"/>
          <w:szCs w:val="22"/>
        </w:rPr>
      </w:pPr>
      <w:hyperlink w:anchor="_Toc161214305" w:history="1">
        <w:r w:rsidR="00AA060F" w:rsidRPr="00DD243B">
          <w:rPr>
            <w:rStyle w:val="Hypertextovprepojenie"/>
            <w:bCs/>
            <w:noProof/>
          </w:rPr>
          <w:t>1.1.</w:t>
        </w:r>
        <w:r w:rsidR="00AA060F">
          <w:rPr>
            <w:rFonts w:asciiTheme="minorHAnsi" w:eastAsiaTheme="minorEastAsia" w:hAnsiTheme="minorHAnsi" w:cstheme="minorBidi"/>
            <w:smallCaps w:val="0"/>
            <w:noProof/>
            <w:sz w:val="22"/>
            <w:szCs w:val="22"/>
          </w:rPr>
          <w:tab/>
        </w:r>
        <w:r w:rsidR="00AA060F" w:rsidRPr="00DD243B">
          <w:rPr>
            <w:rStyle w:val="Hypertextovprepojenie"/>
            <w:bCs/>
            <w:noProof/>
          </w:rPr>
          <w:t>Legislatívna činnosť</w:t>
        </w:r>
        <w:r w:rsidR="00AA060F">
          <w:rPr>
            <w:noProof/>
            <w:webHidden/>
          </w:rPr>
          <w:tab/>
        </w:r>
        <w:r w:rsidR="00AA060F">
          <w:rPr>
            <w:noProof/>
            <w:webHidden/>
          </w:rPr>
          <w:fldChar w:fldCharType="begin"/>
        </w:r>
        <w:r w:rsidR="00AA060F">
          <w:rPr>
            <w:noProof/>
            <w:webHidden/>
          </w:rPr>
          <w:instrText xml:space="preserve"> PAGEREF _Toc161214305 \h </w:instrText>
        </w:r>
        <w:r w:rsidR="00AA060F">
          <w:rPr>
            <w:noProof/>
            <w:webHidden/>
          </w:rPr>
        </w:r>
        <w:r w:rsidR="00AA060F">
          <w:rPr>
            <w:noProof/>
            <w:webHidden/>
          </w:rPr>
          <w:fldChar w:fldCharType="separate"/>
        </w:r>
        <w:r w:rsidR="00AA060F">
          <w:rPr>
            <w:noProof/>
            <w:webHidden/>
          </w:rPr>
          <w:t>2</w:t>
        </w:r>
        <w:r w:rsidR="00AA060F">
          <w:rPr>
            <w:noProof/>
            <w:webHidden/>
          </w:rPr>
          <w:fldChar w:fldCharType="end"/>
        </w:r>
      </w:hyperlink>
    </w:p>
    <w:p w14:paraId="7027DC3C" w14:textId="610C2C72" w:rsidR="00AA060F" w:rsidRDefault="00690672">
      <w:pPr>
        <w:pStyle w:val="Obsah2"/>
        <w:rPr>
          <w:rFonts w:asciiTheme="minorHAnsi" w:eastAsiaTheme="minorEastAsia" w:hAnsiTheme="minorHAnsi" w:cstheme="minorBidi"/>
          <w:smallCaps w:val="0"/>
          <w:noProof/>
          <w:sz w:val="22"/>
          <w:szCs w:val="22"/>
        </w:rPr>
      </w:pPr>
      <w:hyperlink w:anchor="_Toc161214306" w:history="1">
        <w:r w:rsidR="00AA060F" w:rsidRPr="00DD243B">
          <w:rPr>
            <w:rStyle w:val="Hypertextovprepojenie"/>
            <w:bCs/>
            <w:noProof/>
          </w:rPr>
          <w:t>1.2.</w:t>
        </w:r>
        <w:r w:rsidR="00AA060F">
          <w:rPr>
            <w:rFonts w:asciiTheme="minorHAnsi" w:eastAsiaTheme="minorEastAsia" w:hAnsiTheme="minorHAnsi" w:cstheme="minorBidi"/>
            <w:smallCaps w:val="0"/>
            <w:noProof/>
            <w:sz w:val="22"/>
            <w:szCs w:val="22"/>
          </w:rPr>
          <w:tab/>
        </w:r>
        <w:r w:rsidR="00AA060F" w:rsidRPr="00DD243B">
          <w:rPr>
            <w:rStyle w:val="Hypertextovprepojenie"/>
            <w:bCs/>
            <w:noProof/>
          </w:rPr>
          <w:t>Vydávanie povolení</w:t>
        </w:r>
        <w:r w:rsidR="00AA060F">
          <w:rPr>
            <w:noProof/>
            <w:webHidden/>
          </w:rPr>
          <w:tab/>
        </w:r>
        <w:r w:rsidR="00AA060F">
          <w:rPr>
            <w:noProof/>
            <w:webHidden/>
          </w:rPr>
          <w:fldChar w:fldCharType="begin"/>
        </w:r>
        <w:r w:rsidR="00AA060F">
          <w:rPr>
            <w:noProof/>
            <w:webHidden/>
          </w:rPr>
          <w:instrText xml:space="preserve"> PAGEREF _Toc161214306 \h </w:instrText>
        </w:r>
        <w:r w:rsidR="00AA060F">
          <w:rPr>
            <w:noProof/>
            <w:webHidden/>
          </w:rPr>
        </w:r>
        <w:r w:rsidR="00AA060F">
          <w:rPr>
            <w:noProof/>
            <w:webHidden/>
          </w:rPr>
          <w:fldChar w:fldCharType="separate"/>
        </w:r>
        <w:r w:rsidR="00AA060F">
          <w:rPr>
            <w:noProof/>
            <w:webHidden/>
          </w:rPr>
          <w:t>4</w:t>
        </w:r>
        <w:r w:rsidR="00AA060F">
          <w:rPr>
            <w:noProof/>
            <w:webHidden/>
          </w:rPr>
          <w:fldChar w:fldCharType="end"/>
        </w:r>
      </w:hyperlink>
    </w:p>
    <w:p w14:paraId="4438CEA7" w14:textId="1951B7E3" w:rsidR="00AA060F" w:rsidRDefault="00690672">
      <w:pPr>
        <w:pStyle w:val="Obsah2"/>
        <w:rPr>
          <w:rFonts w:asciiTheme="minorHAnsi" w:eastAsiaTheme="minorEastAsia" w:hAnsiTheme="minorHAnsi" w:cstheme="minorBidi"/>
          <w:smallCaps w:val="0"/>
          <w:noProof/>
          <w:sz w:val="22"/>
          <w:szCs w:val="22"/>
        </w:rPr>
      </w:pPr>
      <w:hyperlink w:anchor="_Toc161214307" w:history="1">
        <w:r w:rsidR="00AA060F" w:rsidRPr="00DD243B">
          <w:rPr>
            <w:rStyle w:val="Hypertextovprepojenie"/>
            <w:bCs/>
            <w:noProof/>
          </w:rPr>
          <w:t>1.3.</w:t>
        </w:r>
        <w:r w:rsidR="00AA060F">
          <w:rPr>
            <w:rFonts w:asciiTheme="minorHAnsi" w:eastAsiaTheme="minorEastAsia" w:hAnsiTheme="minorHAnsi" w:cstheme="minorBidi"/>
            <w:smallCaps w:val="0"/>
            <w:noProof/>
            <w:sz w:val="22"/>
            <w:szCs w:val="22"/>
          </w:rPr>
          <w:tab/>
        </w:r>
        <w:r w:rsidR="00AA060F" w:rsidRPr="00DD243B">
          <w:rPr>
            <w:rStyle w:val="Hypertextovprepojenie"/>
            <w:bCs/>
            <w:noProof/>
          </w:rPr>
          <w:t>Posudzovacia a hodnotiaca činnosť</w:t>
        </w:r>
        <w:r w:rsidR="00AA060F">
          <w:rPr>
            <w:noProof/>
            <w:webHidden/>
          </w:rPr>
          <w:tab/>
        </w:r>
        <w:r w:rsidR="00AA060F">
          <w:rPr>
            <w:noProof/>
            <w:webHidden/>
          </w:rPr>
          <w:fldChar w:fldCharType="begin"/>
        </w:r>
        <w:r w:rsidR="00AA060F">
          <w:rPr>
            <w:noProof/>
            <w:webHidden/>
          </w:rPr>
          <w:instrText xml:space="preserve"> PAGEREF _Toc161214307 \h </w:instrText>
        </w:r>
        <w:r w:rsidR="00AA060F">
          <w:rPr>
            <w:noProof/>
            <w:webHidden/>
          </w:rPr>
        </w:r>
        <w:r w:rsidR="00AA060F">
          <w:rPr>
            <w:noProof/>
            <w:webHidden/>
          </w:rPr>
          <w:fldChar w:fldCharType="separate"/>
        </w:r>
        <w:r w:rsidR="00AA060F">
          <w:rPr>
            <w:noProof/>
            <w:webHidden/>
          </w:rPr>
          <w:t>4</w:t>
        </w:r>
        <w:r w:rsidR="00AA060F">
          <w:rPr>
            <w:noProof/>
            <w:webHidden/>
          </w:rPr>
          <w:fldChar w:fldCharType="end"/>
        </w:r>
      </w:hyperlink>
    </w:p>
    <w:p w14:paraId="525CA306" w14:textId="5ED23A6B" w:rsidR="00AA060F" w:rsidRDefault="00690672">
      <w:pPr>
        <w:pStyle w:val="Obsah2"/>
        <w:rPr>
          <w:rFonts w:asciiTheme="minorHAnsi" w:eastAsiaTheme="minorEastAsia" w:hAnsiTheme="minorHAnsi" w:cstheme="minorBidi"/>
          <w:smallCaps w:val="0"/>
          <w:noProof/>
          <w:sz w:val="22"/>
          <w:szCs w:val="22"/>
        </w:rPr>
      </w:pPr>
      <w:hyperlink w:anchor="_Toc161214308" w:history="1">
        <w:r w:rsidR="00AA060F" w:rsidRPr="00DD243B">
          <w:rPr>
            <w:rStyle w:val="Hypertextovprepojenie"/>
            <w:bCs/>
            <w:noProof/>
          </w:rPr>
          <w:t>1.4.</w:t>
        </w:r>
        <w:r w:rsidR="00AA060F">
          <w:rPr>
            <w:rFonts w:asciiTheme="minorHAnsi" w:eastAsiaTheme="minorEastAsia" w:hAnsiTheme="minorHAnsi" w:cstheme="minorBidi"/>
            <w:smallCaps w:val="0"/>
            <w:noProof/>
            <w:sz w:val="22"/>
            <w:szCs w:val="22"/>
          </w:rPr>
          <w:tab/>
        </w:r>
        <w:r w:rsidR="00AA060F" w:rsidRPr="00DD243B">
          <w:rPr>
            <w:rStyle w:val="Hypertextovprepojenie"/>
            <w:bCs/>
            <w:noProof/>
          </w:rPr>
          <w:t>Inšpekčná činnosť a vynucovanie práva</w:t>
        </w:r>
        <w:r w:rsidR="00AA060F">
          <w:rPr>
            <w:noProof/>
            <w:webHidden/>
          </w:rPr>
          <w:tab/>
        </w:r>
        <w:r w:rsidR="00AA060F">
          <w:rPr>
            <w:noProof/>
            <w:webHidden/>
          </w:rPr>
          <w:fldChar w:fldCharType="begin"/>
        </w:r>
        <w:r w:rsidR="00AA060F">
          <w:rPr>
            <w:noProof/>
            <w:webHidden/>
          </w:rPr>
          <w:instrText xml:space="preserve"> PAGEREF _Toc161214308 \h </w:instrText>
        </w:r>
        <w:r w:rsidR="00AA060F">
          <w:rPr>
            <w:noProof/>
            <w:webHidden/>
          </w:rPr>
        </w:r>
        <w:r w:rsidR="00AA060F">
          <w:rPr>
            <w:noProof/>
            <w:webHidden/>
          </w:rPr>
          <w:fldChar w:fldCharType="separate"/>
        </w:r>
        <w:r w:rsidR="00AA060F">
          <w:rPr>
            <w:noProof/>
            <w:webHidden/>
          </w:rPr>
          <w:t>5</w:t>
        </w:r>
        <w:r w:rsidR="00AA060F">
          <w:rPr>
            <w:noProof/>
            <w:webHidden/>
          </w:rPr>
          <w:fldChar w:fldCharType="end"/>
        </w:r>
      </w:hyperlink>
    </w:p>
    <w:p w14:paraId="46E70C86" w14:textId="07172229" w:rsidR="00AA060F" w:rsidRDefault="00690672">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61214309" w:history="1">
        <w:r w:rsidR="00AA060F" w:rsidRPr="00DD243B">
          <w:rPr>
            <w:rStyle w:val="Hypertextovprepojenie"/>
            <w:noProof/>
          </w:rPr>
          <w:t>1.4.1.</w:t>
        </w:r>
        <w:r w:rsidR="00AA060F">
          <w:rPr>
            <w:rFonts w:asciiTheme="minorHAnsi" w:eastAsiaTheme="minorEastAsia" w:hAnsiTheme="minorHAnsi" w:cstheme="minorBidi"/>
            <w:i w:val="0"/>
            <w:iCs w:val="0"/>
            <w:noProof/>
            <w:sz w:val="22"/>
            <w:szCs w:val="22"/>
          </w:rPr>
          <w:tab/>
        </w:r>
        <w:r w:rsidR="00AA060F" w:rsidRPr="00DD243B">
          <w:rPr>
            <w:rStyle w:val="Hypertextovprepojenie"/>
            <w:noProof/>
          </w:rPr>
          <w:t>Inšpekčná činnosť</w:t>
        </w:r>
        <w:r w:rsidR="00AA060F">
          <w:rPr>
            <w:noProof/>
            <w:webHidden/>
          </w:rPr>
          <w:tab/>
        </w:r>
        <w:r w:rsidR="00AA060F">
          <w:rPr>
            <w:noProof/>
            <w:webHidden/>
          </w:rPr>
          <w:fldChar w:fldCharType="begin"/>
        </w:r>
        <w:r w:rsidR="00AA060F">
          <w:rPr>
            <w:noProof/>
            <w:webHidden/>
          </w:rPr>
          <w:instrText xml:space="preserve"> PAGEREF _Toc161214309 \h </w:instrText>
        </w:r>
        <w:r w:rsidR="00AA060F">
          <w:rPr>
            <w:noProof/>
            <w:webHidden/>
          </w:rPr>
        </w:r>
        <w:r w:rsidR="00AA060F">
          <w:rPr>
            <w:noProof/>
            <w:webHidden/>
          </w:rPr>
          <w:fldChar w:fldCharType="separate"/>
        </w:r>
        <w:r w:rsidR="00AA060F">
          <w:rPr>
            <w:noProof/>
            <w:webHidden/>
          </w:rPr>
          <w:t>5</w:t>
        </w:r>
        <w:r w:rsidR="00AA060F">
          <w:rPr>
            <w:noProof/>
            <w:webHidden/>
          </w:rPr>
          <w:fldChar w:fldCharType="end"/>
        </w:r>
      </w:hyperlink>
    </w:p>
    <w:p w14:paraId="28D84760" w14:textId="2876F3CA" w:rsidR="00AA060F" w:rsidRDefault="00690672">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61214310" w:history="1">
        <w:r w:rsidR="00AA060F" w:rsidRPr="00DD243B">
          <w:rPr>
            <w:rStyle w:val="Hypertextovprepojenie"/>
            <w:noProof/>
          </w:rPr>
          <w:t>1.4.2.</w:t>
        </w:r>
        <w:r w:rsidR="00AA060F">
          <w:rPr>
            <w:rFonts w:asciiTheme="minorHAnsi" w:eastAsiaTheme="minorEastAsia" w:hAnsiTheme="minorHAnsi" w:cstheme="minorBidi"/>
            <w:i w:val="0"/>
            <w:iCs w:val="0"/>
            <w:noProof/>
            <w:sz w:val="22"/>
            <w:szCs w:val="22"/>
          </w:rPr>
          <w:tab/>
        </w:r>
        <w:r w:rsidR="00AA060F" w:rsidRPr="00DD243B">
          <w:rPr>
            <w:rStyle w:val="Hypertextovprepojenie"/>
            <w:noProof/>
          </w:rPr>
          <w:t>Vynucovanie práva</w:t>
        </w:r>
        <w:r w:rsidR="00AA060F">
          <w:rPr>
            <w:noProof/>
            <w:webHidden/>
          </w:rPr>
          <w:tab/>
        </w:r>
        <w:r w:rsidR="00AA060F">
          <w:rPr>
            <w:noProof/>
            <w:webHidden/>
          </w:rPr>
          <w:fldChar w:fldCharType="begin"/>
        </w:r>
        <w:r w:rsidR="00AA060F">
          <w:rPr>
            <w:noProof/>
            <w:webHidden/>
          </w:rPr>
          <w:instrText xml:space="preserve"> PAGEREF _Toc161214310 \h </w:instrText>
        </w:r>
        <w:r w:rsidR="00AA060F">
          <w:rPr>
            <w:noProof/>
            <w:webHidden/>
          </w:rPr>
        </w:r>
        <w:r w:rsidR="00AA060F">
          <w:rPr>
            <w:noProof/>
            <w:webHidden/>
          </w:rPr>
          <w:fldChar w:fldCharType="separate"/>
        </w:r>
        <w:r w:rsidR="00AA060F">
          <w:rPr>
            <w:noProof/>
            <w:webHidden/>
          </w:rPr>
          <w:t>6</w:t>
        </w:r>
        <w:r w:rsidR="00AA060F">
          <w:rPr>
            <w:noProof/>
            <w:webHidden/>
          </w:rPr>
          <w:fldChar w:fldCharType="end"/>
        </w:r>
      </w:hyperlink>
    </w:p>
    <w:p w14:paraId="0C36E76C" w14:textId="3BB9218B" w:rsidR="00AA060F" w:rsidRDefault="00690672">
      <w:pPr>
        <w:pStyle w:val="Obsah2"/>
        <w:rPr>
          <w:rFonts w:asciiTheme="minorHAnsi" w:eastAsiaTheme="minorEastAsia" w:hAnsiTheme="minorHAnsi" w:cstheme="minorBidi"/>
          <w:smallCaps w:val="0"/>
          <w:noProof/>
          <w:sz w:val="22"/>
          <w:szCs w:val="22"/>
        </w:rPr>
      </w:pPr>
      <w:hyperlink w:anchor="_Toc161214311" w:history="1">
        <w:r w:rsidR="00AA060F" w:rsidRPr="00DD243B">
          <w:rPr>
            <w:rStyle w:val="Hypertextovprepojenie"/>
            <w:bCs/>
            <w:noProof/>
          </w:rPr>
          <w:t>1.5.</w:t>
        </w:r>
        <w:r w:rsidR="00AA060F">
          <w:rPr>
            <w:rFonts w:asciiTheme="minorHAnsi" w:eastAsiaTheme="minorEastAsia" w:hAnsiTheme="minorHAnsi" w:cstheme="minorBidi"/>
            <w:smallCaps w:val="0"/>
            <w:noProof/>
            <w:sz w:val="22"/>
            <w:szCs w:val="22"/>
          </w:rPr>
          <w:tab/>
        </w:r>
        <w:r w:rsidR="00AA060F" w:rsidRPr="00DD243B">
          <w:rPr>
            <w:rStyle w:val="Hypertextovprepojenie"/>
            <w:bCs/>
            <w:noProof/>
          </w:rPr>
          <w:t>Hodnotenie stavu jadrovej bezpečnosti JE a JZ v SR</w:t>
        </w:r>
        <w:r w:rsidR="00AA060F">
          <w:rPr>
            <w:noProof/>
            <w:webHidden/>
          </w:rPr>
          <w:tab/>
        </w:r>
        <w:r w:rsidR="00AA060F">
          <w:rPr>
            <w:noProof/>
            <w:webHidden/>
          </w:rPr>
          <w:fldChar w:fldCharType="begin"/>
        </w:r>
        <w:r w:rsidR="00AA060F">
          <w:rPr>
            <w:noProof/>
            <w:webHidden/>
          </w:rPr>
          <w:instrText xml:space="preserve"> PAGEREF _Toc161214311 \h </w:instrText>
        </w:r>
        <w:r w:rsidR="00AA060F">
          <w:rPr>
            <w:noProof/>
            <w:webHidden/>
          </w:rPr>
        </w:r>
        <w:r w:rsidR="00AA060F">
          <w:rPr>
            <w:noProof/>
            <w:webHidden/>
          </w:rPr>
          <w:fldChar w:fldCharType="separate"/>
        </w:r>
        <w:r w:rsidR="00AA060F">
          <w:rPr>
            <w:noProof/>
            <w:webHidden/>
          </w:rPr>
          <w:t>6</w:t>
        </w:r>
        <w:r w:rsidR="00AA060F">
          <w:rPr>
            <w:noProof/>
            <w:webHidden/>
          </w:rPr>
          <w:fldChar w:fldCharType="end"/>
        </w:r>
      </w:hyperlink>
    </w:p>
    <w:p w14:paraId="3158E0E5" w14:textId="0B3573AD" w:rsidR="00AA060F" w:rsidRDefault="00690672">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61214312" w:history="1">
        <w:r w:rsidR="00AA060F" w:rsidRPr="00DD243B">
          <w:rPr>
            <w:rStyle w:val="Hypertextovprepojenie"/>
            <w:noProof/>
          </w:rPr>
          <w:t>1.5.1.</w:t>
        </w:r>
        <w:r w:rsidR="00AA060F">
          <w:rPr>
            <w:rFonts w:asciiTheme="minorHAnsi" w:eastAsiaTheme="minorEastAsia" w:hAnsiTheme="minorHAnsi" w:cstheme="minorBidi"/>
            <w:i w:val="0"/>
            <w:iCs w:val="0"/>
            <w:noProof/>
            <w:sz w:val="22"/>
            <w:szCs w:val="22"/>
          </w:rPr>
          <w:tab/>
        </w:r>
        <w:r w:rsidR="00AA060F" w:rsidRPr="00DD243B">
          <w:rPr>
            <w:rStyle w:val="Hypertextovprepojenie"/>
            <w:noProof/>
          </w:rPr>
          <w:t>Jadrové elektrárne</w:t>
        </w:r>
        <w:r w:rsidR="00AA060F">
          <w:rPr>
            <w:noProof/>
            <w:webHidden/>
          </w:rPr>
          <w:tab/>
        </w:r>
        <w:r w:rsidR="00AA060F">
          <w:rPr>
            <w:noProof/>
            <w:webHidden/>
          </w:rPr>
          <w:fldChar w:fldCharType="begin"/>
        </w:r>
        <w:r w:rsidR="00AA060F">
          <w:rPr>
            <w:noProof/>
            <w:webHidden/>
          </w:rPr>
          <w:instrText xml:space="preserve"> PAGEREF _Toc161214312 \h </w:instrText>
        </w:r>
        <w:r w:rsidR="00AA060F">
          <w:rPr>
            <w:noProof/>
            <w:webHidden/>
          </w:rPr>
        </w:r>
        <w:r w:rsidR="00AA060F">
          <w:rPr>
            <w:noProof/>
            <w:webHidden/>
          </w:rPr>
          <w:fldChar w:fldCharType="separate"/>
        </w:r>
        <w:r w:rsidR="00AA060F">
          <w:rPr>
            <w:noProof/>
            <w:webHidden/>
          </w:rPr>
          <w:t>6</w:t>
        </w:r>
        <w:r w:rsidR="00AA060F">
          <w:rPr>
            <w:noProof/>
            <w:webHidden/>
          </w:rPr>
          <w:fldChar w:fldCharType="end"/>
        </w:r>
      </w:hyperlink>
    </w:p>
    <w:p w14:paraId="39B86FAF" w14:textId="47318BD9" w:rsidR="00AA060F" w:rsidRDefault="00690672">
      <w:pPr>
        <w:pStyle w:val="Obsah4"/>
        <w:tabs>
          <w:tab w:val="left" w:pos="1760"/>
          <w:tab w:val="right" w:leader="dot" w:pos="9062"/>
        </w:tabs>
        <w:rPr>
          <w:rFonts w:asciiTheme="minorHAnsi" w:eastAsiaTheme="minorEastAsia" w:hAnsiTheme="minorHAnsi" w:cstheme="minorBidi"/>
          <w:noProof/>
          <w:sz w:val="22"/>
          <w:szCs w:val="22"/>
        </w:rPr>
      </w:pPr>
      <w:hyperlink w:anchor="_Toc161214313" w:history="1">
        <w:r w:rsidR="00AA060F" w:rsidRPr="00DD243B">
          <w:rPr>
            <w:rStyle w:val="Hypertextovprepojenie"/>
            <w:noProof/>
          </w:rPr>
          <w:t>1.5.1.1.</w:t>
        </w:r>
        <w:r w:rsidR="00AA060F">
          <w:rPr>
            <w:rFonts w:asciiTheme="minorHAnsi" w:eastAsiaTheme="minorEastAsia" w:hAnsiTheme="minorHAnsi" w:cstheme="minorBidi"/>
            <w:noProof/>
            <w:sz w:val="22"/>
            <w:szCs w:val="22"/>
          </w:rPr>
          <w:tab/>
        </w:r>
        <w:r w:rsidR="00AA060F" w:rsidRPr="00DD243B">
          <w:rPr>
            <w:rStyle w:val="Hypertextovprepojenie"/>
            <w:noProof/>
          </w:rPr>
          <w:t>Prevádzkované jadrové elektrárne</w:t>
        </w:r>
        <w:r w:rsidR="00AA060F">
          <w:rPr>
            <w:noProof/>
            <w:webHidden/>
          </w:rPr>
          <w:tab/>
        </w:r>
        <w:r w:rsidR="00AA060F">
          <w:rPr>
            <w:noProof/>
            <w:webHidden/>
          </w:rPr>
          <w:fldChar w:fldCharType="begin"/>
        </w:r>
        <w:r w:rsidR="00AA060F">
          <w:rPr>
            <w:noProof/>
            <w:webHidden/>
          </w:rPr>
          <w:instrText xml:space="preserve"> PAGEREF _Toc161214313 \h </w:instrText>
        </w:r>
        <w:r w:rsidR="00AA060F">
          <w:rPr>
            <w:noProof/>
            <w:webHidden/>
          </w:rPr>
        </w:r>
        <w:r w:rsidR="00AA060F">
          <w:rPr>
            <w:noProof/>
            <w:webHidden/>
          </w:rPr>
          <w:fldChar w:fldCharType="separate"/>
        </w:r>
        <w:r w:rsidR="00AA060F">
          <w:rPr>
            <w:noProof/>
            <w:webHidden/>
          </w:rPr>
          <w:t>6</w:t>
        </w:r>
        <w:r w:rsidR="00AA060F">
          <w:rPr>
            <w:noProof/>
            <w:webHidden/>
          </w:rPr>
          <w:fldChar w:fldCharType="end"/>
        </w:r>
      </w:hyperlink>
    </w:p>
    <w:p w14:paraId="73A152C7" w14:textId="5DFFD9D7" w:rsidR="00AA060F" w:rsidRDefault="00690672">
      <w:pPr>
        <w:pStyle w:val="Obsah4"/>
        <w:tabs>
          <w:tab w:val="left" w:pos="1760"/>
          <w:tab w:val="right" w:leader="dot" w:pos="9062"/>
        </w:tabs>
        <w:rPr>
          <w:rFonts w:asciiTheme="minorHAnsi" w:eastAsiaTheme="minorEastAsia" w:hAnsiTheme="minorHAnsi" w:cstheme="minorBidi"/>
          <w:noProof/>
          <w:sz w:val="22"/>
          <w:szCs w:val="22"/>
        </w:rPr>
      </w:pPr>
      <w:hyperlink w:anchor="_Toc161214314" w:history="1">
        <w:r w:rsidR="00AA060F" w:rsidRPr="00DD243B">
          <w:rPr>
            <w:rStyle w:val="Hypertextovprepojenie"/>
            <w:noProof/>
          </w:rPr>
          <w:t>1.5.1.2.</w:t>
        </w:r>
        <w:r w:rsidR="00AA060F">
          <w:rPr>
            <w:rFonts w:asciiTheme="minorHAnsi" w:eastAsiaTheme="minorEastAsia" w:hAnsiTheme="minorHAnsi" w:cstheme="minorBidi"/>
            <w:noProof/>
            <w:sz w:val="22"/>
            <w:szCs w:val="22"/>
          </w:rPr>
          <w:tab/>
        </w:r>
        <w:r w:rsidR="00AA060F" w:rsidRPr="00DD243B">
          <w:rPr>
            <w:rStyle w:val="Hypertextovprepojenie"/>
            <w:noProof/>
          </w:rPr>
          <w:t>Jadrové elektrárne vo fáze uvádzania do prevádzky</w:t>
        </w:r>
        <w:r w:rsidR="00AA060F">
          <w:rPr>
            <w:noProof/>
            <w:webHidden/>
          </w:rPr>
          <w:tab/>
        </w:r>
        <w:r w:rsidR="00AA060F">
          <w:rPr>
            <w:noProof/>
            <w:webHidden/>
          </w:rPr>
          <w:fldChar w:fldCharType="begin"/>
        </w:r>
        <w:r w:rsidR="00AA060F">
          <w:rPr>
            <w:noProof/>
            <w:webHidden/>
          </w:rPr>
          <w:instrText xml:space="preserve"> PAGEREF _Toc161214314 \h </w:instrText>
        </w:r>
        <w:r w:rsidR="00AA060F">
          <w:rPr>
            <w:noProof/>
            <w:webHidden/>
          </w:rPr>
        </w:r>
        <w:r w:rsidR="00AA060F">
          <w:rPr>
            <w:noProof/>
            <w:webHidden/>
          </w:rPr>
          <w:fldChar w:fldCharType="separate"/>
        </w:r>
        <w:r w:rsidR="00AA060F">
          <w:rPr>
            <w:noProof/>
            <w:webHidden/>
          </w:rPr>
          <w:t>10</w:t>
        </w:r>
        <w:r w:rsidR="00AA060F">
          <w:rPr>
            <w:noProof/>
            <w:webHidden/>
          </w:rPr>
          <w:fldChar w:fldCharType="end"/>
        </w:r>
      </w:hyperlink>
    </w:p>
    <w:p w14:paraId="0EF1A411" w14:textId="66A93583" w:rsidR="00AA060F" w:rsidRDefault="00690672">
      <w:pPr>
        <w:pStyle w:val="Obsah4"/>
        <w:tabs>
          <w:tab w:val="left" w:pos="1760"/>
          <w:tab w:val="right" w:leader="dot" w:pos="9062"/>
        </w:tabs>
        <w:rPr>
          <w:rFonts w:asciiTheme="minorHAnsi" w:eastAsiaTheme="minorEastAsia" w:hAnsiTheme="minorHAnsi" w:cstheme="minorBidi"/>
          <w:noProof/>
          <w:sz w:val="22"/>
          <w:szCs w:val="22"/>
        </w:rPr>
      </w:pPr>
      <w:hyperlink w:anchor="_Toc161214315" w:history="1">
        <w:r w:rsidR="00AA060F" w:rsidRPr="00DD243B">
          <w:rPr>
            <w:rStyle w:val="Hypertextovprepojenie"/>
            <w:noProof/>
          </w:rPr>
          <w:t>1.5.1.3.</w:t>
        </w:r>
        <w:r w:rsidR="00AA060F">
          <w:rPr>
            <w:rFonts w:asciiTheme="minorHAnsi" w:eastAsiaTheme="minorEastAsia" w:hAnsiTheme="minorHAnsi" w:cstheme="minorBidi"/>
            <w:noProof/>
            <w:sz w:val="22"/>
            <w:szCs w:val="22"/>
          </w:rPr>
          <w:tab/>
        </w:r>
        <w:r w:rsidR="00AA060F" w:rsidRPr="00DD243B">
          <w:rPr>
            <w:rStyle w:val="Hypertextovprepojenie"/>
            <w:noProof/>
          </w:rPr>
          <w:t>Jadrové elektrárne vo výstavbe</w:t>
        </w:r>
        <w:r w:rsidR="00AA060F">
          <w:rPr>
            <w:noProof/>
            <w:webHidden/>
          </w:rPr>
          <w:tab/>
        </w:r>
        <w:r w:rsidR="00AA060F">
          <w:rPr>
            <w:noProof/>
            <w:webHidden/>
          </w:rPr>
          <w:fldChar w:fldCharType="begin"/>
        </w:r>
        <w:r w:rsidR="00AA060F">
          <w:rPr>
            <w:noProof/>
            <w:webHidden/>
          </w:rPr>
          <w:instrText xml:space="preserve"> PAGEREF _Toc161214315 \h </w:instrText>
        </w:r>
        <w:r w:rsidR="00AA060F">
          <w:rPr>
            <w:noProof/>
            <w:webHidden/>
          </w:rPr>
        </w:r>
        <w:r w:rsidR="00AA060F">
          <w:rPr>
            <w:noProof/>
            <w:webHidden/>
          </w:rPr>
          <w:fldChar w:fldCharType="separate"/>
        </w:r>
        <w:r w:rsidR="00AA060F">
          <w:rPr>
            <w:noProof/>
            <w:webHidden/>
          </w:rPr>
          <w:t>11</w:t>
        </w:r>
        <w:r w:rsidR="00AA060F">
          <w:rPr>
            <w:noProof/>
            <w:webHidden/>
          </w:rPr>
          <w:fldChar w:fldCharType="end"/>
        </w:r>
      </w:hyperlink>
    </w:p>
    <w:p w14:paraId="672FD8BF" w14:textId="4F3FD5E8" w:rsidR="00AA060F" w:rsidRDefault="00690672">
      <w:pPr>
        <w:pStyle w:val="Obsah4"/>
        <w:tabs>
          <w:tab w:val="left" w:pos="1760"/>
          <w:tab w:val="right" w:leader="dot" w:pos="9062"/>
        </w:tabs>
        <w:rPr>
          <w:rFonts w:asciiTheme="minorHAnsi" w:eastAsiaTheme="minorEastAsia" w:hAnsiTheme="minorHAnsi" w:cstheme="minorBidi"/>
          <w:noProof/>
          <w:sz w:val="22"/>
          <w:szCs w:val="22"/>
        </w:rPr>
      </w:pPr>
      <w:hyperlink w:anchor="_Toc161214316" w:history="1">
        <w:r w:rsidR="00AA060F" w:rsidRPr="00DD243B">
          <w:rPr>
            <w:rStyle w:val="Hypertextovprepojenie"/>
            <w:noProof/>
          </w:rPr>
          <w:t>1.5.1.4.</w:t>
        </w:r>
        <w:r w:rsidR="00AA060F">
          <w:rPr>
            <w:rFonts w:asciiTheme="minorHAnsi" w:eastAsiaTheme="minorEastAsia" w:hAnsiTheme="minorHAnsi" w:cstheme="minorBidi"/>
            <w:noProof/>
            <w:sz w:val="22"/>
            <w:szCs w:val="22"/>
          </w:rPr>
          <w:tab/>
        </w:r>
        <w:r w:rsidR="00AA060F" w:rsidRPr="00DD243B">
          <w:rPr>
            <w:rStyle w:val="Hypertextovprepojenie"/>
            <w:noProof/>
          </w:rPr>
          <w:t>Jadrové elektrárne vo vyraďovaní</w:t>
        </w:r>
        <w:r w:rsidR="00AA060F">
          <w:rPr>
            <w:noProof/>
            <w:webHidden/>
          </w:rPr>
          <w:tab/>
        </w:r>
        <w:r w:rsidR="00AA060F">
          <w:rPr>
            <w:noProof/>
            <w:webHidden/>
          </w:rPr>
          <w:fldChar w:fldCharType="begin"/>
        </w:r>
        <w:r w:rsidR="00AA060F">
          <w:rPr>
            <w:noProof/>
            <w:webHidden/>
          </w:rPr>
          <w:instrText xml:space="preserve"> PAGEREF _Toc161214316 \h </w:instrText>
        </w:r>
        <w:r w:rsidR="00AA060F">
          <w:rPr>
            <w:noProof/>
            <w:webHidden/>
          </w:rPr>
        </w:r>
        <w:r w:rsidR="00AA060F">
          <w:rPr>
            <w:noProof/>
            <w:webHidden/>
          </w:rPr>
          <w:fldChar w:fldCharType="separate"/>
        </w:r>
        <w:r w:rsidR="00AA060F">
          <w:rPr>
            <w:noProof/>
            <w:webHidden/>
          </w:rPr>
          <w:t>11</w:t>
        </w:r>
        <w:r w:rsidR="00AA060F">
          <w:rPr>
            <w:noProof/>
            <w:webHidden/>
          </w:rPr>
          <w:fldChar w:fldCharType="end"/>
        </w:r>
      </w:hyperlink>
    </w:p>
    <w:p w14:paraId="319AF68C" w14:textId="481CB3C4" w:rsidR="00AA060F" w:rsidRDefault="00690672">
      <w:pPr>
        <w:pStyle w:val="Obsah3"/>
        <w:tabs>
          <w:tab w:val="left" w:pos="1320"/>
          <w:tab w:val="right" w:leader="dot" w:pos="9062"/>
        </w:tabs>
        <w:rPr>
          <w:rFonts w:asciiTheme="minorHAnsi" w:eastAsiaTheme="minorEastAsia" w:hAnsiTheme="minorHAnsi" w:cstheme="minorBidi"/>
          <w:i w:val="0"/>
          <w:iCs w:val="0"/>
          <w:noProof/>
          <w:sz w:val="22"/>
          <w:szCs w:val="22"/>
        </w:rPr>
      </w:pPr>
      <w:hyperlink w:anchor="_Toc161214317" w:history="1">
        <w:r w:rsidR="00AA060F" w:rsidRPr="00DD243B">
          <w:rPr>
            <w:rStyle w:val="Hypertextovprepojenie"/>
            <w:noProof/>
          </w:rPr>
          <w:t>1.5.2.</w:t>
        </w:r>
        <w:r w:rsidR="00AA060F">
          <w:rPr>
            <w:rFonts w:asciiTheme="minorHAnsi" w:eastAsiaTheme="minorEastAsia" w:hAnsiTheme="minorHAnsi" w:cstheme="minorBidi"/>
            <w:i w:val="0"/>
            <w:iCs w:val="0"/>
            <w:noProof/>
            <w:sz w:val="22"/>
            <w:szCs w:val="22"/>
          </w:rPr>
          <w:tab/>
        </w:r>
        <w:r w:rsidR="00AA060F" w:rsidRPr="00DD243B">
          <w:rPr>
            <w:rStyle w:val="Hypertextovprepojenie"/>
            <w:noProof/>
          </w:rPr>
          <w:t>Iné jadrové zariadenia</w:t>
        </w:r>
        <w:r w:rsidR="00AA060F">
          <w:rPr>
            <w:noProof/>
            <w:webHidden/>
          </w:rPr>
          <w:tab/>
        </w:r>
        <w:r w:rsidR="00AA060F">
          <w:rPr>
            <w:noProof/>
            <w:webHidden/>
          </w:rPr>
          <w:fldChar w:fldCharType="begin"/>
        </w:r>
        <w:r w:rsidR="00AA060F">
          <w:rPr>
            <w:noProof/>
            <w:webHidden/>
          </w:rPr>
          <w:instrText xml:space="preserve"> PAGEREF _Toc161214317 \h </w:instrText>
        </w:r>
        <w:r w:rsidR="00AA060F">
          <w:rPr>
            <w:noProof/>
            <w:webHidden/>
          </w:rPr>
        </w:r>
        <w:r w:rsidR="00AA060F">
          <w:rPr>
            <w:noProof/>
            <w:webHidden/>
          </w:rPr>
          <w:fldChar w:fldCharType="separate"/>
        </w:r>
        <w:r w:rsidR="00AA060F">
          <w:rPr>
            <w:noProof/>
            <w:webHidden/>
          </w:rPr>
          <w:t>12</w:t>
        </w:r>
        <w:r w:rsidR="00AA060F">
          <w:rPr>
            <w:noProof/>
            <w:webHidden/>
          </w:rPr>
          <w:fldChar w:fldCharType="end"/>
        </w:r>
      </w:hyperlink>
    </w:p>
    <w:p w14:paraId="20F12690" w14:textId="2438B6AB" w:rsidR="00AA060F" w:rsidRDefault="00690672">
      <w:pPr>
        <w:pStyle w:val="Obsah1"/>
        <w:rPr>
          <w:rFonts w:asciiTheme="minorHAnsi" w:eastAsiaTheme="minorEastAsia" w:hAnsiTheme="minorHAnsi" w:cstheme="minorBidi"/>
          <w:b w:val="0"/>
          <w:bCs w:val="0"/>
          <w:caps w:val="0"/>
          <w:sz w:val="22"/>
          <w:szCs w:val="22"/>
        </w:rPr>
      </w:pPr>
      <w:hyperlink w:anchor="_Toc161214318" w:history="1">
        <w:r w:rsidR="00AA060F" w:rsidRPr="00DD243B">
          <w:rPr>
            <w:rStyle w:val="Hypertextovprepojenie"/>
          </w:rPr>
          <w:t>2.</w:t>
        </w:r>
        <w:r w:rsidR="00AA060F">
          <w:rPr>
            <w:rFonts w:asciiTheme="minorHAnsi" w:eastAsiaTheme="minorEastAsia" w:hAnsiTheme="minorHAnsi" w:cstheme="minorBidi"/>
            <w:b w:val="0"/>
            <w:bCs w:val="0"/>
            <w:caps w:val="0"/>
            <w:sz w:val="22"/>
            <w:szCs w:val="22"/>
          </w:rPr>
          <w:tab/>
        </w:r>
        <w:r w:rsidR="00AA060F" w:rsidRPr="00DD243B">
          <w:rPr>
            <w:rStyle w:val="Hypertextovprepojenie"/>
          </w:rPr>
          <w:t>PÔSOBNOSŤ STAVEBNÉHO ÚRADU</w:t>
        </w:r>
        <w:r w:rsidR="00AA060F">
          <w:rPr>
            <w:webHidden/>
          </w:rPr>
          <w:tab/>
        </w:r>
        <w:r w:rsidR="00AA060F">
          <w:rPr>
            <w:webHidden/>
          </w:rPr>
          <w:fldChar w:fldCharType="begin"/>
        </w:r>
        <w:r w:rsidR="00AA060F">
          <w:rPr>
            <w:webHidden/>
          </w:rPr>
          <w:instrText xml:space="preserve"> PAGEREF _Toc161214318 \h </w:instrText>
        </w:r>
        <w:r w:rsidR="00AA060F">
          <w:rPr>
            <w:webHidden/>
          </w:rPr>
        </w:r>
        <w:r w:rsidR="00AA060F">
          <w:rPr>
            <w:webHidden/>
          </w:rPr>
          <w:fldChar w:fldCharType="separate"/>
        </w:r>
        <w:r w:rsidR="00AA060F">
          <w:rPr>
            <w:webHidden/>
          </w:rPr>
          <w:t>15</w:t>
        </w:r>
        <w:r w:rsidR="00AA060F">
          <w:rPr>
            <w:webHidden/>
          </w:rPr>
          <w:fldChar w:fldCharType="end"/>
        </w:r>
      </w:hyperlink>
    </w:p>
    <w:p w14:paraId="5E6123A6" w14:textId="7123981C" w:rsidR="00AA060F" w:rsidRDefault="00690672">
      <w:pPr>
        <w:pStyle w:val="Obsah1"/>
        <w:rPr>
          <w:rFonts w:asciiTheme="minorHAnsi" w:eastAsiaTheme="minorEastAsia" w:hAnsiTheme="minorHAnsi" w:cstheme="minorBidi"/>
          <w:b w:val="0"/>
          <w:bCs w:val="0"/>
          <w:caps w:val="0"/>
          <w:sz w:val="22"/>
          <w:szCs w:val="22"/>
        </w:rPr>
      </w:pPr>
      <w:hyperlink w:anchor="_Toc161214319" w:history="1">
        <w:r w:rsidR="00AA060F" w:rsidRPr="00DD243B">
          <w:rPr>
            <w:rStyle w:val="Hypertextovprepojenie"/>
          </w:rPr>
          <w:t>3.</w:t>
        </w:r>
        <w:r w:rsidR="00AA060F">
          <w:rPr>
            <w:rFonts w:asciiTheme="minorHAnsi" w:eastAsiaTheme="minorEastAsia" w:hAnsiTheme="minorHAnsi" w:cstheme="minorBidi"/>
            <w:b w:val="0"/>
            <w:bCs w:val="0"/>
            <w:caps w:val="0"/>
            <w:sz w:val="22"/>
            <w:szCs w:val="22"/>
          </w:rPr>
          <w:tab/>
        </w:r>
        <w:r w:rsidR="00AA060F" w:rsidRPr="00DD243B">
          <w:rPr>
            <w:rStyle w:val="Hypertextovprepojenie"/>
          </w:rPr>
          <w:t>jadrovÉ materiálY</w:t>
        </w:r>
        <w:r w:rsidR="00AA060F">
          <w:rPr>
            <w:webHidden/>
          </w:rPr>
          <w:tab/>
        </w:r>
        <w:r w:rsidR="00AA060F">
          <w:rPr>
            <w:webHidden/>
          </w:rPr>
          <w:fldChar w:fldCharType="begin"/>
        </w:r>
        <w:r w:rsidR="00AA060F">
          <w:rPr>
            <w:webHidden/>
          </w:rPr>
          <w:instrText xml:space="preserve"> PAGEREF _Toc161214319 \h </w:instrText>
        </w:r>
        <w:r w:rsidR="00AA060F">
          <w:rPr>
            <w:webHidden/>
          </w:rPr>
        </w:r>
        <w:r w:rsidR="00AA060F">
          <w:rPr>
            <w:webHidden/>
          </w:rPr>
          <w:fldChar w:fldCharType="separate"/>
        </w:r>
        <w:r w:rsidR="00AA060F">
          <w:rPr>
            <w:webHidden/>
          </w:rPr>
          <w:t>15</w:t>
        </w:r>
        <w:r w:rsidR="00AA060F">
          <w:rPr>
            <w:webHidden/>
          </w:rPr>
          <w:fldChar w:fldCharType="end"/>
        </w:r>
      </w:hyperlink>
    </w:p>
    <w:p w14:paraId="4FA18021" w14:textId="0DE13AEA" w:rsidR="00AA060F" w:rsidRDefault="00690672">
      <w:pPr>
        <w:pStyle w:val="Obsah2"/>
        <w:rPr>
          <w:rFonts w:asciiTheme="minorHAnsi" w:eastAsiaTheme="minorEastAsia" w:hAnsiTheme="minorHAnsi" w:cstheme="minorBidi"/>
          <w:smallCaps w:val="0"/>
          <w:noProof/>
          <w:sz w:val="22"/>
          <w:szCs w:val="22"/>
        </w:rPr>
      </w:pPr>
      <w:hyperlink w:anchor="_Toc161214320" w:history="1">
        <w:r w:rsidR="00AA060F" w:rsidRPr="00DD243B">
          <w:rPr>
            <w:rStyle w:val="Hypertextovprepojenie"/>
            <w:rFonts w:eastAsia="Calibri"/>
            <w:noProof/>
            <w:lang w:eastAsia="en-US"/>
          </w:rPr>
          <w:t>3.1.</w:t>
        </w:r>
        <w:r w:rsidR="00AA060F">
          <w:rPr>
            <w:rFonts w:asciiTheme="minorHAnsi" w:eastAsiaTheme="minorEastAsia" w:hAnsiTheme="minorHAnsi" w:cstheme="minorBidi"/>
            <w:smallCaps w:val="0"/>
            <w:noProof/>
            <w:sz w:val="22"/>
            <w:szCs w:val="22"/>
          </w:rPr>
          <w:tab/>
        </w:r>
        <w:r w:rsidR="00AA060F" w:rsidRPr="00DD243B">
          <w:rPr>
            <w:rStyle w:val="Hypertextovprepojenie"/>
            <w:rFonts w:eastAsia="Calibri"/>
            <w:noProof/>
            <w:lang w:eastAsia="en-US"/>
          </w:rPr>
          <w:t>Evidencia a kontrola jadrových materiálov</w:t>
        </w:r>
        <w:r w:rsidR="00AA060F">
          <w:rPr>
            <w:noProof/>
            <w:webHidden/>
          </w:rPr>
          <w:tab/>
        </w:r>
        <w:r w:rsidR="00AA060F">
          <w:rPr>
            <w:noProof/>
            <w:webHidden/>
          </w:rPr>
          <w:fldChar w:fldCharType="begin"/>
        </w:r>
        <w:r w:rsidR="00AA060F">
          <w:rPr>
            <w:noProof/>
            <w:webHidden/>
          </w:rPr>
          <w:instrText xml:space="preserve"> PAGEREF _Toc161214320 \h </w:instrText>
        </w:r>
        <w:r w:rsidR="00AA060F">
          <w:rPr>
            <w:noProof/>
            <w:webHidden/>
          </w:rPr>
        </w:r>
        <w:r w:rsidR="00AA060F">
          <w:rPr>
            <w:noProof/>
            <w:webHidden/>
          </w:rPr>
          <w:fldChar w:fldCharType="separate"/>
        </w:r>
        <w:r w:rsidR="00AA060F">
          <w:rPr>
            <w:noProof/>
            <w:webHidden/>
          </w:rPr>
          <w:t>15</w:t>
        </w:r>
        <w:r w:rsidR="00AA060F">
          <w:rPr>
            <w:noProof/>
            <w:webHidden/>
          </w:rPr>
          <w:fldChar w:fldCharType="end"/>
        </w:r>
      </w:hyperlink>
    </w:p>
    <w:p w14:paraId="01BD5041" w14:textId="50055725" w:rsidR="00AA060F" w:rsidRDefault="00690672">
      <w:pPr>
        <w:pStyle w:val="Obsah2"/>
        <w:rPr>
          <w:rFonts w:asciiTheme="minorHAnsi" w:eastAsiaTheme="minorEastAsia" w:hAnsiTheme="minorHAnsi" w:cstheme="minorBidi"/>
          <w:smallCaps w:val="0"/>
          <w:noProof/>
          <w:sz w:val="22"/>
          <w:szCs w:val="22"/>
        </w:rPr>
      </w:pPr>
      <w:hyperlink w:anchor="_Toc161214321" w:history="1">
        <w:r w:rsidR="00AA060F" w:rsidRPr="00DD243B">
          <w:rPr>
            <w:rStyle w:val="Hypertextovprepojenie"/>
            <w:rFonts w:eastAsia="Calibri"/>
            <w:noProof/>
            <w:lang w:eastAsia="en-US"/>
          </w:rPr>
          <w:t>3.2.</w:t>
        </w:r>
        <w:r w:rsidR="00AA060F">
          <w:rPr>
            <w:rFonts w:asciiTheme="minorHAnsi" w:eastAsiaTheme="minorEastAsia" w:hAnsiTheme="minorHAnsi" w:cstheme="minorBidi"/>
            <w:smallCaps w:val="0"/>
            <w:noProof/>
            <w:sz w:val="22"/>
            <w:szCs w:val="22"/>
          </w:rPr>
          <w:tab/>
        </w:r>
        <w:r w:rsidR="00AA060F" w:rsidRPr="00DD243B">
          <w:rPr>
            <w:rStyle w:val="Hypertextovprepojenie"/>
            <w:rFonts w:eastAsia="Calibri"/>
            <w:noProof/>
            <w:lang w:eastAsia="en-US"/>
          </w:rPr>
          <w:t>Preprava jadrových materiálov</w:t>
        </w:r>
        <w:r w:rsidR="00AA060F">
          <w:rPr>
            <w:noProof/>
            <w:webHidden/>
          </w:rPr>
          <w:tab/>
        </w:r>
        <w:r w:rsidR="00AA060F">
          <w:rPr>
            <w:noProof/>
            <w:webHidden/>
          </w:rPr>
          <w:fldChar w:fldCharType="begin"/>
        </w:r>
        <w:r w:rsidR="00AA060F">
          <w:rPr>
            <w:noProof/>
            <w:webHidden/>
          </w:rPr>
          <w:instrText xml:space="preserve"> PAGEREF _Toc161214321 \h </w:instrText>
        </w:r>
        <w:r w:rsidR="00AA060F">
          <w:rPr>
            <w:noProof/>
            <w:webHidden/>
          </w:rPr>
        </w:r>
        <w:r w:rsidR="00AA060F">
          <w:rPr>
            <w:noProof/>
            <w:webHidden/>
          </w:rPr>
          <w:fldChar w:fldCharType="separate"/>
        </w:r>
        <w:r w:rsidR="00AA060F">
          <w:rPr>
            <w:noProof/>
            <w:webHidden/>
          </w:rPr>
          <w:t>17</w:t>
        </w:r>
        <w:r w:rsidR="00AA060F">
          <w:rPr>
            <w:noProof/>
            <w:webHidden/>
          </w:rPr>
          <w:fldChar w:fldCharType="end"/>
        </w:r>
      </w:hyperlink>
    </w:p>
    <w:p w14:paraId="56BC6E0E" w14:textId="503EC2B1" w:rsidR="00AA060F" w:rsidRDefault="00690672">
      <w:pPr>
        <w:pStyle w:val="Obsah2"/>
        <w:rPr>
          <w:rFonts w:asciiTheme="minorHAnsi" w:eastAsiaTheme="minorEastAsia" w:hAnsiTheme="minorHAnsi" w:cstheme="minorBidi"/>
          <w:smallCaps w:val="0"/>
          <w:noProof/>
          <w:sz w:val="22"/>
          <w:szCs w:val="22"/>
        </w:rPr>
      </w:pPr>
      <w:hyperlink w:anchor="_Toc161214322" w:history="1">
        <w:r w:rsidR="00AA060F" w:rsidRPr="00DD243B">
          <w:rPr>
            <w:rStyle w:val="Hypertextovprepojenie"/>
            <w:noProof/>
          </w:rPr>
          <w:t>3.3.</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Nezákonné nakladanie s jadrovými a rádioaktívnymi materiálmi</w:t>
        </w:r>
        <w:r w:rsidR="00AA060F">
          <w:rPr>
            <w:noProof/>
            <w:webHidden/>
          </w:rPr>
          <w:tab/>
        </w:r>
        <w:r w:rsidR="00AA060F">
          <w:rPr>
            <w:noProof/>
            <w:webHidden/>
          </w:rPr>
          <w:fldChar w:fldCharType="begin"/>
        </w:r>
        <w:r w:rsidR="00AA060F">
          <w:rPr>
            <w:noProof/>
            <w:webHidden/>
          </w:rPr>
          <w:instrText xml:space="preserve"> PAGEREF _Toc161214322 \h </w:instrText>
        </w:r>
        <w:r w:rsidR="00AA060F">
          <w:rPr>
            <w:noProof/>
            <w:webHidden/>
          </w:rPr>
        </w:r>
        <w:r w:rsidR="00AA060F">
          <w:rPr>
            <w:noProof/>
            <w:webHidden/>
          </w:rPr>
          <w:fldChar w:fldCharType="separate"/>
        </w:r>
        <w:r w:rsidR="00AA060F">
          <w:rPr>
            <w:noProof/>
            <w:webHidden/>
          </w:rPr>
          <w:t>17</w:t>
        </w:r>
        <w:r w:rsidR="00AA060F">
          <w:rPr>
            <w:noProof/>
            <w:webHidden/>
          </w:rPr>
          <w:fldChar w:fldCharType="end"/>
        </w:r>
      </w:hyperlink>
    </w:p>
    <w:p w14:paraId="15D701E2" w14:textId="36680F86" w:rsidR="00AA060F" w:rsidRDefault="00690672">
      <w:pPr>
        <w:pStyle w:val="Obsah2"/>
        <w:rPr>
          <w:rFonts w:asciiTheme="minorHAnsi" w:eastAsiaTheme="minorEastAsia" w:hAnsiTheme="minorHAnsi" w:cstheme="minorBidi"/>
          <w:smallCaps w:val="0"/>
          <w:noProof/>
          <w:sz w:val="22"/>
          <w:szCs w:val="22"/>
        </w:rPr>
      </w:pPr>
      <w:hyperlink w:anchor="_Toc161214323" w:history="1">
        <w:r w:rsidR="00AA060F" w:rsidRPr="00DD243B">
          <w:rPr>
            <w:rStyle w:val="Hypertextovprepojenie"/>
            <w:rFonts w:eastAsia="Calibri"/>
            <w:iCs/>
            <w:noProof/>
            <w:lang w:eastAsia="en-US"/>
          </w:rPr>
          <w:t>3.4.</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Kontrola skladovania čerstvého a vyhoretého jadrového paliva</w:t>
        </w:r>
        <w:r w:rsidR="00AA060F">
          <w:rPr>
            <w:noProof/>
            <w:webHidden/>
          </w:rPr>
          <w:tab/>
        </w:r>
        <w:r w:rsidR="00AA060F">
          <w:rPr>
            <w:noProof/>
            <w:webHidden/>
          </w:rPr>
          <w:fldChar w:fldCharType="begin"/>
        </w:r>
        <w:r w:rsidR="00AA060F">
          <w:rPr>
            <w:noProof/>
            <w:webHidden/>
          </w:rPr>
          <w:instrText xml:space="preserve"> PAGEREF _Toc161214323 \h </w:instrText>
        </w:r>
        <w:r w:rsidR="00AA060F">
          <w:rPr>
            <w:noProof/>
            <w:webHidden/>
          </w:rPr>
        </w:r>
        <w:r w:rsidR="00AA060F">
          <w:rPr>
            <w:noProof/>
            <w:webHidden/>
          </w:rPr>
          <w:fldChar w:fldCharType="separate"/>
        </w:r>
        <w:r w:rsidR="00AA060F">
          <w:rPr>
            <w:noProof/>
            <w:webHidden/>
          </w:rPr>
          <w:t>17</w:t>
        </w:r>
        <w:r w:rsidR="00AA060F">
          <w:rPr>
            <w:noProof/>
            <w:webHidden/>
          </w:rPr>
          <w:fldChar w:fldCharType="end"/>
        </w:r>
      </w:hyperlink>
    </w:p>
    <w:p w14:paraId="746FE9B4" w14:textId="325D7795" w:rsidR="00AA060F" w:rsidRDefault="00690672">
      <w:pPr>
        <w:pStyle w:val="Obsah1"/>
        <w:rPr>
          <w:rFonts w:asciiTheme="minorHAnsi" w:eastAsiaTheme="minorEastAsia" w:hAnsiTheme="minorHAnsi" w:cstheme="minorBidi"/>
          <w:b w:val="0"/>
          <w:bCs w:val="0"/>
          <w:caps w:val="0"/>
          <w:sz w:val="22"/>
          <w:szCs w:val="22"/>
        </w:rPr>
      </w:pPr>
      <w:hyperlink w:anchor="_Toc161214324" w:history="1">
        <w:r w:rsidR="00AA060F" w:rsidRPr="00DD243B">
          <w:rPr>
            <w:rStyle w:val="Hypertextovprepojenie"/>
          </w:rPr>
          <w:t>4.</w:t>
        </w:r>
        <w:r w:rsidR="00AA060F">
          <w:rPr>
            <w:rFonts w:asciiTheme="minorHAnsi" w:eastAsiaTheme="minorEastAsia" w:hAnsiTheme="minorHAnsi" w:cstheme="minorBidi"/>
            <w:b w:val="0"/>
            <w:bCs w:val="0"/>
            <w:caps w:val="0"/>
            <w:sz w:val="22"/>
            <w:szCs w:val="22"/>
          </w:rPr>
          <w:tab/>
        </w:r>
        <w:r w:rsidR="00AA060F" w:rsidRPr="00DD243B">
          <w:rPr>
            <w:rStyle w:val="Hypertextovprepojenie"/>
          </w:rPr>
          <w:t>Fyzická BEZPEČNOSŤ JZ a JM (</w:t>
        </w:r>
        <w:r w:rsidR="00AA060F" w:rsidRPr="00DD243B">
          <w:rPr>
            <w:rStyle w:val="Hypertextovprepojenie"/>
            <w:rFonts w:eastAsia="SimSun"/>
          </w:rPr>
          <w:t>Fyzická ochrana a kybernetická bezpečnosť)</w:t>
        </w:r>
        <w:r w:rsidR="00AA060F">
          <w:rPr>
            <w:webHidden/>
          </w:rPr>
          <w:tab/>
        </w:r>
        <w:r w:rsidR="00AA060F">
          <w:rPr>
            <w:webHidden/>
          </w:rPr>
          <w:fldChar w:fldCharType="begin"/>
        </w:r>
        <w:r w:rsidR="00AA060F">
          <w:rPr>
            <w:webHidden/>
          </w:rPr>
          <w:instrText xml:space="preserve"> PAGEREF _Toc161214324 \h </w:instrText>
        </w:r>
        <w:r w:rsidR="00AA060F">
          <w:rPr>
            <w:webHidden/>
          </w:rPr>
        </w:r>
        <w:r w:rsidR="00AA060F">
          <w:rPr>
            <w:webHidden/>
          </w:rPr>
          <w:fldChar w:fldCharType="separate"/>
        </w:r>
        <w:r w:rsidR="00AA060F">
          <w:rPr>
            <w:webHidden/>
          </w:rPr>
          <w:t>17</w:t>
        </w:r>
        <w:r w:rsidR="00AA060F">
          <w:rPr>
            <w:webHidden/>
          </w:rPr>
          <w:fldChar w:fldCharType="end"/>
        </w:r>
      </w:hyperlink>
    </w:p>
    <w:p w14:paraId="04659DD9" w14:textId="031130E1" w:rsidR="00AA060F" w:rsidRDefault="00690672">
      <w:pPr>
        <w:pStyle w:val="Obsah1"/>
        <w:rPr>
          <w:rFonts w:asciiTheme="minorHAnsi" w:eastAsiaTheme="minorEastAsia" w:hAnsiTheme="minorHAnsi" w:cstheme="minorBidi"/>
          <w:b w:val="0"/>
          <w:bCs w:val="0"/>
          <w:caps w:val="0"/>
          <w:sz w:val="22"/>
          <w:szCs w:val="22"/>
        </w:rPr>
      </w:pPr>
      <w:hyperlink w:anchor="_Toc161214325" w:history="1">
        <w:r w:rsidR="00AA060F" w:rsidRPr="00DD243B">
          <w:rPr>
            <w:rStyle w:val="Hypertextovprepojenie"/>
          </w:rPr>
          <w:t>5.</w:t>
        </w:r>
        <w:r w:rsidR="00AA060F">
          <w:rPr>
            <w:rFonts w:asciiTheme="minorHAnsi" w:eastAsiaTheme="minorEastAsia" w:hAnsiTheme="minorHAnsi" w:cstheme="minorBidi"/>
            <w:b w:val="0"/>
            <w:bCs w:val="0"/>
            <w:caps w:val="0"/>
            <w:sz w:val="22"/>
            <w:szCs w:val="22"/>
          </w:rPr>
          <w:tab/>
        </w:r>
        <w:r w:rsidR="00AA060F" w:rsidRPr="00DD243B">
          <w:rPr>
            <w:rStyle w:val="Hypertextovprepojenie"/>
          </w:rPr>
          <w:t>HAvarijné plánovanie a pripravenosť</w:t>
        </w:r>
        <w:r w:rsidR="00AA060F">
          <w:rPr>
            <w:webHidden/>
          </w:rPr>
          <w:tab/>
        </w:r>
        <w:r w:rsidR="00AA060F">
          <w:rPr>
            <w:webHidden/>
          </w:rPr>
          <w:fldChar w:fldCharType="begin"/>
        </w:r>
        <w:r w:rsidR="00AA060F">
          <w:rPr>
            <w:webHidden/>
          </w:rPr>
          <w:instrText xml:space="preserve"> PAGEREF _Toc161214325 \h </w:instrText>
        </w:r>
        <w:r w:rsidR="00AA060F">
          <w:rPr>
            <w:webHidden/>
          </w:rPr>
        </w:r>
        <w:r w:rsidR="00AA060F">
          <w:rPr>
            <w:webHidden/>
          </w:rPr>
          <w:fldChar w:fldCharType="separate"/>
        </w:r>
        <w:r w:rsidR="00AA060F">
          <w:rPr>
            <w:webHidden/>
          </w:rPr>
          <w:t>19</w:t>
        </w:r>
        <w:r w:rsidR="00AA060F">
          <w:rPr>
            <w:webHidden/>
          </w:rPr>
          <w:fldChar w:fldCharType="end"/>
        </w:r>
      </w:hyperlink>
    </w:p>
    <w:p w14:paraId="49654042" w14:textId="7FB43E67" w:rsidR="00AA060F" w:rsidRDefault="00690672">
      <w:pPr>
        <w:pStyle w:val="Obsah1"/>
        <w:rPr>
          <w:rFonts w:asciiTheme="minorHAnsi" w:eastAsiaTheme="minorEastAsia" w:hAnsiTheme="minorHAnsi" w:cstheme="minorBidi"/>
          <w:b w:val="0"/>
          <w:bCs w:val="0"/>
          <w:caps w:val="0"/>
          <w:sz w:val="22"/>
          <w:szCs w:val="22"/>
        </w:rPr>
      </w:pPr>
      <w:hyperlink w:anchor="_Toc161214326" w:history="1">
        <w:r w:rsidR="00AA060F" w:rsidRPr="00DD243B">
          <w:rPr>
            <w:rStyle w:val="Hypertextovprepojenie"/>
          </w:rPr>
          <w:t>6.</w:t>
        </w:r>
        <w:r w:rsidR="00AA060F">
          <w:rPr>
            <w:rFonts w:asciiTheme="minorHAnsi" w:eastAsiaTheme="minorEastAsia" w:hAnsiTheme="minorHAnsi" w:cstheme="minorBidi"/>
            <w:b w:val="0"/>
            <w:bCs w:val="0"/>
            <w:caps w:val="0"/>
            <w:sz w:val="22"/>
            <w:szCs w:val="22"/>
          </w:rPr>
          <w:tab/>
        </w:r>
        <w:r w:rsidR="00AA060F" w:rsidRPr="00DD243B">
          <w:rPr>
            <w:rStyle w:val="Hypertextovprepojenie"/>
          </w:rPr>
          <w:t>MEdzinárodné aktivity</w:t>
        </w:r>
        <w:r w:rsidR="00AA060F">
          <w:rPr>
            <w:webHidden/>
          </w:rPr>
          <w:tab/>
        </w:r>
        <w:r w:rsidR="00AA060F">
          <w:rPr>
            <w:webHidden/>
          </w:rPr>
          <w:fldChar w:fldCharType="begin"/>
        </w:r>
        <w:r w:rsidR="00AA060F">
          <w:rPr>
            <w:webHidden/>
          </w:rPr>
          <w:instrText xml:space="preserve"> PAGEREF _Toc161214326 \h </w:instrText>
        </w:r>
        <w:r w:rsidR="00AA060F">
          <w:rPr>
            <w:webHidden/>
          </w:rPr>
        </w:r>
        <w:r w:rsidR="00AA060F">
          <w:rPr>
            <w:webHidden/>
          </w:rPr>
          <w:fldChar w:fldCharType="separate"/>
        </w:r>
        <w:r w:rsidR="00AA060F">
          <w:rPr>
            <w:webHidden/>
          </w:rPr>
          <w:t>21</w:t>
        </w:r>
        <w:r w:rsidR="00AA060F">
          <w:rPr>
            <w:webHidden/>
          </w:rPr>
          <w:fldChar w:fldCharType="end"/>
        </w:r>
      </w:hyperlink>
    </w:p>
    <w:p w14:paraId="4C5F072E" w14:textId="0EF20DC5" w:rsidR="00AA060F" w:rsidRDefault="00690672">
      <w:pPr>
        <w:pStyle w:val="Obsah2"/>
        <w:rPr>
          <w:rFonts w:asciiTheme="minorHAnsi" w:eastAsiaTheme="minorEastAsia" w:hAnsiTheme="minorHAnsi" w:cstheme="minorBidi"/>
          <w:smallCaps w:val="0"/>
          <w:noProof/>
          <w:sz w:val="22"/>
          <w:szCs w:val="22"/>
        </w:rPr>
      </w:pPr>
      <w:hyperlink w:anchor="_Toc161214327" w:history="1">
        <w:r w:rsidR="00AA060F" w:rsidRPr="00DD243B">
          <w:rPr>
            <w:rStyle w:val="Hypertextovprepojenie"/>
            <w:noProof/>
          </w:rPr>
          <w:t>6.1.</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Spolupráca v rámci Európskej únie a Európskeho spoločenstva pre atómovú energiu</w:t>
        </w:r>
        <w:r w:rsidR="00AA060F">
          <w:rPr>
            <w:noProof/>
            <w:webHidden/>
          </w:rPr>
          <w:tab/>
        </w:r>
        <w:r w:rsidR="00AA060F">
          <w:rPr>
            <w:noProof/>
            <w:webHidden/>
          </w:rPr>
          <w:fldChar w:fldCharType="begin"/>
        </w:r>
        <w:r w:rsidR="00AA060F">
          <w:rPr>
            <w:noProof/>
            <w:webHidden/>
          </w:rPr>
          <w:instrText xml:space="preserve"> PAGEREF _Toc161214327 \h </w:instrText>
        </w:r>
        <w:r w:rsidR="00AA060F">
          <w:rPr>
            <w:noProof/>
            <w:webHidden/>
          </w:rPr>
        </w:r>
        <w:r w:rsidR="00AA060F">
          <w:rPr>
            <w:noProof/>
            <w:webHidden/>
          </w:rPr>
          <w:fldChar w:fldCharType="separate"/>
        </w:r>
        <w:r w:rsidR="00AA060F">
          <w:rPr>
            <w:noProof/>
            <w:webHidden/>
          </w:rPr>
          <w:t>21</w:t>
        </w:r>
        <w:r w:rsidR="00AA060F">
          <w:rPr>
            <w:noProof/>
            <w:webHidden/>
          </w:rPr>
          <w:fldChar w:fldCharType="end"/>
        </w:r>
      </w:hyperlink>
    </w:p>
    <w:p w14:paraId="74A35C6E" w14:textId="4CF0D15E" w:rsidR="00AA060F" w:rsidRDefault="00690672">
      <w:pPr>
        <w:pStyle w:val="Obsah2"/>
        <w:rPr>
          <w:rFonts w:asciiTheme="minorHAnsi" w:eastAsiaTheme="minorEastAsia" w:hAnsiTheme="minorHAnsi" w:cstheme="minorBidi"/>
          <w:smallCaps w:val="0"/>
          <w:noProof/>
          <w:sz w:val="22"/>
          <w:szCs w:val="22"/>
        </w:rPr>
      </w:pPr>
      <w:hyperlink w:anchor="_Toc161214328" w:history="1">
        <w:r w:rsidR="00AA060F" w:rsidRPr="00DD243B">
          <w:rPr>
            <w:rStyle w:val="Hypertextovprepojenie"/>
            <w:noProof/>
          </w:rPr>
          <w:t>6.2.</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Spolupráca európskych dozorov (WENRA)</w:t>
        </w:r>
        <w:r w:rsidR="00AA060F">
          <w:rPr>
            <w:noProof/>
            <w:webHidden/>
          </w:rPr>
          <w:tab/>
        </w:r>
        <w:r w:rsidR="00AA060F">
          <w:rPr>
            <w:noProof/>
            <w:webHidden/>
          </w:rPr>
          <w:fldChar w:fldCharType="begin"/>
        </w:r>
        <w:r w:rsidR="00AA060F">
          <w:rPr>
            <w:noProof/>
            <w:webHidden/>
          </w:rPr>
          <w:instrText xml:space="preserve"> PAGEREF _Toc161214328 \h </w:instrText>
        </w:r>
        <w:r w:rsidR="00AA060F">
          <w:rPr>
            <w:noProof/>
            <w:webHidden/>
          </w:rPr>
        </w:r>
        <w:r w:rsidR="00AA060F">
          <w:rPr>
            <w:noProof/>
            <w:webHidden/>
          </w:rPr>
          <w:fldChar w:fldCharType="separate"/>
        </w:r>
        <w:r w:rsidR="00AA060F">
          <w:rPr>
            <w:noProof/>
            <w:webHidden/>
          </w:rPr>
          <w:t>22</w:t>
        </w:r>
        <w:r w:rsidR="00AA060F">
          <w:rPr>
            <w:noProof/>
            <w:webHidden/>
          </w:rPr>
          <w:fldChar w:fldCharType="end"/>
        </w:r>
      </w:hyperlink>
    </w:p>
    <w:p w14:paraId="3A1DD74E" w14:textId="0F35DEBA" w:rsidR="00AA060F" w:rsidRDefault="00690672">
      <w:pPr>
        <w:pStyle w:val="Obsah2"/>
        <w:rPr>
          <w:rFonts w:asciiTheme="minorHAnsi" w:eastAsiaTheme="minorEastAsia" w:hAnsiTheme="minorHAnsi" w:cstheme="minorBidi"/>
          <w:smallCaps w:val="0"/>
          <w:noProof/>
          <w:sz w:val="22"/>
          <w:szCs w:val="22"/>
        </w:rPr>
      </w:pPr>
      <w:hyperlink w:anchor="_Toc161214329" w:history="1">
        <w:r w:rsidR="00AA060F" w:rsidRPr="00DD243B">
          <w:rPr>
            <w:rStyle w:val="Hypertextovprepojenie"/>
            <w:noProof/>
          </w:rPr>
          <w:t>6.3.</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Spolupráca s Medzinárodnou agentúrou pre atómovú energiu (MAAE)</w:t>
        </w:r>
        <w:r w:rsidR="00AA060F">
          <w:rPr>
            <w:noProof/>
            <w:webHidden/>
          </w:rPr>
          <w:tab/>
        </w:r>
        <w:r w:rsidR="00AA060F">
          <w:rPr>
            <w:noProof/>
            <w:webHidden/>
          </w:rPr>
          <w:fldChar w:fldCharType="begin"/>
        </w:r>
        <w:r w:rsidR="00AA060F">
          <w:rPr>
            <w:noProof/>
            <w:webHidden/>
          </w:rPr>
          <w:instrText xml:space="preserve"> PAGEREF _Toc161214329 \h </w:instrText>
        </w:r>
        <w:r w:rsidR="00AA060F">
          <w:rPr>
            <w:noProof/>
            <w:webHidden/>
          </w:rPr>
        </w:r>
        <w:r w:rsidR="00AA060F">
          <w:rPr>
            <w:noProof/>
            <w:webHidden/>
          </w:rPr>
          <w:fldChar w:fldCharType="separate"/>
        </w:r>
        <w:r w:rsidR="00AA060F">
          <w:rPr>
            <w:noProof/>
            <w:webHidden/>
          </w:rPr>
          <w:t>22</w:t>
        </w:r>
        <w:r w:rsidR="00AA060F">
          <w:rPr>
            <w:noProof/>
            <w:webHidden/>
          </w:rPr>
          <w:fldChar w:fldCharType="end"/>
        </w:r>
      </w:hyperlink>
    </w:p>
    <w:p w14:paraId="25D9A22E" w14:textId="5AE9C9AF" w:rsidR="00AA060F" w:rsidRDefault="00690672">
      <w:pPr>
        <w:pStyle w:val="Obsah2"/>
        <w:rPr>
          <w:rFonts w:asciiTheme="minorHAnsi" w:eastAsiaTheme="minorEastAsia" w:hAnsiTheme="minorHAnsi" w:cstheme="minorBidi"/>
          <w:smallCaps w:val="0"/>
          <w:noProof/>
          <w:sz w:val="22"/>
          <w:szCs w:val="22"/>
        </w:rPr>
      </w:pPr>
      <w:hyperlink w:anchor="_Toc161214330" w:history="1">
        <w:r w:rsidR="00AA060F" w:rsidRPr="00DD243B">
          <w:rPr>
            <w:rStyle w:val="Hypertextovprepojenie"/>
            <w:noProof/>
          </w:rPr>
          <w:t>6.4.</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Spolupráca s Organizáciou Zmluvy o všeobecnom zákaze jadrových skúšok (CTBTO)</w:t>
        </w:r>
        <w:r w:rsidR="00AA060F">
          <w:rPr>
            <w:noProof/>
            <w:webHidden/>
          </w:rPr>
          <w:tab/>
        </w:r>
        <w:r w:rsidR="00AA060F">
          <w:rPr>
            <w:noProof/>
            <w:webHidden/>
          </w:rPr>
          <w:fldChar w:fldCharType="begin"/>
        </w:r>
        <w:r w:rsidR="00AA060F">
          <w:rPr>
            <w:noProof/>
            <w:webHidden/>
          </w:rPr>
          <w:instrText xml:space="preserve"> PAGEREF _Toc161214330 \h </w:instrText>
        </w:r>
        <w:r w:rsidR="00AA060F">
          <w:rPr>
            <w:noProof/>
            <w:webHidden/>
          </w:rPr>
        </w:r>
        <w:r w:rsidR="00AA060F">
          <w:rPr>
            <w:noProof/>
            <w:webHidden/>
          </w:rPr>
          <w:fldChar w:fldCharType="separate"/>
        </w:r>
        <w:r w:rsidR="00AA060F">
          <w:rPr>
            <w:noProof/>
            <w:webHidden/>
          </w:rPr>
          <w:t>23</w:t>
        </w:r>
        <w:r w:rsidR="00AA060F">
          <w:rPr>
            <w:noProof/>
            <w:webHidden/>
          </w:rPr>
          <w:fldChar w:fldCharType="end"/>
        </w:r>
      </w:hyperlink>
    </w:p>
    <w:p w14:paraId="292F8632" w14:textId="0219C053" w:rsidR="00AA060F" w:rsidRDefault="00690672">
      <w:pPr>
        <w:pStyle w:val="Obsah2"/>
        <w:rPr>
          <w:rFonts w:asciiTheme="minorHAnsi" w:eastAsiaTheme="minorEastAsia" w:hAnsiTheme="minorHAnsi" w:cstheme="minorBidi"/>
          <w:smallCaps w:val="0"/>
          <w:noProof/>
          <w:sz w:val="22"/>
          <w:szCs w:val="22"/>
        </w:rPr>
      </w:pPr>
      <w:hyperlink w:anchor="_Toc161214331" w:history="1">
        <w:r w:rsidR="00AA060F" w:rsidRPr="00DD243B">
          <w:rPr>
            <w:rStyle w:val="Hypertextovprepojenie"/>
            <w:noProof/>
          </w:rPr>
          <w:t>6.5.</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 xml:space="preserve">Spolupráca s Agentúrou </w:t>
        </w:r>
        <w:r w:rsidR="00AA060F" w:rsidRPr="00DD243B">
          <w:rPr>
            <w:rStyle w:val="Hypertextovprepojenie"/>
            <w:bCs/>
            <w:noProof/>
          </w:rPr>
          <w:t>pre jadrovú energiu pri Organizácii pre hospodársku spoluprácu a rozvoj (OECD/NEA)</w:t>
        </w:r>
        <w:r w:rsidR="00AA060F">
          <w:rPr>
            <w:noProof/>
            <w:webHidden/>
          </w:rPr>
          <w:tab/>
        </w:r>
        <w:r w:rsidR="00AA060F">
          <w:rPr>
            <w:noProof/>
            <w:webHidden/>
          </w:rPr>
          <w:fldChar w:fldCharType="begin"/>
        </w:r>
        <w:r w:rsidR="00AA060F">
          <w:rPr>
            <w:noProof/>
            <w:webHidden/>
          </w:rPr>
          <w:instrText xml:space="preserve"> PAGEREF _Toc161214331 \h </w:instrText>
        </w:r>
        <w:r w:rsidR="00AA060F">
          <w:rPr>
            <w:noProof/>
            <w:webHidden/>
          </w:rPr>
        </w:r>
        <w:r w:rsidR="00AA060F">
          <w:rPr>
            <w:noProof/>
            <w:webHidden/>
          </w:rPr>
          <w:fldChar w:fldCharType="separate"/>
        </w:r>
        <w:r w:rsidR="00AA060F">
          <w:rPr>
            <w:noProof/>
            <w:webHidden/>
          </w:rPr>
          <w:t>24</w:t>
        </w:r>
        <w:r w:rsidR="00AA060F">
          <w:rPr>
            <w:noProof/>
            <w:webHidden/>
          </w:rPr>
          <w:fldChar w:fldCharType="end"/>
        </w:r>
      </w:hyperlink>
    </w:p>
    <w:p w14:paraId="1F3BEA95" w14:textId="2D1609F8" w:rsidR="00AA060F" w:rsidRDefault="00690672">
      <w:pPr>
        <w:pStyle w:val="Obsah2"/>
        <w:rPr>
          <w:rFonts w:asciiTheme="minorHAnsi" w:eastAsiaTheme="minorEastAsia" w:hAnsiTheme="minorHAnsi" w:cstheme="minorBidi"/>
          <w:smallCaps w:val="0"/>
          <w:noProof/>
          <w:sz w:val="22"/>
          <w:szCs w:val="22"/>
        </w:rPr>
      </w:pPr>
      <w:hyperlink w:anchor="_Toc161214332" w:history="1">
        <w:r w:rsidR="00AA060F" w:rsidRPr="00DD243B">
          <w:rPr>
            <w:rStyle w:val="Hypertextovprepojenie"/>
            <w:noProof/>
          </w:rPr>
          <w:t>6.6.</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Plnenie záväzkov vyplývajúcich z medzinárodných zmluvných dokumentov</w:t>
        </w:r>
        <w:r w:rsidR="00AA060F">
          <w:rPr>
            <w:noProof/>
            <w:webHidden/>
          </w:rPr>
          <w:tab/>
        </w:r>
        <w:r w:rsidR="00AA060F">
          <w:rPr>
            <w:noProof/>
            <w:webHidden/>
          </w:rPr>
          <w:fldChar w:fldCharType="begin"/>
        </w:r>
        <w:r w:rsidR="00AA060F">
          <w:rPr>
            <w:noProof/>
            <w:webHidden/>
          </w:rPr>
          <w:instrText xml:space="preserve"> PAGEREF _Toc161214332 \h </w:instrText>
        </w:r>
        <w:r w:rsidR="00AA060F">
          <w:rPr>
            <w:noProof/>
            <w:webHidden/>
          </w:rPr>
        </w:r>
        <w:r w:rsidR="00AA060F">
          <w:rPr>
            <w:noProof/>
            <w:webHidden/>
          </w:rPr>
          <w:fldChar w:fldCharType="separate"/>
        </w:r>
        <w:r w:rsidR="00AA060F">
          <w:rPr>
            <w:noProof/>
            <w:webHidden/>
          </w:rPr>
          <w:t>24</w:t>
        </w:r>
        <w:r w:rsidR="00AA060F">
          <w:rPr>
            <w:noProof/>
            <w:webHidden/>
          </w:rPr>
          <w:fldChar w:fldCharType="end"/>
        </w:r>
      </w:hyperlink>
    </w:p>
    <w:p w14:paraId="58A3155E" w14:textId="69DDF51F" w:rsidR="00AA060F" w:rsidRDefault="00690672">
      <w:pPr>
        <w:pStyle w:val="Obsah2"/>
        <w:rPr>
          <w:rFonts w:asciiTheme="minorHAnsi" w:eastAsiaTheme="minorEastAsia" w:hAnsiTheme="minorHAnsi" w:cstheme="minorBidi"/>
          <w:smallCaps w:val="0"/>
          <w:noProof/>
          <w:sz w:val="22"/>
          <w:szCs w:val="22"/>
        </w:rPr>
      </w:pPr>
      <w:hyperlink w:anchor="_Toc161214333" w:history="1">
        <w:r w:rsidR="00AA060F" w:rsidRPr="00DD243B">
          <w:rPr>
            <w:rStyle w:val="Hypertextovprepojenie"/>
            <w:noProof/>
          </w:rPr>
          <w:t>6.7.</w:t>
        </w:r>
        <w:r w:rsidR="00AA060F">
          <w:rPr>
            <w:rFonts w:asciiTheme="minorHAnsi" w:eastAsiaTheme="minorEastAsia" w:hAnsiTheme="minorHAnsi" w:cstheme="minorBidi"/>
            <w:smallCaps w:val="0"/>
            <w:noProof/>
            <w:sz w:val="22"/>
            <w:szCs w:val="22"/>
          </w:rPr>
          <w:tab/>
        </w:r>
        <w:r w:rsidR="00AA060F" w:rsidRPr="00DD243B">
          <w:rPr>
            <w:rStyle w:val="Hypertextovprepojenie"/>
            <w:noProof/>
          </w:rPr>
          <w:t>Bilaterálna spolupráca</w:t>
        </w:r>
        <w:r w:rsidR="00AA060F">
          <w:rPr>
            <w:noProof/>
            <w:webHidden/>
          </w:rPr>
          <w:tab/>
        </w:r>
        <w:r w:rsidR="00AA060F">
          <w:rPr>
            <w:noProof/>
            <w:webHidden/>
          </w:rPr>
          <w:fldChar w:fldCharType="begin"/>
        </w:r>
        <w:r w:rsidR="00AA060F">
          <w:rPr>
            <w:noProof/>
            <w:webHidden/>
          </w:rPr>
          <w:instrText xml:space="preserve"> PAGEREF _Toc161214333 \h </w:instrText>
        </w:r>
        <w:r w:rsidR="00AA060F">
          <w:rPr>
            <w:noProof/>
            <w:webHidden/>
          </w:rPr>
        </w:r>
        <w:r w:rsidR="00AA060F">
          <w:rPr>
            <w:noProof/>
            <w:webHidden/>
          </w:rPr>
          <w:fldChar w:fldCharType="separate"/>
        </w:r>
        <w:r w:rsidR="00AA060F">
          <w:rPr>
            <w:noProof/>
            <w:webHidden/>
          </w:rPr>
          <w:t>25</w:t>
        </w:r>
        <w:r w:rsidR="00AA060F">
          <w:rPr>
            <w:noProof/>
            <w:webHidden/>
          </w:rPr>
          <w:fldChar w:fldCharType="end"/>
        </w:r>
      </w:hyperlink>
    </w:p>
    <w:p w14:paraId="03779CAE" w14:textId="77B99B1C" w:rsidR="00AA060F" w:rsidRDefault="00690672">
      <w:pPr>
        <w:pStyle w:val="Obsah1"/>
        <w:rPr>
          <w:rFonts w:asciiTheme="minorHAnsi" w:eastAsiaTheme="minorEastAsia" w:hAnsiTheme="minorHAnsi" w:cstheme="minorBidi"/>
          <w:b w:val="0"/>
          <w:bCs w:val="0"/>
          <w:caps w:val="0"/>
          <w:sz w:val="22"/>
          <w:szCs w:val="22"/>
        </w:rPr>
      </w:pPr>
      <w:hyperlink w:anchor="_Toc161214334" w:history="1">
        <w:r w:rsidR="00AA060F" w:rsidRPr="00DD243B">
          <w:rPr>
            <w:rStyle w:val="Hypertextovprepojenie"/>
          </w:rPr>
          <w:t>7.</w:t>
        </w:r>
        <w:r w:rsidR="00AA060F">
          <w:rPr>
            <w:rFonts w:asciiTheme="minorHAnsi" w:eastAsiaTheme="minorEastAsia" w:hAnsiTheme="minorHAnsi" w:cstheme="minorBidi"/>
            <w:b w:val="0"/>
            <w:bCs w:val="0"/>
            <w:caps w:val="0"/>
            <w:sz w:val="22"/>
            <w:szCs w:val="22"/>
          </w:rPr>
          <w:tab/>
        </w:r>
        <w:r w:rsidR="00AA060F" w:rsidRPr="00DD243B">
          <w:rPr>
            <w:rStyle w:val="Hypertextovprepojenie"/>
          </w:rPr>
          <w:t>Komunikácia s verejnosťou</w:t>
        </w:r>
        <w:r w:rsidR="00AA060F">
          <w:rPr>
            <w:webHidden/>
          </w:rPr>
          <w:tab/>
        </w:r>
        <w:r w:rsidR="00AA060F">
          <w:rPr>
            <w:webHidden/>
          </w:rPr>
          <w:fldChar w:fldCharType="begin"/>
        </w:r>
        <w:r w:rsidR="00AA060F">
          <w:rPr>
            <w:webHidden/>
          </w:rPr>
          <w:instrText xml:space="preserve"> PAGEREF _Toc161214334 \h </w:instrText>
        </w:r>
        <w:r w:rsidR="00AA060F">
          <w:rPr>
            <w:webHidden/>
          </w:rPr>
        </w:r>
        <w:r w:rsidR="00AA060F">
          <w:rPr>
            <w:webHidden/>
          </w:rPr>
          <w:fldChar w:fldCharType="separate"/>
        </w:r>
        <w:r w:rsidR="00AA060F">
          <w:rPr>
            <w:webHidden/>
          </w:rPr>
          <w:t>26</w:t>
        </w:r>
        <w:r w:rsidR="00AA060F">
          <w:rPr>
            <w:webHidden/>
          </w:rPr>
          <w:fldChar w:fldCharType="end"/>
        </w:r>
      </w:hyperlink>
    </w:p>
    <w:p w14:paraId="1EC27769" w14:textId="45E22D1A" w:rsidR="00AA060F" w:rsidRDefault="00690672">
      <w:pPr>
        <w:pStyle w:val="Obsah1"/>
        <w:rPr>
          <w:rFonts w:asciiTheme="minorHAnsi" w:eastAsiaTheme="minorEastAsia" w:hAnsiTheme="minorHAnsi" w:cstheme="minorBidi"/>
          <w:b w:val="0"/>
          <w:bCs w:val="0"/>
          <w:caps w:val="0"/>
          <w:sz w:val="22"/>
          <w:szCs w:val="22"/>
        </w:rPr>
      </w:pPr>
      <w:hyperlink w:anchor="_Toc161214335" w:history="1">
        <w:r w:rsidR="00AA060F" w:rsidRPr="00DD243B">
          <w:rPr>
            <w:rStyle w:val="Hypertextovprepojenie"/>
          </w:rPr>
          <w:t>8.</w:t>
        </w:r>
        <w:r w:rsidR="00AA060F">
          <w:rPr>
            <w:rFonts w:asciiTheme="minorHAnsi" w:eastAsiaTheme="minorEastAsia" w:hAnsiTheme="minorHAnsi" w:cstheme="minorBidi"/>
            <w:b w:val="0"/>
            <w:bCs w:val="0"/>
            <w:caps w:val="0"/>
            <w:sz w:val="22"/>
            <w:szCs w:val="22"/>
          </w:rPr>
          <w:tab/>
        </w:r>
        <w:r w:rsidR="00AA060F" w:rsidRPr="00DD243B">
          <w:rPr>
            <w:rStyle w:val="Hypertextovprepojenie"/>
          </w:rPr>
          <w:t>EKONOMICKÉ ÚDAJE</w:t>
        </w:r>
        <w:r w:rsidR="00AA060F">
          <w:rPr>
            <w:webHidden/>
          </w:rPr>
          <w:tab/>
        </w:r>
        <w:r w:rsidR="00AA060F">
          <w:rPr>
            <w:webHidden/>
          </w:rPr>
          <w:fldChar w:fldCharType="begin"/>
        </w:r>
        <w:r w:rsidR="00AA060F">
          <w:rPr>
            <w:webHidden/>
          </w:rPr>
          <w:instrText xml:space="preserve"> PAGEREF _Toc161214335 \h </w:instrText>
        </w:r>
        <w:r w:rsidR="00AA060F">
          <w:rPr>
            <w:webHidden/>
          </w:rPr>
        </w:r>
        <w:r w:rsidR="00AA060F">
          <w:rPr>
            <w:webHidden/>
          </w:rPr>
          <w:fldChar w:fldCharType="separate"/>
        </w:r>
        <w:r w:rsidR="00AA060F">
          <w:rPr>
            <w:webHidden/>
          </w:rPr>
          <w:t>28</w:t>
        </w:r>
        <w:r w:rsidR="00AA060F">
          <w:rPr>
            <w:webHidden/>
          </w:rPr>
          <w:fldChar w:fldCharType="end"/>
        </w:r>
      </w:hyperlink>
    </w:p>
    <w:p w14:paraId="256BB377" w14:textId="7EDE1F95" w:rsidR="00AA060F" w:rsidRDefault="00690672">
      <w:pPr>
        <w:pStyle w:val="Obsah1"/>
        <w:rPr>
          <w:rFonts w:asciiTheme="minorHAnsi" w:eastAsiaTheme="minorEastAsia" w:hAnsiTheme="minorHAnsi" w:cstheme="minorBidi"/>
          <w:b w:val="0"/>
          <w:bCs w:val="0"/>
          <w:caps w:val="0"/>
          <w:sz w:val="22"/>
          <w:szCs w:val="22"/>
        </w:rPr>
      </w:pPr>
      <w:hyperlink w:anchor="_Toc161214336" w:history="1">
        <w:r w:rsidR="00AA060F" w:rsidRPr="00DD243B">
          <w:rPr>
            <w:rStyle w:val="Hypertextovprepojenie"/>
          </w:rPr>
          <w:t>9.</w:t>
        </w:r>
        <w:r w:rsidR="00AA060F">
          <w:rPr>
            <w:rFonts w:asciiTheme="minorHAnsi" w:eastAsiaTheme="minorEastAsia" w:hAnsiTheme="minorHAnsi" w:cstheme="minorBidi"/>
            <w:b w:val="0"/>
            <w:bCs w:val="0"/>
            <w:caps w:val="0"/>
            <w:sz w:val="22"/>
            <w:szCs w:val="22"/>
          </w:rPr>
          <w:tab/>
        </w:r>
        <w:r w:rsidR="00AA060F" w:rsidRPr="00DD243B">
          <w:rPr>
            <w:rStyle w:val="Hypertextovprepojenie"/>
          </w:rPr>
          <w:t>Riadenie ľudských zdrojov a vzdelávanie zamestnancov</w:t>
        </w:r>
        <w:r w:rsidR="00AA060F">
          <w:rPr>
            <w:webHidden/>
          </w:rPr>
          <w:tab/>
        </w:r>
        <w:r w:rsidR="00AA060F">
          <w:rPr>
            <w:webHidden/>
          </w:rPr>
          <w:fldChar w:fldCharType="begin"/>
        </w:r>
        <w:r w:rsidR="00AA060F">
          <w:rPr>
            <w:webHidden/>
          </w:rPr>
          <w:instrText xml:space="preserve"> PAGEREF _Toc161214336 \h </w:instrText>
        </w:r>
        <w:r w:rsidR="00AA060F">
          <w:rPr>
            <w:webHidden/>
          </w:rPr>
        </w:r>
        <w:r w:rsidR="00AA060F">
          <w:rPr>
            <w:webHidden/>
          </w:rPr>
          <w:fldChar w:fldCharType="separate"/>
        </w:r>
        <w:r w:rsidR="00AA060F">
          <w:rPr>
            <w:webHidden/>
          </w:rPr>
          <w:t>31</w:t>
        </w:r>
        <w:r w:rsidR="00AA060F">
          <w:rPr>
            <w:webHidden/>
          </w:rPr>
          <w:fldChar w:fldCharType="end"/>
        </w:r>
      </w:hyperlink>
    </w:p>
    <w:p w14:paraId="2FD0982D" w14:textId="26A591B9" w:rsidR="00AA060F" w:rsidRDefault="00690672">
      <w:pPr>
        <w:pStyle w:val="Obsah1"/>
        <w:rPr>
          <w:rFonts w:asciiTheme="minorHAnsi" w:eastAsiaTheme="minorEastAsia" w:hAnsiTheme="minorHAnsi" w:cstheme="minorBidi"/>
          <w:b w:val="0"/>
          <w:bCs w:val="0"/>
          <w:caps w:val="0"/>
          <w:sz w:val="22"/>
          <w:szCs w:val="22"/>
        </w:rPr>
      </w:pPr>
      <w:hyperlink w:anchor="_Toc161214337" w:history="1">
        <w:r w:rsidR="00AA060F" w:rsidRPr="00DD243B">
          <w:rPr>
            <w:rStyle w:val="Hypertextovprepojenie"/>
          </w:rPr>
          <w:t>10.</w:t>
        </w:r>
        <w:r w:rsidR="00AA060F">
          <w:rPr>
            <w:rFonts w:asciiTheme="minorHAnsi" w:eastAsiaTheme="minorEastAsia" w:hAnsiTheme="minorHAnsi" w:cstheme="minorBidi"/>
            <w:b w:val="0"/>
            <w:bCs w:val="0"/>
            <w:caps w:val="0"/>
            <w:sz w:val="22"/>
            <w:szCs w:val="22"/>
          </w:rPr>
          <w:tab/>
        </w:r>
        <w:r w:rsidR="00AA060F" w:rsidRPr="00DD243B">
          <w:rPr>
            <w:rStyle w:val="Hypertextovprepojenie"/>
          </w:rPr>
          <w:t>ROZVOJ DOZORNÝCH ČINNOSTÍ</w:t>
        </w:r>
        <w:r w:rsidR="00AA060F">
          <w:rPr>
            <w:webHidden/>
          </w:rPr>
          <w:tab/>
        </w:r>
        <w:r w:rsidR="00AA060F">
          <w:rPr>
            <w:webHidden/>
          </w:rPr>
          <w:fldChar w:fldCharType="begin"/>
        </w:r>
        <w:r w:rsidR="00AA060F">
          <w:rPr>
            <w:webHidden/>
          </w:rPr>
          <w:instrText xml:space="preserve"> PAGEREF _Toc161214337 \h </w:instrText>
        </w:r>
        <w:r w:rsidR="00AA060F">
          <w:rPr>
            <w:webHidden/>
          </w:rPr>
        </w:r>
        <w:r w:rsidR="00AA060F">
          <w:rPr>
            <w:webHidden/>
          </w:rPr>
          <w:fldChar w:fldCharType="separate"/>
        </w:r>
        <w:r w:rsidR="00AA060F">
          <w:rPr>
            <w:webHidden/>
          </w:rPr>
          <w:t>34</w:t>
        </w:r>
        <w:r w:rsidR="00AA060F">
          <w:rPr>
            <w:webHidden/>
          </w:rPr>
          <w:fldChar w:fldCharType="end"/>
        </w:r>
      </w:hyperlink>
    </w:p>
    <w:p w14:paraId="706AB5CF" w14:textId="52A906CB" w:rsidR="00AA060F" w:rsidRDefault="00690672">
      <w:pPr>
        <w:pStyle w:val="Obsah1"/>
        <w:rPr>
          <w:rFonts w:asciiTheme="minorHAnsi" w:eastAsiaTheme="minorEastAsia" w:hAnsiTheme="minorHAnsi" w:cstheme="minorBidi"/>
          <w:b w:val="0"/>
          <w:bCs w:val="0"/>
          <w:caps w:val="0"/>
          <w:sz w:val="22"/>
          <w:szCs w:val="22"/>
        </w:rPr>
      </w:pPr>
      <w:hyperlink w:anchor="_Toc161214338" w:history="1">
        <w:r w:rsidR="00AA060F" w:rsidRPr="00DD243B">
          <w:rPr>
            <w:rStyle w:val="Hypertextovprepojenie"/>
            <w:lang w:eastAsia="x-none"/>
          </w:rPr>
          <w:t>11.</w:t>
        </w:r>
        <w:r w:rsidR="00AA060F">
          <w:rPr>
            <w:rFonts w:asciiTheme="minorHAnsi" w:eastAsiaTheme="minorEastAsia" w:hAnsiTheme="minorHAnsi" w:cstheme="minorBidi"/>
            <w:b w:val="0"/>
            <w:bCs w:val="0"/>
            <w:caps w:val="0"/>
            <w:sz w:val="22"/>
            <w:szCs w:val="22"/>
          </w:rPr>
          <w:tab/>
        </w:r>
        <w:r w:rsidR="00AA060F" w:rsidRPr="00DD243B">
          <w:rPr>
            <w:rStyle w:val="Hypertextovprepojenie"/>
            <w:lang w:eastAsia="x-none"/>
          </w:rPr>
          <w:t>Manažérsky systém</w:t>
        </w:r>
        <w:r w:rsidR="00AA060F">
          <w:rPr>
            <w:webHidden/>
          </w:rPr>
          <w:tab/>
        </w:r>
        <w:r w:rsidR="00AA060F">
          <w:rPr>
            <w:webHidden/>
          </w:rPr>
          <w:fldChar w:fldCharType="begin"/>
        </w:r>
        <w:r w:rsidR="00AA060F">
          <w:rPr>
            <w:webHidden/>
          </w:rPr>
          <w:instrText xml:space="preserve"> PAGEREF _Toc161214338 \h </w:instrText>
        </w:r>
        <w:r w:rsidR="00AA060F">
          <w:rPr>
            <w:webHidden/>
          </w:rPr>
        </w:r>
        <w:r w:rsidR="00AA060F">
          <w:rPr>
            <w:webHidden/>
          </w:rPr>
          <w:fldChar w:fldCharType="separate"/>
        </w:r>
        <w:r w:rsidR="00AA060F">
          <w:rPr>
            <w:webHidden/>
          </w:rPr>
          <w:t>36</w:t>
        </w:r>
        <w:r w:rsidR="00AA060F">
          <w:rPr>
            <w:webHidden/>
          </w:rPr>
          <w:fldChar w:fldCharType="end"/>
        </w:r>
      </w:hyperlink>
    </w:p>
    <w:p w14:paraId="48CDC0A2" w14:textId="596690E6" w:rsidR="00AA060F" w:rsidRDefault="00690672">
      <w:pPr>
        <w:pStyle w:val="Obsah1"/>
        <w:rPr>
          <w:rFonts w:asciiTheme="minorHAnsi" w:eastAsiaTheme="minorEastAsia" w:hAnsiTheme="minorHAnsi" w:cstheme="minorBidi"/>
          <w:b w:val="0"/>
          <w:bCs w:val="0"/>
          <w:caps w:val="0"/>
          <w:sz w:val="22"/>
          <w:szCs w:val="22"/>
        </w:rPr>
      </w:pPr>
      <w:hyperlink w:anchor="_Toc161214339" w:history="1">
        <w:r w:rsidR="00AA060F" w:rsidRPr="00DD243B">
          <w:rPr>
            <w:rStyle w:val="Hypertextovprepojenie"/>
            <w:lang w:eastAsia="x-none"/>
          </w:rPr>
          <w:t>12.</w:t>
        </w:r>
        <w:r w:rsidR="00AA060F">
          <w:rPr>
            <w:rFonts w:asciiTheme="minorHAnsi" w:eastAsiaTheme="minorEastAsia" w:hAnsiTheme="minorHAnsi" w:cstheme="minorBidi"/>
            <w:b w:val="0"/>
            <w:bCs w:val="0"/>
            <w:caps w:val="0"/>
            <w:sz w:val="22"/>
            <w:szCs w:val="22"/>
          </w:rPr>
          <w:tab/>
        </w:r>
        <w:r w:rsidR="00AA060F" w:rsidRPr="00DD243B">
          <w:rPr>
            <w:rStyle w:val="Hypertextovprepojenie"/>
            <w:lang w:eastAsia="x-none"/>
          </w:rPr>
          <w:t>KYBERNETICKÁ BEZPEČNOSŤ ÚJD SR</w:t>
        </w:r>
        <w:r w:rsidR="00AA060F">
          <w:rPr>
            <w:webHidden/>
          </w:rPr>
          <w:tab/>
        </w:r>
        <w:r w:rsidR="00AA060F">
          <w:rPr>
            <w:webHidden/>
          </w:rPr>
          <w:fldChar w:fldCharType="begin"/>
        </w:r>
        <w:r w:rsidR="00AA060F">
          <w:rPr>
            <w:webHidden/>
          </w:rPr>
          <w:instrText xml:space="preserve"> PAGEREF _Toc161214339 \h </w:instrText>
        </w:r>
        <w:r w:rsidR="00AA060F">
          <w:rPr>
            <w:webHidden/>
          </w:rPr>
        </w:r>
        <w:r w:rsidR="00AA060F">
          <w:rPr>
            <w:webHidden/>
          </w:rPr>
          <w:fldChar w:fldCharType="separate"/>
        </w:r>
        <w:r w:rsidR="00AA060F">
          <w:rPr>
            <w:webHidden/>
          </w:rPr>
          <w:t>37</w:t>
        </w:r>
        <w:r w:rsidR="00AA060F">
          <w:rPr>
            <w:webHidden/>
          </w:rPr>
          <w:fldChar w:fldCharType="end"/>
        </w:r>
      </w:hyperlink>
    </w:p>
    <w:p w14:paraId="1863D933" w14:textId="18C63707" w:rsidR="00AA060F" w:rsidRDefault="00690672">
      <w:pPr>
        <w:pStyle w:val="Obsah1"/>
        <w:rPr>
          <w:rFonts w:asciiTheme="minorHAnsi" w:eastAsiaTheme="minorEastAsia" w:hAnsiTheme="minorHAnsi" w:cstheme="minorBidi"/>
          <w:b w:val="0"/>
          <w:bCs w:val="0"/>
          <w:caps w:val="0"/>
          <w:sz w:val="22"/>
          <w:szCs w:val="22"/>
        </w:rPr>
      </w:pPr>
      <w:hyperlink w:anchor="_Toc161214340" w:history="1">
        <w:r w:rsidR="00AA060F" w:rsidRPr="00DD243B">
          <w:rPr>
            <w:rStyle w:val="Hypertextovprepojenie"/>
            <w:lang w:eastAsia="x-none"/>
          </w:rPr>
          <w:t>13.</w:t>
        </w:r>
        <w:r w:rsidR="00AA060F">
          <w:rPr>
            <w:rFonts w:asciiTheme="minorHAnsi" w:eastAsiaTheme="minorEastAsia" w:hAnsiTheme="minorHAnsi" w:cstheme="minorBidi"/>
            <w:b w:val="0"/>
            <w:bCs w:val="0"/>
            <w:caps w:val="0"/>
            <w:sz w:val="22"/>
            <w:szCs w:val="22"/>
          </w:rPr>
          <w:tab/>
        </w:r>
        <w:r w:rsidR="00AA060F" w:rsidRPr="00DD243B">
          <w:rPr>
            <w:rStyle w:val="Hypertextovprepojenie"/>
            <w:lang w:val="en-US" w:eastAsia="x-none"/>
          </w:rPr>
          <w:t>ZOZNAM SKRATIEK</w:t>
        </w:r>
        <w:r w:rsidR="00AA060F">
          <w:rPr>
            <w:webHidden/>
          </w:rPr>
          <w:tab/>
        </w:r>
        <w:r w:rsidR="00AA060F">
          <w:rPr>
            <w:webHidden/>
          </w:rPr>
          <w:fldChar w:fldCharType="begin"/>
        </w:r>
        <w:r w:rsidR="00AA060F">
          <w:rPr>
            <w:webHidden/>
          </w:rPr>
          <w:instrText xml:space="preserve"> PAGEREF _Toc161214340 \h </w:instrText>
        </w:r>
        <w:r w:rsidR="00AA060F">
          <w:rPr>
            <w:webHidden/>
          </w:rPr>
        </w:r>
        <w:r w:rsidR="00AA060F">
          <w:rPr>
            <w:webHidden/>
          </w:rPr>
          <w:fldChar w:fldCharType="separate"/>
        </w:r>
        <w:r w:rsidR="00AA060F">
          <w:rPr>
            <w:webHidden/>
          </w:rPr>
          <w:t>38</w:t>
        </w:r>
        <w:r w:rsidR="00AA060F">
          <w:rPr>
            <w:webHidden/>
          </w:rPr>
          <w:fldChar w:fldCharType="end"/>
        </w:r>
      </w:hyperlink>
    </w:p>
    <w:p w14:paraId="3541233C" w14:textId="499044E8" w:rsidR="00D200EC" w:rsidRDefault="0026008A" w:rsidP="003300C4">
      <w:pPr>
        <w:autoSpaceDE w:val="0"/>
        <w:autoSpaceDN w:val="0"/>
        <w:adjustRightInd w:val="0"/>
        <w:spacing w:after="120"/>
        <w:jc w:val="both"/>
      </w:pPr>
      <w:r w:rsidRPr="00C35FB9">
        <w:rPr>
          <w:bCs/>
          <w:szCs w:val="26"/>
        </w:rPr>
        <w:fldChar w:fldCharType="end"/>
      </w:r>
    </w:p>
    <w:p w14:paraId="3E72C33D" w14:textId="53B8DA18" w:rsidR="00D200EC" w:rsidRDefault="00D200EC" w:rsidP="00D200EC"/>
    <w:p w14:paraId="7593A9E0" w14:textId="3CE8EA70" w:rsidR="0026008A" w:rsidRPr="00D200EC" w:rsidRDefault="00D200EC" w:rsidP="00D200EC">
      <w:pPr>
        <w:tabs>
          <w:tab w:val="left" w:pos="2670"/>
        </w:tabs>
      </w:pPr>
      <w:r>
        <w:tab/>
      </w:r>
    </w:p>
    <w:sectPr w:rsidR="0026008A" w:rsidRPr="00D200E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C7C38" w14:textId="77777777" w:rsidR="00703815" w:rsidRDefault="00703815" w:rsidP="008F4C3F">
      <w:r>
        <w:separator/>
      </w:r>
    </w:p>
  </w:endnote>
  <w:endnote w:type="continuationSeparator" w:id="0">
    <w:p w14:paraId="3F791184" w14:textId="77777777" w:rsidR="00703815" w:rsidRDefault="00703815" w:rsidP="008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Arial"/>
    <w:panose1 w:val="00000000000000000000"/>
    <w:charset w:val="00"/>
    <w:family w:val="swiss"/>
    <w:notTrueType/>
    <w:pitch w:val="default"/>
    <w:sig w:usb0="00000003" w:usb1="00000000" w:usb2="00000000" w:usb3="00000000" w:csb0="00000001" w:csb1="00000000"/>
  </w:font>
  <w:font w:name="Proxima Nova Lt">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458208"/>
      <w:docPartObj>
        <w:docPartGallery w:val="Page Numbers (Bottom of Page)"/>
        <w:docPartUnique/>
      </w:docPartObj>
    </w:sdtPr>
    <w:sdtContent>
      <w:p w14:paraId="77AE1351" w14:textId="08B0C734" w:rsidR="00690672" w:rsidRDefault="00690672">
        <w:pPr>
          <w:pStyle w:val="Pta"/>
          <w:jc w:val="center"/>
        </w:pPr>
        <w:r>
          <w:fldChar w:fldCharType="begin"/>
        </w:r>
        <w:r>
          <w:instrText>PAGE   \* MERGEFORMAT</w:instrText>
        </w:r>
        <w:r>
          <w:fldChar w:fldCharType="separate"/>
        </w:r>
        <w:r>
          <w:rPr>
            <w:noProof/>
          </w:rPr>
          <w:t>34</w:t>
        </w:r>
        <w:r>
          <w:fldChar w:fldCharType="end"/>
        </w:r>
      </w:p>
    </w:sdtContent>
  </w:sdt>
  <w:p w14:paraId="2602083A" w14:textId="77777777" w:rsidR="00690672" w:rsidRDefault="006906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58CE" w14:textId="77777777" w:rsidR="00703815" w:rsidRDefault="00703815" w:rsidP="008F4C3F">
      <w:r>
        <w:separator/>
      </w:r>
    </w:p>
  </w:footnote>
  <w:footnote w:type="continuationSeparator" w:id="0">
    <w:p w14:paraId="4EBA3F97" w14:textId="77777777" w:rsidR="00703815" w:rsidRDefault="00703815" w:rsidP="008F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E18D962"/>
    <w:lvl w:ilvl="0">
      <w:start w:val="1"/>
      <w:numFmt w:val="decimal"/>
      <w:pStyle w:val="slovanzoznam"/>
      <w:lvlText w:val="%1."/>
      <w:lvlJc w:val="left"/>
      <w:pPr>
        <w:tabs>
          <w:tab w:val="num" w:pos="360"/>
        </w:tabs>
        <w:ind w:left="360" w:hanging="360"/>
      </w:pPr>
      <w:rPr>
        <w:rFonts w:cs="Times New Roman"/>
      </w:rPr>
    </w:lvl>
  </w:abstractNum>
  <w:abstractNum w:abstractNumId="1" w15:restartNumberingAfterBreak="0">
    <w:nsid w:val="0A895FF9"/>
    <w:multiLevelType w:val="multilevel"/>
    <w:tmpl w:val="E8489FE2"/>
    <w:lvl w:ilvl="0">
      <w:start w:val="10"/>
      <w:numFmt w:val="decimal"/>
      <w:lvlText w:val="%1."/>
      <w:lvlJc w:val="left"/>
      <w:pPr>
        <w:tabs>
          <w:tab w:val="num" w:pos="2771"/>
        </w:tabs>
        <w:ind w:left="2771" w:hanging="360"/>
      </w:pPr>
      <w:rPr>
        <w:rFonts w:cs="Times New Roman" w:hint="default"/>
        <w:b/>
        <w:i w:val="0"/>
        <w:sz w:val="28"/>
        <w:szCs w:val="28"/>
      </w:rPr>
    </w:lvl>
    <w:lvl w:ilvl="1">
      <w:start w:val="1"/>
      <w:numFmt w:val="decimal"/>
      <w:lvlText w:val="%1.%2."/>
      <w:lvlJc w:val="left"/>
      <w:pPr>
        <w:tabs>
          <w:tab w:val="num" w:pos="1549"/>
        </w:tabs>
        <w:ind w:left="1549" w:hanging="41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1004"/>
        </w:tabs>
        <w:ind w:left="788" w:hanging="50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decimal"/>
      <w:lvlText w:val="%1.%2.%3.%4."/>
      <w:lvlJc w:val="left"/>
      <w:pPr>
        <w:tabs>
          <w:tab w:val="num" w:pos="1506"/>
        </w:tabs>
        <w:ind w:left="1074" w:hanging="648"/>
      </w:pPr>
      <w:rPr>
        <w:rFonts w:cs="Times New Roman" w:hint="default"/>
        <w:b w:val="0"/>
        <w:i w:val="0"/>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 w15:restartNumberingAfterBreak="0">
    <w:nsid w:val="18BF1823"/>
    <w:multiLevelType w:val="hybridMultilevel"/>
    <w:tmpl w:val="50683D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A757F83"/>
    <w:multiLevelType w:val="multilevel"/>
    <w:tmpl w:val="D6F0443E"/>
    <w:lvl w:ilvl="0">
      <w:numFmt w:val="none"/>
      <w:suff w:val="nothing"/>
      <w:lvlText w:val=""/>
      <w:lvlJc w:val="left"/>
      <w:rPr>
        <w:rFonts w:cs="Times New Roman" w:hint="default"/>
      </w:rPr>
    </w:lvl>
    <w:lvl w:ilvl="1">
      <w:start w:val="3"/>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2FA20976"/>
    <w:multiLevelType w:val="multilevel"/>
    <w:tmpl w:val="E1ECB17A"/>
    <w:lvl w:ilvl="0">
      <w:start w:val="1"/>
      <w:numFmt w:val="decimal"/>
      <w:lvlText w:val="%1."/>
      <w:lvlJc w:val="left"/>
      <w:pPr>
        <w:tabs>
          <w:tab w:val="num" w:pos="360"/>
        </w:tabs>
        <w:ind w:hanging="360"/>
      </w:pPr>
      <w:rPr>
        <w:rFonts w:cs="Times New Roman" w:hint="default"/>
        <w:b/>
        <w:i w:val="0"/>
        <w:sz w:val="28"/>
      </w:rPr>
    </w:lvl>
    <w:lvl w:ilvl="1">
      <w:start w:val="1"/>
      <w:numFmt w:val="decimal"/>
      <w:pStyle w:val="Nadpis2"/>
      <w:lvlText w:val="%1.%2."/>
      <w:lvlJc w:val="left"/>
      <w:pPr>
        <w:tabs>
          <w:tab w:val="num" w:pos="556"/>
        </w:tabs>
        <w:ind w:left="556" w:hanging="414"/>
      </w:pPr>
      <w:rPr>
        <w:rFonts w:cs="Times New Roman" w:hint="default"/>
        <w:b/>
        <w:i w:val="0"/>
        <w:sz w:val="24"/>
      </w:rPr>
    </w:lvl>
    <w:lvl w:ilvl="2">
      <w:start w:val="1"/>
      <w:numFmt w:val="decimal"/>
      <w:pStyle w:val="Nadpis3"/>
      <w:lvlText w:val="%1.%2.%3."/>
      <w:lvlJc w:val="left"/>
      <w:pPr>
        <w:tabs>
          <w:tab w:val="num" w:pos="1440"/>
        </w:tabs>
        <w:ind w:left="1224" w:hanging="504"/>
      </w:pPr>
      <w:rPr>
        <w:rFonts w:cs="Times New Roman" w:hint="default"/>
        <w:b/>
        <w:i w:val="0"/>
        <w:sz w:val="24"/>
      </w:rPr>
    </w:lvl>
    <w:lvl w:ilvl="3">
      <w:start w:val="1"/>
      <w:numFmt w:val="decimal"/>
      <w:pStyle w:val="Nadpis4"/>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5CB69BB"/>
    <w:multiLevelType w:val="hybridMultilevel"/>
    <w:tmpl w:val="ED241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7F11CD"/>
    <w:multiLevelType w:val="hybridMultilevel"/>
    <w:tmpl w:val="B6BAA0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FBAC9478">
      <w:numFmt w:val="bullet"/>
      <w:lvlText w:val="-"/>
      <w:lvlJc w:val="left"/>
      <w:pPr>
        <w:ind w:left="2685" w:hanging="705"/>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E70340"/>
    <w:multiLevelType w:val="hybridMultilevel"/>
    <w:tmpl w:val="1D3ABCF8"/>
    <w:lvl w:ilvl="0" w:tplc="2F1838D6">
      <w:start w:val="1"/>
      <w:numFmt w:val="lowerLetter"/>
      <w:lvlText w:val="%1)"/>
      <w:lvlJc w:val="left"/>
      <w:pPr>
        <w:ind w:left="420" w:hanging="360"/>
      </w:pPr>
      <w:rPr>
        <w:rFonts w:ascii="Times New Roman" w:hAnsi="Times New Roman" w:cs="Times New Roman" w:hint="default"/>
        <w:b/>
        <w:i/>
        <w:sz w:val="24"/>
        <w:szCs w:val="24"/>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15:restartNumberingAfterBreak="0">
    <w:nsid w:val="55A323C6"/>
    <w:multiLevelType w:val="hybridMultilevel"/>
    <w:tmpl w:val="37B47B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7CA79BD"/>
    <w:multiLevelType w:val="multilevel"/>
    <w:tmpl w:val="8612BED0"/>
    <w:lvl w:ilvl="0">
      <w:start w:val="9"/>
      <w:numFmt w:val="decimal"/>
      <w:lvlText w:val="%1."/>
      <w:lvlJc w:val="left"/>
      <w:pPr>
        <w:tabs>
          <w:tab w:val="num" w:pos="2771"/>
        </w:tabs>
        <w:ind w:left="2771" w:hanging="360"/>
      </w:pPr>
      <w:rPr>
        <w:rFonts w:cs="Times New Roman" w:hint="default"/>
        <w:b/>
        <w:i w:val="0"/>
        <w:sz w:val="28"/>
        <w:szCs w:val="28"/>
      </w:rPr>
    </w:lvl>
    <w:lvl w:ilvl="1">
      <w:start w:val="1"/>
      <w:numFmt w:val="decimal"/>
      <w:lvlText w:val="%1.%2."/>
      <w:lvlJc w:val="left"/>
      <w:pPr>
        <w:tabs>
          <w:tab w:val="num" w:pos="1549"/>
        </w:tabs>
        <w:ind w:left="1549" w:hanging="41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1004"/>
        </w:tabs>
        <w:ind w:left="788" w:hanging="50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decimal"/>
      <w:lvlText w:val="%1.%2.%3.%4."/>
      <w:lvlJc w:val="left"/>
      <w:pPr>
        <w:tabs>
          <w:tab w:val="num" w:pos="1506"/>
        </w:tabs>
        <w:ind w:left="1074" w:hanging="648"/>
      </w:pPr>
      <w:rPr>
        <w:rFonts w:cs="Times New Roman" w:hint="default"/>
        <w:b w:val="0"/>
        <w:i w:val="0"/>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 w15:restartNumberingAfterBreak="0">
    <w:nsid w:val="6B736742"/>
    <w:multiLevelType w:val="hybridMultilevel"/>
    <w:tmpl w:val="255210B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5AD2D86"/>
    <w:multiLevelType w:val="multilevel"/>
    <w:tmpl w:val="95BE004E"/>
    <w:styleLink w:val="tl1"/>
    <w:lvl w:ilvl="0">
      <w:start w:val="9"/>
      <w:numFmt w:val="decimal"/>
      <w:lvlText w:val="%1."/>
      <w:lvlJc w:val="left"/>
      <w:pPr>
        <w:tabs>
          <w:tab w:val="num" w:pos="0"/>
        </w:tabs>
        <w:ind w:left="0" w:hanging="360"/>
      </w:pPr>
      <w:rPr>
        <w:b/>
        <w:i w:val="0"/>
        <w:sz w:val="28"/>
      </w:rPr>
    </w:lvl>
    <w:lvl w:ilvl="1">
      <w:start w:val="1"/>
      <w:numFmt w:val="decimal"/>
      <w:lvlText w:val="%1.%2."/>
      <w:lvlJc w:val="left"/>
      <w:pPr>
        <w:tabs>
          <w:tab w:val="num" w:pos="414"/>
        </w:tabs>
        <w:ind w:left="414" w:hanging="414"/>
      </w:pPr>
      <w:rPr>
        <w:b/>
        <w:i w:val="0"/>
        <w:sz w:val="24"/>
      </w:rPr>
    </w:lvl>
    <w:lvl w:ilvl="2">
      <w:start w:val="1"/>
      <w:numFmt w:val="decimal"/>
      <w:lvlText w:val="%1.%2.%3."/>
      <w:lvlJc w:val="left"/>
      <w:pPr>
        <w:tabs>
          <w:tab w:val="num" w:pos="1080"/>
        </w:tabs>
        <w:ind w:left="864" w:hanging="504"/>
      </w:pPr>
      <w:rPr>
        <w:b/>
        <w:i w:val="0"/>
        <w:sz w:val="24"/>
      </w:rPr>
    </w:lvl>
    <w:lvl w:ilvl="3">
      <w:start w:val="1"/>
      <w:numFmt w:val="decimal"/>
      <w:lvlText w:val="%1.%2.%3.%4."/>
      <w:lvlJc w:val="left"/>
      <w:pPr>
        <w:tabs>
          <w:tab w:val="num" w:pos="1800"/>
        </w:tabs>
        <w:ind w:left="1368" w:hanging="648"/>
      </w:pPr>
      <w:rPr>
        <w:b w:val="0"/>
        <w:i w:val="0"/>
      </w:r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2" w15:restartNumberingAfterBreak="0">
    <w:nsid w:val="76D1758D"/>
    <w:multiLevelType w:val="hybridMultilevel"/>
    <w:tmpl w:val="E2F42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0"/>
  </w:num>
  <w:num w:numId="5">
    <w:abstractNumId w:val="6"/>
  </w:num>
  <w:num w:numId="6">
    <w:abstractNumId w:val="9"/>
  </w:num>
  <w:num w:numId="7">
    <w:abstractNumId w:val="1"/>
  </w:num>
  <w:num w:numId="8">
    <w:abstractNumId w:val="5"/>
  </w:num>
  <w:num w:numId="9">
    <w:abstractNumId w:val="2"/>
  </w:num>
  <w:num w:numId="10">
    <w:abstractNumId w:val="7"/>
  </w:num>
  <w:num w:numId="11">
    <w:abstractNumId w:val="8"/>
  </w:num>
  <w:num w:numId="12">
    <w:abstractNumId w:val="12"/>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1F"/>
    <w:rsid w:val="00000EB2"/>
    <w:rsid w:val="000028F6"/>
    <w:rsid w:val="00002942"/>
    <w:rsid w:val="00002ABA"/>
    <w:rsid w:val="00002B3A"/>
    <w:rsid w:val="00003695"/>
    <w:rsid w:val="00003DDD"/>
    <w:rsid w:val="000040AF"/>
    <w:rsid w:val="00007D61"/>
    <w:rsid w:val="00012936"/>
    <w:rsid w:val="00012EEB"/>
    <w:rsid w:val="00013BE5"/>
    <w:rsid w:val="00014065"/>
    <w:rsid w:val="00014C02"/>
    <w:rsid w:val="000151CB"/>
    <w:rsid w:val="0001739D"/>
    <w:rsid w:val="0001748E"/>
    <w:rsid w:val="00017868"/>
    <w:rsid w:val="00017955"/>
    <w:rsid w:val="000204D6"/>
    <w:rsid w:val="000205E9"/>
    <w:rsid w:val="00020E9F"/>
    <w:rsid w:val="000219FA"/>
    <w:rsid w:val="000220AC"/>
    <w:rsid w:val="00022784"/>
    <w:rsid w:val="000228D7"/>
    <w:rsid w:val="000239C7"/>
    <w:rsid w:val="00023AB4"/>
    <w:rsid w:val="00024DB5"/>
    <w:rsid w:val="00025D7A"/>
    <w:rsid w:val="000263F8"/>
    <w:rsid w:val="00031121"/>
    <w:rsid w:val="00032899"/>
    <w:rsid w:val="00033008"/>
    <w:rsid w:val="00033101"/>
    <w:rsid w:val="0003524E"/>
    <w:rsid w:val="0003544B"/>
    <w:rsid w:val="0003688A"/>
    <w:rsid w:val="00037111"/>
    <w:rsid w:val="00037591"/>
    <w:rsid w:val="0003782F"/>
    <w:rsid w:val="000404A3"/>
    <w:rsid w:val="000406EA"/>
    <w:rsid w:val="00040A0F"/>
    <w:rsid w:val="00040B75"/>
    <w:rsid w:val="0004175D"/>
    <w:rsid w:val="000422DB"/>
    <w:rsid w:val="00042FE1"/>
    <w:rsid w:val="0004348C"/>
    <w:rsid w:val="000454C5"/>
    <w:rsid w:val="000458C2"/>
    <w:rsid w:val="00047556"/>
    <w:rsid w:val="000475A4"/>
    <w:rsid w:val="00047ADD"/>
    <w:rsid w:val="000520AF"/>
    <w:rsid w:val="00052A8A"/>
    <w:rsid w:val="00054B80"/>
    <w:rsid w:val="00056693"/>
    <w:rsid w:val="00056BC7"/>
    <w:rsid w:val="000571B9"/>
    <w:rsid w:val="000572FF"/>
    <w:rsid w:val="000603EE"/>
    <w:rsid w:val="0006052B"/>
    <w:rsid w:val="00060825"/>
    <w:rsid w:val="00060B93"/>
    <w:rsid w:val="00064525"/>
    <w:rsid w:val="00064BBD"/>
    <w:rsid w:val="00066BA1"/>
    <w:rsid w:val="00067453"/>
    <w:rsid w:val="00070197"/>
    <w:rsid w:val="00073131"/>
    <w:rsid w:val="00073415"/>
    <w:rsid w:val="00074218"/>
    <w:rsid w:val="00074CBC"/>
    <w:rsid w:val="00074CD2"/>
    <w:rsid w:val="000768FE"/>
    <w:rsid w:val="00077A26"/>
    <w:rsid w:val="00077CE6"/>
    <w:rsid w:val="0008096D"/>
    <w:rsid w:val="000817F5"/>
    <w:rsid w:val="000822F3"/>
    <w:rsid w:val="00082D34"/>
    <w:rsid w:val="000831CA"/>
    <w:rsid w:val="0008324B"/>
    <w:rsid w:val="000834A2"/>
    <w:rsid w:val="00083666"/>
    <w:rsid w:val="00084DFD"/>
    <w:rsid w:val="00084E79"/>
    <w:rsid w:val="000862D8"/>
    <w:rsid w:val="000876B5"/>
    <w:rsid w:val="00090018"/>
    <w:rsid w:val="00091052"/>
    <w:rsid w:val="00091B59"/>
    <w:rsid w:val="00093163"/>
    <w:rsid w:val="00093F60"/>
    <w:rsid w:val="00094067"/>
    <w:rsid w:val="00094BB3"/>
    <w:rsid w:val="00094F0B"/>
    <w:rsid w:val="00095F34"/>
    <w:rsid w:val="00096AB3"/>
    <w:rsid w:val="000971C2"/>
    <w:rsid w:val="00097E5B"/>
    <w:rsid w:val="000A021C"/>
    <w:rsid w:val="000A143B"/>
    <w:rsid w:val="000A15AD"/>
    <w:rsid w:val="000A24F9"/>
    <w:rsid w:val="000A303F"/>
    <w:rsid w:val="000A38D8"/>
    <w:rsid w:val="000A4DC1"/>
    <w:rsid w:val="000A727A"/>
    <w:rsid w:val="000B052E"/>
    <w:rsid w:val="000B0B32"/>
    <w:rsid w:val="000B0F69"/>
    <w:rsid w:val="000B145F"/>
    <w:rsid w:val="000B14CC"/>
    <w:rsid w:val="000B1555"/>
    <w:rsid w:val="000B3B3F"/>
    <w:rsid w:val="000B4159"/>
    <w:rsid w:val="000B42F3"/>
    <w:rsid w:val="000B47FC"/>
    <w:rsid w:val="000B52AE"/>
    <w:rsid w:val="000B6170"/>
    <w:rsid w:val="000B7816"/>
    <w:rsid w:val="000C17F4"/>
    <w:rsid w:val="000C1D24"/>
    <w:rsid w:val="000C3445"/>
    <w:rsid w:val="000C416E"/>
    <w:rsid w:val="000C4534"/>
    <w:rsid w:val="000C491B"/>
    <w:rsid w:val="000C5127"/>
    <w:rsid w:val="000C603E"/>
    <w:rsid w:val="000C6B3F"/>
    <w:rsid w:val="000C6C53"/>
    <w:rsid w:val="000C70A9"/>
    <w:rsid w:val="000D1AB8"/>
    <w:rsid w:val="000D31A5"/>
    <w:rsid w:val="000D3D8A"/>
    <w:rsid w:val="000D475E"/>
    <w:rsid w:val="000D4823"/>
    <w:rsid w:val="000D5015"/>
    <w:rsid w:val="000D52CC"/>
    <w:rsid w:val="000D57F0"/>
    <w:rsid w:val="000D6607"/>
    <w:rsid w:val="000D6625"/>
    <w:rsid w:val="000D6735"/>
    <w:rsid w:val="000D67B9"/>
    <w:rsid w:val="000E0E2C"/>
    <w:rsid w:val="000E1BEB"/>
    <w:rsid w:val="000E234A"/>
    <w:rsid w:val="000E2903"/>
    <w:rsid w:val="000E2919"/>
    <w:rsid w:val="000E31D1"/>
    <w:rsid w:val="000E4702"/>
    <w:rsid w:val="000E4BA6"/>
    <w:rsid w:val="000E4C62"/>
    <w:rsid w:val="000E5C54"/>
    <w:rsid w:val="000E6857"/>
    <w:rsid w:val="000E6CD9"/>
    <w:rsid w:val="000E7AFB"/>
    <w:rsid w:val="000F23D7"/>
    <w:rsid w:val="000F273D"/>
    <w:rsid w:val="000F50E8"/>
    <w:rsid w:val="000F5E42"/>
    <w:rsid w:val="000F6829"/>
    <w:rsid w:val="000F7CE4"/>
    <w:rsid w:val="00100769"/>
    <w:rsid w:val="00101CB2"/>
    <w:rsid w:val="00101DC8"/>
    <w:rsid w:val="001034D4"/>
    <w:rsid w:val="00103AC8"/>
    <w:rsid w:val="00104053"/>
    <w:rsid w:val="00104ABD"/>
    <w:rsid w:val="001051E8"/>
    <w:rsid w:val="0010576E"/>
    <w:rsid w:val="001076B2"/>
    <w:rsid w:val="00107944"/>
    <w:rsid w:val="00111306"/>
    <w:rsid w:val="00112F3A"/>
    <w:rsid w:val="00113392"/>
    <w:rsid w:val="001136F7"/>
    <w:rsid w:val="001145B3"/>
    <w:rsid w:val="001145F3"/>
    <w:rsid w:val="00115ED6"/>
    <w:rsid w:val="001160ED"/>
    <w:rsid w:val="00116423"/>
    <w:rsid w:val="00116F26"/>
    <w:rsid w:val="00117064"/>
    <w:rsid w:val="00117145"/>
    <w:rsid w:val="001175D0"/>
    <w:rsid w:val="001179CE"/>
    <w:rsid w:val="00121B55"/>
    <w:rsid w:val="001225A6"/>
    <w:rsid w:val="00123458"/>
    <w:rsid w:val="0012352C"/>
    <w:rsid w:val="00123E1F"/>
    <w:rsid w:val="00124A9B"/>
    <w:rsid w:val="00124B66"/>
    <w:rsid w:val="001257AE"/>
    <w:rsid w:val="001272A2"/>
    <w:rsid w:val="00127E57"/>
    <w:rsid w:val="00131776"/>
    <w:rsid w:val="00132204"/>
    <w:rsid w:val="00132A7D"/>
    <w:rsid w:val="00133A18"/>
    <w:rsid w:val="001343D8"/>
    <w:rsid w:val="00135A29"/>
    <w:rsid w:val="00137E7D"/>
    <w:rsid w:val="001402AE"/>
    <w:rsid w:val="0014080D"/>
    <w:rsid w:val="00140885"/>
    <w:rsid w:val="001415BA"/>
    <w:rsid w:val="00142686"/>
    <w:rsid w:val="00142D9A"/>
    <w:rsid w:val="00143548"/>
    <w:rsid w:val="001443B6"/>
    <w:rsid w:val="00144E90"/>
    <w:rsid w:val="001458A7"/>
    <w:rsid w:val="001462AA"/>
    <w:rsid w:val="001476CA"/>
    <w:rsid w:val="001479C1"/>
    <w:rsid w:val="00150582"/>
    <w:rsid w:val="00150F90"/>
    <w:rsid w:val="001528FA"/>
    <w:rsid w:val="00152D41"/>
    <w:rsid w:val="00153C16"/>
    <w:rsid w:val="001540B2"/>
    <w:rsid w:val="00154A3A"/>
    <w:rsid w:val="00154AAE"/>
    <w:rsid w:val="00155A3A"/>
    <w:rsid w:val="00155ABD"/>
    <w:rsid w:val="00155F49"/>
    <w:rsid w:val="00156571"/>
    <w:rsid w:val="00156D65"/>
    <w:rsid w:val="00160687"/>
    <w:rsid w:val="00161197"/>
    <w:rsid w:val="00161BEE"/>
    <w:rsid w:val="001645BC"/>
    <w:rsid w:val="00165DC7"/>
    <w:rsid w:val="001678D1"/>
    <w:rsid w:val="00171CD3"/>
    <w:rsid w:val="00173479"/>
    <w:rsid w:val="00174B22"/>
    <w:rsid w:val="00174B8D"/>
    <w:rsid w:val="0017532E"/>
    <w:rsid w:val="00175ACD"/>
    <w:rsid w:val="00176132"/>
    <w:rsid w:val="0018054E"/>
    <w:rsid w:val="00180CB3"/>
    <w:rsid w:val="00180FC2"/>
    <w:rsid w:val="00181BDF"/>
    <w:rsid w:val="001852CA"/>
    <w:rsid w:val="0018580E"/>
    <w:rsid w:val="00191173"/>
    <w:rsid w:val="001921BF"/>
    <w:rsid w:val="0019245C"/>
    <w:rsid w:val="00193345"/>
    <w:rsid w:val="00193B78"/>
    <w:rsid w:val="00193C69"/>
    <w:rsid w:val="0019404B"/>
    <w:rsid w:val="00195D6D"/>
    <w:rsid w:val="0019625F"/>
    <w:rsid w:val="00197F21"/>
    <w:rsid w:val="001A0CC4"/>
    <w:rsid w:val="001A130C"/>
    <w:rsid w:val="001A170E"/>
    <w:rsid w:val="001A1BDB"/>
    <w:rsid w:val="001A1FE9"/>
    <w:rsid w:val="001A2168"/>
    <w:rsid w:val="001A2830"/>
    <w:rsid w:val="001A31AA"/>
    <w:rsid w:val="001A411F"/>
    <w:rsid w:val="001A5F8A"/>
    <w:rsid w:val="001A7F14"/>
    <w:rsid w:val="001B3019"/>
    <w:rsid w:val="001B3BF1"/>
    <w:rsid w:val="001B6FFA"/>
    <w:rsid w:val="001B729E"/>
    <w:rsid w:val="001B790E"/>
    <w:rsid w:val="001C0046"/>
    <w:rsid w:val="001C18F4"/>
    <w:rsid w:val="001C1CFD"/>
    <w:rsid w:val="001C279C"/>
    <w:rsid w:val="001C2C07"/>
    <w:rsid w:val="001C2F4F"/>
    <w:rsid w:val="001C4DA5"/>
    <w:rsid w:val="001C5313"/>
    <w:rsid w:val="001C594E"/>
    <w:rsid w:val="001C5B5E"/>
    <w:rsid w:val="001C7436"/>
    <w:rsid w:val="001D011C"/>
    <w:rsid w:val="001D076B"/>
    <w:rsid w:val="001D3429"/>
    <w:rsid w:val="001D35DF"/>
    <w:rsid w:val="001D375F"/>
    <w:rsid w:val="001D3BE5"/>
    <w:rsid w:val="001E10F9"/>
    <w:rsid w:val="001E12C6"/>
    <w:rsid w:val="001E192A"/>
    <w:rsid w:val="001E31D0"/>
    <w:rsid w:val="001E34B5"/>
    <w:rsid w:val="001E3E47"/>
    <w:rsid w:val="001E4288"/>
    <w:rsid w:val="001E78CA"/>
    <w:rsid w:val="001E7BE1"/>
    <w:rsid w:val="001E7F1B"/>
    <w:rsid w:val="001F12A6"/>
    <w:rsid w:val="001F21BD"/>
    <w:rsid w:val="001F2B36"/>
    <w:rsid w:val="001F5569"/>
    <w:rsid w:val="001F5746"/>
    <w:rsid w:val="001F6D3A"/>
    <w:rsid w:val="00200A16"/>
    <w:rsid w:val="002016CA"/>
    <w:rsid w:val="00202B19"/>
    <w:rsid w:val="0020334C"/>
    <w:rsid w:val="00203415"/>
    <w:rsid w:val="00203C94"/>
    <w:rsid w:val="0020453B"/>
    <w:rsid w:val="00204C34"/>
    <w:rsid w:val="00205384"/>
    <w:rsid w:val="00205D1F"/>
    <w:rsid w:val="00206338"/>
    <w:rsid w:val="00206435"/>
    <w:rsid w:val="002073AE"/>
    <w:rsid w:val="002074A0"/>
    <w:rsid w:val="0020775B"/>
    <w:rsid w:val="00207C3B"/>
    <w:rsid w:val="00212411"/>
    <w:rsid w:val="00213AA3"/>
    <w:rsid w:val="002154E3"/>
    <w:rsid w:val="002163F2"/>
    <w:rsid w:val="00220CF7"/>
    <w:rsid w:val="00220E4B"/>
    <w:rsid w:val="002215B3"/>
    <w:rsid w:val="002218FF"/>
    <w:rsid w:val="00221FB4"/>
    <w:rsid w:val="00222001"/>
    <w:rsid w:val="00222081"/>
    <w:rsid w:val="00223375"/>
    <w:rsid w:val="00223975"/>
    <w:rsid w:val="0022490D"/>
    <w:rsid w:val="00224D21"/>
    <w:rsid w:val="00225574"/>
    <w:rsid w:val="00226893"/>
    <w:rsid w:val="002312D4"/>
    <w:rsid w:val="002319A4"/>
    <w:rsid w:val="00234838"/>
    <w:rsid w:val="002352D2"/>
    <w:rsid w:val="00235C0D"/>
    <w:rsid w:val="002360AF"/>
    <w:rsid w:val="00240ABB"/>
    <w:rsid w:val="00240BD9"/>
    <w:rsid w:val="00241456"/>
    <w:rsid w:val="002417A8"/>
    <w:rsid w:val="00243CB8"/>
    <w:rsid w:val="002455D4"/>
    <w:rsid w:val="002459B2"/>
    <w:rsid w:val="002459C4"/>
    <w:rsid w:val="00251E54"/>
    <w:rsid w:val="0025279A"/>
    <w:rsid w:val="0025282A"/>
    <w:rsid w:val="002536A0"/>
    <w:rsid w:val="0025481E"/>
    <w:rsid w:val="00254C7D"/>
    <w:rsid w:val="00255E64"/>
    <w:rsid w:val="00256268"/>
    <w:rsid w:val="00256D03"/>
    <w:rsid w:val="002572FF"/>
    <w:rsid w:val="0026008A"/>
    <w:rsid w:val="00260827"/>
    <w:rsid w:val="00260C0C"/>
    <w:rsid w:val="00262C6B"/>
    <w:rsid w:val="00263B9B"/>
    <w:rsid w:val="002655C0"/>
    <w:rsid w:val="00265920"/>
    <w:rsid w:val="00266704"/>
    <w:rsid w:val="00266EE0"/>
    <w:rsid w:val="00267705"/>
    <w:rsid w:val="00267D3C"/>
    <w:rsid w:val="00267F76"/>
    <w:rsid w:val="0027075A"/>
    <w:rsid w:val="00271B1D"/>
    <w:rsid w:val="002724ED"/>
    <w:rsid w:val="00272682"/>
    <w:rsid w:val="00272892"/>
    <w:rsid w:val="00272BA5"/>
    <w:rsid w:val="00272C93"/>
    <w:rsid w:val="00273363"/>
    <w:rsid w:val="00274356"/>
    <w:rsid w:val="002751F6"/>
    <w:rsid w:val="0027533E"/>
    <w:rsid w:val="002758BF"/>
    <w:rsid w:val="0027663C"/>
    <w:rsid w:val="0027699F"/>
    <w:rsid w:val="002775C5"/>
    <w:rsid w:val="0028039C"/>
    <w:rsid w:val="002817D9"/>
    <w:rsid w:val="00282D4D"/>
    <w:rsid w:val="002830A1"/>
    <w:rsid w:val="00283E04"/>
    <w:rsid w:val="00284C39"/>
    <w:rsid w:val="00285270"/>
    <w:rsid w:val="0028609B"/>
    <w:rsid w:val="00286880"/>
    <w:rsid w:val="00287498"/>
    <w:rsid w:val="00287D4F"/>
    <w:rsid w:val="00290FEF"/>
    <w:rsid w:val="002915FA"/>
    <w:rsid w:val="0029191D"/>
    <w:rsid w:val="00291AE4"/>
    <w:rsid w:val="00291B89"/>
    <w:rsid w:val="00291BCB"/>
    <w:rsid w:val="0029232C"/>
    <w:rsid w:val="00292B72"/>
    <w:rsid w:val="002934D1"/>
    <w:rsid w:val="0029515C"/>
    <w:rsid w:val="0029587E"/>
    <w:rsid w:val="00295E4E"/>
    <w:rsid w:val="002967BC"/>
    <w:rsid w:val="002A06DE"/>
    <w:rsid w:val="002A0A7F"/>
    <w:rsid w:val="002A129E"/>
    <w:rsid w:val="002A1E40"/>
    <w:rsid w:val="002A3162"/>
    <w:rsid w:val="002A3857"/>
    <w:rsid w:val="002A3930"/>
    <w:rsid w:val="002A470A"/>
    <w:rsid w:val="002A50A8"/>
    <w:rsid w:val="002A5167"/>
    <w:rsid w:val="002A5230"/>
    <w:rsid w:val="002A52EE"/>
    <w:rsid w:val="002A5325"/>
    <w:rsid w:val="002A716F"/>
    <w:rsid w:val="002A762C"/>
    <w:rsid w:val="002A77CB"/>
    <w:rsid w:val="002B15AF"/>
    <w:rsid w:val="002B1895"/>
    <w:rsid w:val="002B1DFA"/>
    <w:rsid w:val="002B1F61"/>
    <w:rsid w:val="002B296E"/>
    <w:rsid w:val="002B2BEB"/>
    <w:rsid w:val="002B5932"/>
    <w:rsid w:val="002B601A"/>
    <w:rsid w:val="002B70BE"/>
    <w:rsid w:val="002B7108"/>
    <w:rsid w:val="002C1720"/>
    <w:rsid w:val="002C177D"/>
    <w:rsid w:val="002C1A1D"/>
    <w:rsid w:val="002C1F5B"/>
    <w:rsid w:val="002C2EAF"/>
    <w:rsid w:val="002C38A2"/>
    <w:rsid w:val="002C4B69"/>
    <w:rsid w:val="002C4BFF"/>
    <w:rsid w:val="002C4D72"/>
    <w:rsid w:val="002C5299"/>
    <w:rsid w:val="002C5C7F"/>
    <w:rsid w:val="002C634E"/>
    <w:rsid w:val="002C65F8"/>
    <w:rsid w:val="002C6847"/>
    <w:rsid w:val="002D0918"/>
    <w:rsid w:val="002D0C33"/>
    <w:rsid w:val="002D4AAC"/>
    <w:rsid w:val="002D4C1A"/>
    <w:rsid w:val="002D5094"/>
    <w:rsid w:val="002D5389"/>
    <w:rsid w:val="002D5624"/>
    <w:rsid w:val="002D56ED"/>
    <w:rsid w:val="002D60C4"/>
    <w:rsid w:val="002D648C"/>
    <w:rsid w:val="002D6568"/>
    <w:rsid w:val="002D656A"/>
    <w:rsid w:val="002D6A89"/>
    <w:rsid w:val="002D7500"/>
    <w:rsid w:val="002D7CAE"/>
    <w:rsid w:val="002E06EF"/>
    <w:rsid w:val="002E0A5A"/>
    <w:rsid w:val="002E1801"/>
    <w:rsid w:val="002E1B1E"/>
    <w:rsid w:val="002E2A33"/>
    <w:rsid w:val="002E2CAE"/>
    <w:rsid w:val="002E4AD9"/>
    <w:rsid w:val="002E5083"/>
    <w:rsid w:val="002E52B9"/>
    <w:rsid w:val="002E53F3"/>
    <w:rsid w:val="002E5974"/>
    <w:rsid w:val="002E7E92"/>
    <w:rsid w:val="002F06D2"/>
    <w:rsid w:val="002F081A"/>
    <w:rsid w:val="002F0A9E"/>
    <w:rsid w:val="002F173E"/>
    <w:rsid w:val="002F1E63"/>
    <w:rsid w:val="002F1EBE"/>
    <w:rsid w:val="002F277D"/>
    <w:rsid w:val="002F34D8"/>
    <w:rsid w:val="002F4545"/>
    <w:rsid w:val="002F57D7"/>
    <w:rsid w:val="002F60E1"/>
    <w:rsid w:val="002F76B0"/>
    <w:rsid w:val="003001E0"/>
    <w:rsid w:val="003002B1"/>
    <w:rsid w:val="003026B5"/>
    <w:rsid w:val="003031B3"/>
    <w:rsid w:val="0030378C"/>
    <w:rsid w:val="0030626B"/>
    <w:rsid w:val="0030642D"/>
    <w:rsid w:val="0030679D"/>
    <w:rsid w:val="0031103E"/>
    <w:rsid w:val="00312092"/>
    <w:rsid w:val="00313300"/>
    <w:rsid w:val="0031362D"/>
    <w:rsid w:val="00313808"/>
    <w:rsid w:val="00314A4A"/>
    <w:rsid w:val="003151A9"/>
    <w:rsid w:val="00315685"/>
    <w:rsid w:val="00315836"/>
    <w:rsid w:val="00316F2F"/>
    <w:rsid w:val="0032010B"/>
    <w:rsid w:val="0032035D"/>
    <w:rsid w:val="00321B2C"/>
    <w:rsid w:val="00321D33"/>
    <w:rsid w:val="003232F2"/>
    <w:rsid w:val="00323C2C"/>
    <w:rsid w:val="0032510C"/>
    <w:rsid w:val="00326C1B"/>
    <w:rsid w:val="00326CEA"/>
    <w:rsid w:val="003271E6"/>
    <w:rsid w:val="003300C4"/>
    <w:rsid w:val="00330383"/>
    <w:rsid w:val="0033070C"/>
    <w:rsid w:val="00331029"/>
    <w:rsid w:val="00331431"/>
    <w:rsid w:val="0033242B"/>
    <w:rsid w:val="00332C75"/>
    <w:rsid w:val="00333861"/>
    <w:rsid w:val="00333C65"/>
    <w:rsid w:val="00333E8B"/>
    <w:rsid w:val="00333EB1"/>
    <w:rsid w:val="00335EA9"/>
    <w:rsid w:val="003364F7"/>
    <w:rsid w:val="003368E1"/>
    <w:rsid w:val="00336C02"/>
    <w:rsid w:val="00337603"/>
    <w:rsid w:val="0033761E"/>
    <w:rsid w:val="00340546"/>
    <w:rsid w:val="00340B6F"/>
    <w:rsid w:val="00341C43"/>
    <w:rsid w:val="00341F21"/>
    <w:rsid w:val="00341F88"/>
    <w:rsid w:val="00342707"/>
    <w:rsid w:val="003432B0"/>
    <w:rsid w:val="00343E84"/>
    <w:rsid w:val="003449C0"/>
    <w:rsid w:val="00344BC7"/>
    <w:rsid w:val="00345090"/>
    <w:rsid w:val="00346DEC"/>
    <w:rsid w:val="003471AA"/>
    <w:rsid w:val="003501CD"/>
    <w:rsid w:val="00350E0E"/>
    <w:rsid w:val="00351C5A"/>
    <w:rsid w:val="003523CC"/>
    <w:rsid w:val="00353683"/>
    <w:rsid w:val="00353698"/>
    <w:rsid w:val="00354D12"/>
    <w:rsid w:val="00360A44"/>
    <w:rsid w:val="00360B17"/>
    <w:rsid w:val="003615C4"/>
    <w:rsid w:val="00362261"/>
    <w:rsid w:val="00362844"/>
    <w:rsid w:val="00363793"/>
    <w:rsid w:val="00363F50"/>
    <w:rsid w:val="00364486"/>
    <w:rsid w:val="0036514D"/>
    <w:rsid w:val="0036607F"/>
    <w:rsid w:val="003661AC"/>
    <w:rsid w:val="0036690D"/>
    <w:rsid w:val="00366955"/>
    <w:rsid w:val="003676B8"/>
    <w:rsid w:val="00367E82"/>
    <w:rsid w:val="003722E0"/>
    <w:rsid w:val="00372D7C"/>
    <w:rsid w:val="00372D85"/>
    <w:rsid w:val="00372F89"/>
    <w:rsid w:val="00374D75"/>
    <w:rsid w:val="0037548D"/>
    <w:rsid w:val="00375842"/>
    <w:rsid w:val="00375DD1"/>
    <w:rsid w:val="00375E2E"/>
    <w:rsid w:val="0037600F"/>
    <w:rsid w:val="00380089"/>
    <w:rsid w:val="00380A6D"/>
    <w:rsid w:val="00380B55"/>
    <w:rsid w:val="00381870"/>
    <w:rsid w:val="00381CA9"/>
    <w:rsid w:val="00381DA7"/>
    <w:rsid w:val="003829C4"/>
    <w:rsid w:val="00382F39"/>
    <w:rsid w:val="003836B9"/>
    <w:rsid w:val="00383EEF"/>
    <w:rsid w:val="003841E6"/>
    <w:rsid w:val="00384780"/>
    <w:rsid w:val="00390780"/>
    <w:rsid w:val="00391374"/>
    <w:rsid w:val="003913D0"/>
    <w:rsid w:val="00391546"/>
    <w:rsid w:val="00391F1A"/>
    <w:rsid w:val="0039284A"/>
    <w:rsid w:val="0039289B"/>
    <w:rsid w:val="0039568B"/>
    <w:rsid w:val="00395E4C"/>
    <w:rsid w:val="00396191"/>
    <w:rsid w:val="00397051"/>
    <w:rsid w:val="00397573"/>
    <w:rsid w:val="003A05B5"/>
    <w:rsid w:val="003A0E71"/>
    <w:rsid w:val="003A17BB"/>
    <w:rsid w:val="003A2DC3"/>
    <w:rsid w:val="003A3E9F"/>
    <w:rsid w:val="003A4698"/>
    <w:rsid w:val="003A5664"/>
    <w:rsid w:val="003A698A"/>
    <w:rsid w:val="003A7E85"/>
    <w:rsid w:val="003A7FFA"/>
    <w:rsid w:val="003B3096"/>
    <w:rsid w:val="003B3AD9"/>
    <w:rsid w:val="003B3BD8"/>
    <w:rsid w:val="003B462A"/>
    <w:rsid w:val="003B702F"/>
    <w:rsid w:val="003C1A66"/>
    <w:rsid w:val="003C46B6"/>
    <w:rsid w:val="003C6477"/>
    <w:rsid w:val="003C67F5"/>
    <w:rsid w:val="003D0B6B"/>
    <w:rsid w:val="003D0C4F"/>
    <w:rsid w:val="003D10A9"/>
    <w:rsid w:val="003D50CC"/>
    <w:rsid w:val="003D593E"/>
    <w:rsid w:val="003D59E2"/>
    <w:rsid w:val="003D5A1D"/>
    <w:rsid w:val="003D5B3F"/>
    <w:rsid w:val="003D5DA8"/>
    <w:rsid w:val="003D7AAC"/>
    <w:rsid w:val="003E069A"/>
    <w:rsid w:val="003E1716"/>
    <w:rsid w:val="003E365D"/>
    <w:rsid w:val="003E5277"/>
    <w:rsid w:val="003E5956"/>
    <w:rsid w:val="003E59E6"/>
    <w:rsid w:val="003E664C"/>
    <w:rsid w:val="003E7969"/>
    <w:rsid w:val="003F0536"/>
    <w:rsid w:val="003F087A"/>
    <w:rsid w:val="003F1958"/>
    <w:rsid w:val="003F21EB"/>
    <w:rsid w:val="003F4B38"/>
    <w:rsid w:val="003F5BE4"/>
    <w:rsid w:val="003F5F12"/>
    <w:rsid w:val="003F60C3"/>
    <w:rsid w:val="003F6484"/>
    <w:rsid w:val="003F74CB"/>
    <w:rsid w:val="00400378"/>
    <w:rsid w:val="00400445"/>
    <w:rsid w:val="00403F33"/>
    <w:rsid w:val="00405256"/>
    <w:rsid w:val="0040740A"/>
    <w:rsid w:val="004074F6"/>
    <w:rsid w:val="0041411B"/>
    <w:rsid w:val="004179ED"/>
    <w:rsid w:val="00420AB8"/>
    <w:rsid w:val="004216AF"/>
    <w:rsid w:val="00424108"/>
    <w:rsid w:val="00424404"/>
    <w:rsid w:val="00425C58"/>
    <w:rsid w:val="00425D53"/>
    <w:rsid w:val="004266DA"/>
    <w:rsid w:val="004279E1"/>
    <w:rsid w:val="00427ACC"/>
    <w:rsid w:val="00430580"/>
    <w:rsid w:val="00432130"/>
    <w:rsid w:val="00432641"/>
    <w:rsid w:val="00433D42"/>
    <w:rsid w:val="00434974"/>
    <w:rsid w:val="0043741F"/>
    <w:rsid w:val="00440BB9"/>
    <w:rsid w:val="00443B00"/>
    <w:rsid w:val="00444B80"/>
    <w:rsid w:val="004464DE"/>
    <w:rsid w:val="00446944"/>
    <w:rsid w:val="0044697E"/>
    <w:rsid w:val="00446BA0"/>
    <w:rsid w:val="004479D0"/>
    <w:rsid w:val="00450597"/>
    <w:rsid w:val="00450AC0"/>
    <w:rsid w:val="00451EC7"/>
    <w:rsid w:val="00452C0F"/>
    <w:rsid w:val="00453040"/>
    <w:rsid w:val="00453456"/>
    <w:rsid w:val="004543D7"/>
    <w:rsid w:val="004567E4"/>
    <w:rsid w:val="004569B2"/>
    <w:rsid w:val="00457931"/>
    <w:rsid w:val="00457ECD"/>
    <w:rsid w:val="00461A36"/>
    <w:rsid w:val="00461D2C"/>
    <w:rsid w:val="004636B4"/>
    <w:rsid w:val="0046385E"/>
    <w:rsid w:val="00463CDF"/>
    <w:rsid w:val="00465E43"/>
    <w:rsid w:val="00466FAD"/>
    <w:rsid w:val="00467143"/>
    <w:rsid w:val="0046715A"/>
    <w:rsid w:val="0047053F"/>
    <w:rsid w:val="004707B8"/>
    <w:rsid w:val="004725E4"/>
    <w:rsid w:val="004743FE"/>
    <w:rsid w:val="0047568B"/>
    <w:rsid w:val="0047623C"/>
    <w:rsid w:val="00476966"/>
    <w:rsid w:val="00477D65"/>
    <w:rsid w:val="004804F0"/>
    <w:rsid w:val="00481CA1"/>
    <w:rsid w:val="004821D2"/>
    <w:rsid w:val="00483144"/>
    <w:rsid w:val="004837C7"/>
    <w:rsid w:val="00484406"/>
    <w:rsid w:val="004848FF"/>
    <w:rsid w:val="00484B3D"/>
    <w:rsid w:val="004851FC"/>
    <w:rsid w:val="00485B2F"/>
    <w:rsid w:val="00490328"/>
    <w:rsid w:val="004904DA"/>
    <w:rsid w:val="00490E58"/>
    <w:rsid w:val="004914A1"/>
    <w:rsid w:val="00491E01"/>
    <w:rsid w:val="00492003"/>
    <w:rsid w:val="0049495C"/>
    <w:rsid w:val="00494E34"/>
    <w:rsid w:val="0049537E"/>
    <w:rsid w:val="00497EA7"/>
    <w:rsid w:val="004A0EB5"/>
    <w:rsid w:val="004A1159"/>
    <w:rsid w:val="004A1931"/>
    <w:rsid w:val="004A2086"/>
    <w:rsid w:val="004A4287"/>
    <w:rsid w:val="004A63D7"/>
    <w:rsid w:val="004A6AE6"/>
    <w:rsid w:val="004B3AB6"/>
    <w:rsid w:val="004B3ACB"/>
    <w:rsid w:val="004B5633"/>
    <w:rsid w:val="004B7B1C"/>
    <w:rsid w:val="004C027A"/>
    <w:rsid w:val="004C0D5B"/>
    <w:rsid w:val="004C151A"/>
    <w:rsid w:val="004C18D7"/>
    <w:rsid w:val="004C269F"/>
    <w:rsid w:val="004C2F1C"/>
    <w:rsid w:val="004C36FE"/>
    <w:rsid w:val="004C3724"/>
    <w:rsid w:val="004C3EC4"/>
    <w:rsid w:val="004C4EC4"/>
    <w:rsid w:val="004C6FC5"/>
    <w:rsid w:val="004C7398"/>
    <w:rsid w:val="004D0296"/>
    <w:rsid w:val="004D1055"/>
    <w:rsid w:val="004D1508"/>
    <w:rsid w:val="004D17D8"/>
    <w:rsid w:val="004D2CDA"/>
    <w:rsid w:val="004D380B"/>
    <w:rsid w:val="004D3EEE"/>
    <w:rsid w:val="004D41C9"/>
    <w:rsid w:val="004D4927"/>
    <w:rsid w:val="004D6639"/>
    <w:rsid w:val="004D6EDC"/>
    <w:rsid w:val="004D7A0E"/>
    <w:rsid w:val="004E0F9B"/>
    <w:rsid w:val="004E1B08"/>
    <w:rsid w:val="004E1E3C"/>
    <w:rsid w:val="004E2925"/>
    <w:rsid w:val="004E33FB"/>
    <w:rsid w:val="004E522B"/>
    <w:rsid w:val="004E7B1B"/>
    <w:rsid w:val="004F0460"/>
    <w:rsid w:val="004F26C0"/>
    <w:rsid w:val="004F34F8"/>
    <w:rsid w:val="004F59BB"/>
    <w:rsid w:val="004F6A74"/>
    <w:rsid w:val="00500A42"/>
    <w:rsid w:val="005015C1"/>
    <w:rsid w:val="00501C2F"/>
    <w:rsid w:val="00502406"/>
    <w:rsid w:val="005033D5"/>
    <w:rsid w:val="0050522C"/>
    <w:rsid w:val="00505B53"/>
    <w:rsid w:val="0050722F"/>
    <w:rsid w:val="00510C21"/>
    <w:rsid w:val="005116A7"/>
    <w:rsid w:val="0051367D"/>
    <w:rsid w:val="00513DBC"/>
    <w:rsid w:val="00513E5F"/>
    <w:rsid w:val="00514AE9"/>
    <w:rsid w:val="005168F5"/>
    <w:rsid w:val="00517F58"/>
    <w:rsid w:val="00520BBB"/>
    <w:rsid w:val="00521113"/>
    <w:rsid w:val="00521210"/>
    <w:rsid w:val="00521509"/>
    <w:rsid w:val="0052181C"/>
    <w:rsid w:val="00521EDF"/>
    <w:rsid w:val="0052233B"/>
    <w:rsid w:val="0052480C"/>
    <w:rsid w:val="00524928"/>
    <w:rsid w:val="00525A79"/>
    <w:rsid w:val="00525CC6"/>
    <w:rsid w:val="005264DC"/>
    <w:rsid w:val="005267E2"/>
    <w:rsid w:val="005275D7"/>
    <w:rsid w:val="00527FA1"/>
    <w:rsid w:val="005307AE"/>
    <w:rsid w:val="00530A99"/>
    <w:rsid w:val="00534B1D"/>
    <w:rsid w:val="00535A74"/>
    <w:rsid w:val="00535E75"/>
    <w:rsid w:val="00536050"/>
    <w:rsid w:val="00536AF9"/>
    <w:rsid w:val="00536B6A"/>
    <w:rsid w:val="00536DB9"/>
    <w:rsid w:val="00537EF3"/>
    <w:rsid w:val="005407CC"/>
    <w:rsid w:val="00540917"/>
    <w:rsid w:val="00541B66"/>
    <w:rsid w:val="005424C1"/>
    <w:rsid w:val="0054300C"/>
    <w:rsid w:val="0054396B"/>
    <w:rsid w:val="00544340"/>
    <w:rsid w:val="00545F2A"/>
    <w:rsid w:val="00547568"/>
    <w:rsid w:val="00550B73"/>
    <w:rsid w:val="00550B7B"/>
    <w:rsid w:val="00552A93"/>
    <w:rsid w:val="00553BD4"/>
    <w:rsid w:val="00557839"/>
    <w:rsid w:val="00561827"/>
    <w:rsid w:val="0056289D"/>
    <w:rsid w:val="00563F31"/>
    <w:rsid w:val="0056504B"/>
    <w:rsid w:val="00567EA2"/>
    <w:rsid w:val="005714DF"/>
    <w:rsid w:val="0057215A"/>
    <w:rsid w:val="00572AE4"/>
    <w:rsid w:val="0057521E"/>
    <w:rsid w:val="00576F42"/>
    <w:rsid w:val="00581AF3"/>
    <w:rsid w:val="005829DC"/>
    <w:rsid w:val="005830A1"/>
    <w:rsid w:val="00583F42"/>
    <w:rsid w:val="00584E14"/>
    <w:rsid w:val="00586184"/>
    <w:rsid w:val="0058790F"/>
    <w:rsid w:val="00587A13"/>
    <w:rsid w:val="00590418"/>
    <w:rsid w:val="0059061C"/>
    <w:rsid w:val="00590626"/>
    <w:rsid w:val="00590DC5"/>
    <w:rsid w:val="00591DDE"/>
    <w:rsid w:val="00593E32"/>
    <w:rsid w:val="00594371"/>
    <w:rsid w:val="00595040"/>
    <w:rsid w:val="005950F4"/>
    <w:rsid w:val="00595A2A"/>
    <w:rsid w:val="00596728"/>
    <w:rsid w:val="005A102C"/>
    <w:rsid w:val="005A19A0"/>
    <w:rsid w:val="005A5E28"/>
    <w:rsid w:val="005A676B"/>
    <w:rsid w:val="005A69BF"/>
    <w:rsid w:val="005A7499"/>
    <w:rsid w:val="005A7721"/>
    <w:rsid w:val="005B072A"/>
    <w:rsid w:val="005B0B7D"/>
    <w:rsid w:val="005B185B"/>
    <w:rsid w:val="005B2216"/>
    <w:rsid w:val="005B2235"/>
    <w:rsid w:val="005B34BA"/>
    <w:rsid w:val="005B4CEB"/>
    <w:rsid w:val="005B500F"/>
    <w:rsid w:val="005B61E4"/>
    <w:rsid w:val="005B6433"/>
    <w:rsid w:val="005B6B8A"/>
    <w:rsid w:val="005C0697"/>
    <w:rsid w:val="005C0EEF"/>
    <w:rsid w:val="005C36CA"/>
    <w:rsid w:val="005C3720"/>
    <w:rsid w:val="005C45C3"/>
    <w:rsid w:val="005C5068"/>
    <w:rsid w:val="005C64B3"/>
    <w:rsid w:val="005C66D3"/>
    <w:rsid w:val="005C6A24"/>
    <w:rsid w:val="005C7775"/>
    <w:rsid w:val="005C7778"/>
    <w:rsid w:val="005D0630"/>
    <w:rsid w:val="005D0F78"/>
    <w:rsid w:val="005D15AE"/>
    <w:rsid w:val="005D29FB"/>
    <w:rsid w:val="005D3347"/>
    <w:rsid w:val="005D3716"/>
    <w:rsid w:val="005D4D36"/>
    <w:rsid w:val="005D4EBA"/>
    <w:rsid w:val="005D4FF5"/>
    <w:rsid w:val="005D692C"/>
    <w:rsid w:val="005D6EAE"/>
    <w:rsid w:val="005E092F"/>
    <w:rsid w:val="005E0D68"/>
    <w:rsid w:val="005E1E8F"/>
    <w:rsid w:val="005E29A2"/>
    <w:rsid w:val="005E3160"/>
    <w:rsid w:val="005E5EAD"/>
    <w:rsid w:val="005E637A"/>
    <w:rsid w:val="005E6E8C"/>
    <w:rsid w:val="005E7803"/>
    <w:rsid w:val="005F27B4"/>
    <w:rsid w:val="005F2C43"/>
    <w:rsid w:val="005F4179"/>
    <w:rsid w:val="005F4839"/>
    <w:rsid w:val="005F4A9D"/>
    <w:rsid w:val="005F50C7"/>
    <w:rsid w:val="005F7FBB"/>
    <w:rsid w:val="00600570"/>
    <w:rsid w:val="00600A8F"/>
    <w:rsid w:val="006013DA"/>
    <w:rsid w:val="00602D86"/>
    <w:rsid w:val="00602DF1"/>
    <w:rsid w:val="0060350C"/>
    <w:rsid w:val="0060357A"/>
    <w:rsid w:val="0060360F"/>
    <w:rsid w:val="00603D25"/>
    <w:rsid w:val="00604395"/>
    <w:rsid w:val="006044B5"/>
    <w:rsid w:val="00605C81"/>
    <w:rsid w:val="00605D24"/>
    <w:rsid w:val="006075D5"/>
    <w:rsid w:val="00611328"/>
    <w:rsid w:val="006114F5"/>
    <w:rsid w:val="0061208B"/>
    <w:rsid w:val="00612138"/>
    <w:rsid w:val="00612AE8"/>
    <w:rsid w:val="00614544"/>
    <w:rsid w:val="006162CA"/>
    <w:rsid w:val="0061632E"/>
    <w:rsid w:val="00620DF2"/>
    <w:rsid w:val="006217E0"/>
    <w:rsid w:val="00621A9F"/>
    <w:rsid w:val="00621EF4"/>
    <w:rsid w:val="00622C21"/>
    <w:rsid w:val="00622FD6"/>
    <w:rsid w:val="00623425"/>
    <w:rsid w:val="0062356D"/>
    <w:rsid w:val="00624558"/>
    <w:rsid w:val="00624A49"/>
    <w:rsid w:val="00624C39"/>
    <w:rsid w:val="00625BBA"/>
    <w:rsid w:val="006278ED"/>
    <w:rsid w:val="00627A00"/>
    <w:rsid w:val="00627B65"/>
    <w:rsid w:val="00630C84"/>
    <w:rsid w:val="00632845"/>
    <w:rsid w:val="006329F0"/>
    <w:rsid w:val="0063302A"/>
    <w:rsid w:val="006334F7"/>
    <w:rsid w:val="006348E7"/>
    <w:rsid w:val="00635139"/>
    <w:rsid w:val="00636B64"/>
    <w:rsid w:val="00640846"/>
    <w:rsid w:val="00640C74"/>
    <w:rsid w:val="006414E2"/>
    <w:rsid w:val="00641C85"/>
    <w:rsid w:val="0064205B"/>
    <w:rsid w:val="0064312B"/>
    <w:rsid w:val="00644232"/>
    <w:rsid w:val="00645A2E"/>
    <w:rsid w:val="006514EE"/>
    <w:rsid w:val="0065301B"/>
    <w:rsid w:val="006541A4"/>
    <w:rsid w:val="00654554"/>
    <w:rsid w:val="00655398"/>
    <w:rsid w:val="0065549C"/>
    <w:rsid w:val="0065674F"/>
    <w:rsid w:val="00656F54"/>
    <w:rsid w:val="00657159"/>
    <w:rsid w:val="006574A9"/>
    <w:rsid w:val="00661B9F"/>
    <w:rsid w:val="006634D6"/>
    <w:rsid w:val="00664A00"/>
    <w:rsid w:val="0066577C"/>
    <w:rsid w:val="00666F2A"/>
    <w:rsid w:val="00667376"/>
    <w:rsid w:val="006709C9"/>
    <w:rsid w:val="00670BFB"/>
    <w:rsid w:val="00672477"/>
    <w:rsid w:val="00672A2D"/>
    <w:rsid w:val="006730BC"/>
    <w:rsid w:val="00675EA3"/>
    <w:rsid w:val="006805D2"/>
    <w:rsid w:val="00680B67"/>
    <w:rsid w:val="00684711"/>
    <w:rsid w:val="00684D3D"/>
    <w:rsid w:val="00684E89"/>
    <w:rsid w:val="00684F59"/>
    <w:rsid w:val="00684FC5"/>
    <w:rsid w:val="006870C9"/>
    <w:rsid w:val="006874FD"/>
    <w:rsid w:val="00687590"/>
    <w:rsid w:val="00687769"/>
    <w:rsid w:val="00687E45"/>
    <w:rsid w:val="00690533"/>
    <w:rsid w:val="00690672"/>
    <w:rsid w:val="00693C57"/>
    <w:rsid w:val="00694BE8"/>
    <w:rsid w:val="00695667"/>
    <w:rsid w:val="00696262"/>
    <w:rsid w:val="006976A8"/>
    <w:rsid w:val="006A0806"/>
    <w:rsid w:val="006A13BC"/>
    <w:rsid w:val="006A1829"/>
    <w:rsid w:val="006A18B4"/>
    <w:rsid w:val="006A229D"/>
    <w:rsid w:val="006A2886"/>
    <w:rsid w:val="006A2AF8"/>
    <w:rsid w:val="006A3222"/>
    <w:rsid w:val="006A3747"/>
    <w:rsid w:val="006A3B1F"/>
    <w:rsid w:val="006A5330"/>
    <w:rsid w:val="006A5E9F"/>
    <w:rsid w:val="006A5F81"/>
    <w:rsid w:val="006A6DB4"/>
    <w:rsid w:val="006A6FD6"/>
    <w:rsid w:val="006A7470"/>
    <w:rsid w:val="006A7A36"/>
    <w:rsid w:val="006A7B02"/>
    <w:rsid w:val="006A7CD2"/>
    <w:rsid w:val="006A7DCF"/>
    <w:rsid w:val="006B0D80"/>
    <w:rsid w:val="006B1020"/>
    <w:rsid w:val="006B2635"/>
    <w:rsid w:val="006B28FD"/>
    <w:rsid w:val="006B3136"/>
    <w:rsid w:val="006B3838"/>
    <w:rsid w:val="006B4435"/>
    <w:rsid w:val="006B568D"/>
    <w:rsid w:val="006B6BDC"/>
    <w:rsid w:val="006C0422"/>
    <w:rsid w:val="006C12E7"/>
    <w:rsid w:val="006C1877"/>
    <w:rsid w:val="006C2834"/>
    <w:rsid w:val="006C3EC0"/>
    <w:rsid w:val="006C431F"/>
    <w:rsid w:val="006C6232"/>
    <w:rsid w:val="006C6486"/>
    <w:rsid w:val="006C64F2"/>
    <w:rsid w:val="006C7EE8"/>
    <w:rsid w:val="006D046D"/>
    <w:rsid w:val="006D121F"/>
    <w:rsid w:val="006D311C"/>
    <w:rsid w:val="006D5AC2"/>
    <w:rsid w:val="006D5D2F"/>
    <w:rsid w:val="006D688B"/>
    <w:rsid w:val="006D7BB1"/>
    <w:rsid w:val="006E0113"/>
    <w:rsid w:val="006E0EBE"/>
    <w:rsid w:val="006E282D"/>
    <w:rsid w:val="006E3751"/>
    <w:rsid w:val="006E3775"/>
    <w:rsid w:val="006E4FB7"/>
    <w:rsid w:val="006E6C08"/>
    <w:rsid w:val="006E782C"/>
    <w:rsid w:val="006E7CAC"/>
    <w:rsid w:val="006F02B0"/>
    <w:rsid w:val="006F1170"/>
    <w:rsid w:val="006F17C5"/>
    <w:rsid w:val="006F2ADD"/>
    <w:rsid w:val="006F2E9D"/>
    <w:rsid w:val="006F30B9"/>
    <w:rsid w:val="006F36DE"/>
    <w:rsid w:val="006F3F09"/>
    <w:rsid w:val="006F4357"/>
    <w:rsid w:val="006F53A4"/>
    <w:rsid w:val="006F660B"/>
    <w:rsid w:val="006F6F8C"/>
    <w:rsid w:val="006F781E"/>
    <w:rsid w:val="007014B7"/>
    <w:rsid w:val="00702140"/>
    <w:rsid w:val="00702F31"/>
    <w:rsid w:val="00703216"/>
    <w:rsid w:val="00703815"/>
    <w:rsid w:val="007039E0"/>
    <w:rsid w:val="0070411A"/>
    <w:rsid w:val="007042D4"/>
    <w:rsid w:val="00705347"/>
    <w:rsid w:val="00705374"/>
    <w:rsid w:val="0070545A"/>
    <w:rsid w:val="00705B59"/>
    <w:rsid w:val="0070701F"/>
    <w:rsid w:val="00707CE0"/>
    <w:rsid w:val="00707F5C"/>
    <w:rsid w:val="007121CF"/>
    <w:rsid w:val="00712518"/>
    <w:rsid w:val="00712B72"/>
    <w:rsid w:val="0071393E"/>
    <w:rsid w:val="00714823"/>
    <w:rsid w:val="00715D80"/>
    <w:rsid w:val="00715FE9"/>
    <w:rsid w:val="00716391"/>
    <w:rsid w:val="007171C4"/>
    <w:rsid w:val="0071738A"/>
    <w:rsid w:val="007209DB"/>
    <w:rsid w:val="00720B13"/>
    <w:rsid w:val="00720B50"/>
    <w:rsid w:val="007210F2"/>
    <w:rsid w:val="00722CD6"/>
    <w:rsid w:val="00724879"/>
    <w:rsid w:val="00725911"/>
    <w:rsid w:val="007262DF"/>
    <w:rsid w:val="00726769"/>
    <w:rsid w:val="00726A46"/>
    <w:rsid w:val="0072764F"/>
    <w:rsid w:val="00727E50"/>
    <w:rsid w:val="00730362"/>
    <w:rsid w:val="00731667"/>
    <w:rsid w:val="007327CB"/>
    <w:rsid w:val="007352F3"/>
    <w:rsid w:val="00735559"/>
    <w:rsid w:val="007355D1"/>
    <w:rsid w:val="0073563E"/>
    <w:rsid w:val="007362E3"/>
    <w:rsid w:val="007364EC"/>
    <w:rsid w:val="007366E2"/>
    <w:rsid w:val="007403FA"/>
    <w:rsid w:val="00741C76"/>
    <w:rsid w:val="00745FEC"/>
    <w:rsid w:val="00747D61"/>
    <w:rsid w:val="00754300"/>
    <w:rsid w:val="0075439A"/>
    <w:rsid w:val="00754DD8"/>
    <w:rsid w:val="007579AD"/>
    <w:rsid w:val="0076063D"/>
    <w:rsid w:val="00761801"/>
    <w:rsid w:val="007619CF"/>
    <w:rsid w:val="0076264F"/>
    <w:rsid w:val="00762F07"/>
    <w:rsid w:val="0076640B"/>
    <w:rsid w:val="00767DA7"/>
    <w:rsid w:val="0077089E"/>
    <w:rsid w:val="00770F9F"/>
    <w:rsid w:val="00771097"/>
    <w:rsid w:val="0077153E"/>
    <w:rsid w:val="00772CE4"/>
    <w:rsid w:val="00773CF8"/>
    <w:rsid w:val="00773DCA"/>
    <w:rsid w:val="00773E08"/>
    <w:rsid w:val="00774A5B"/>
    <w:rsid w:val="00775438"/>
    <w:rsid w:val="00776652"/>
    <w:rsid w:val="00776675"/>
    <w:rsid w:val="007775A4"/>
    <w:rsid w:val="00777978"/>
    <w:rsid w:val="00777E24"/>
    <w:rsid w:val="007800AB"/>
    <w:rsid w:val="007805F3"/>
    <w:rsid w:val="00781B7D"/>
    <w:rsid w:val="00782553"/>
    <w:rsid w:val="00782667"/>
    <w:rsid w:val="00783BDA"/>
    <w:rsid w:val="00786D9B"/>
    <w:rsid w:val="007911B6"/>
    <w:rsid w:val="00791C3E"/>
    <w:rsid w:val="007931AC"/>
    <w:rsid w:val="0079384E"/>
    <w:rsid w:val="00796430"/>
    <w:rsid w:val="00796D50"/>
    <w:rsid w:val="0079753F"/>
    <w:rsid w:val="007A00E1"/>
    <w:rsid w:val="007A07C1"/>
    <w:rsid w:val="007A1133"/>
    <w:rsid w:val="007A28A9"/>
    <w:rsid w:val="007A3408"/>
    <w:rsid w:val="007A4AF1"/>
    <w:rsid w:val="007A4BD5"/>
    <w:rsid w:val="007A6371"/>
    <w:rsid w:val="007A70C2"/>
    <w:rsid w:val="007A7CF3"/>
    <w:rsid w:val="007B091F"/>
    <w:rsid w:val="007B11BD"/>
    <w:rsid w:val="007B136A"/>
    <w:rsid w:val="007B2155"/>
    <w:rsid w:val="007B3F54"/>
    <w:rsid w:val="007B41CC"/>
    <w:rsid w:val="007B6096"/>
    <w:rsid w:val="007B63F4"/>
    <w:rsid w:val="007B7353"/>
    <w:rsid w:val="007B7BE1"/>
    <w:rsid w:val="007C034D"/>
    <w:rsid w:val="007C04D9"/>
    <w:rsid w:val="007C1467"/>
    <w:rsid w:val="007C149E"/>
    <w:rsid w:val="007C21EA"/>
    <w:rsid w:val="007C24AC"/>
    <w:rsid w:val="007C253C"/>
    <w:rsid w:val="007C4219"/>
    <w:rsid w:val="007C59EE"/>
    <w:rsid w:val="007C5D88"/>
    <w:rsid w:val="007C6013"/>
    <w:rsid w:val="007C67EF"/>
    <w:rsid w:val="007C6CAA"/>
    <w:rsid w:val="007D113C"/>
    <w:rsid w:val="007D29D6"/>
    <w:rsid w:val="007D2BD9"/>
    <w:rsid w:val="007D2E00"/>
    <w:rsid w:val="007D2FED"/>
    <w:rsid w:val="007D4DAF"/>
    <w:rsid w:val="007D5BC2"/>
    <w:rsid w:val="007E2693"/>
    <w:rsid w:val="007E2B03"/>
    <w:rsid w:val="007E2BAF"/>
    <w:rsid w:val="007E3C4D"/>
    <w:rsid w:val="007E5802"/>
    <w:rsid w:val="007E5980"/>
    <w:rsid w:val="007E6C85"/>
    <w:rsid w:val="007E7083"/>
    <w:rsid w:val="007E7A62"/>
    <w:rsid w:val="007F12D5"/>
    <w:rsid w:val="007F1877"/>
    <w:rsid w:val="007F2381"/>
    <w:rsid w:val="007F3359"/>
    <w:rsid w:val="007F3F14"/>
    <w:rsid w:val="007F4E7D"/>
    <w:rsid w:val="007F5DB1"/>
    <w:rsid w:val="007F6060"/>
    <w:rsid w:val="007F6FF7"/>
    <w:rsid w:val="007F72AC"/>
    <w:rsid w:val="007F7775"/>
    <w:rsid w:val="008013E3"/>
    <w:rsid w:val="008015C6"/>
    <w:rsid w:val="008022F8"/>
    <w:rsid w:val="008032CE"/>
    <w:rsid w:val="008033C2"/>
    <w:rsid w:val="00803FA5"/>
    <w:rsid w:val="0080512D"/>
    <w:rsid w:val="00806F52"/>
    <w:rsid w:val="008070F7"/>
    <w:rsid w:val="00807E3B"/>
    <w:rsid w:val="008103AD"/>
    <w:rsid w:val="00810AFA"/>
    <w:rsid w:val="008119BF"/>
    <w:rsid w:val="00812DD4"/>
    <w:rsid w:val="00813328"/>
    <w:rsid w:val="00813E06"/>
    <w:rsid w:val="008152D7"/>
    <w:rsid w:val="00816D18"/>
    <w:rsid w:val="0081728E"/>
    <w:rsid w:val="00817992"/>
    <w:rsid w:val="00820378"/>
    <w:rsid w:val="008206F4"/>
    <w:rsid w:val="008224E8"/>
    <w:rsid w:val="008225B4"/>
    <w:rsid w:val="00822808"/>
    <w:rsid w:val="0082404F"/>
    <w:rsid w:val="00824221"/>
    <w:rsid w:val="008243CF"/>
    <w:rsid w:val="00825126"/>
    <w:rsid w:val="0082513E"/>
    <w:rsid w:val="00825638"/>
    <w:rsid w:val="00826066"/>
    <w:rsid w:val="00827F25"/>
    <w:rsid w:val="0083030F"/>
    <w:rsid w:val="00831093"/>
    <w:rsid w:val="0083251E"/>
    <w:rsid w:val="00833FA8"/>
    <w:rsid w:val="00834850"/>
    <w:rsid w:val="00834F8D"/>
    <w:rsid w:val="00835A45"/>
    <w:rsid w:val="0083605D"/>
    <w:rsid w:val="008376C6"/>
    <w:rsid w:val="00837BCA"/>
    <w:rsid w:val="00841E2D"/>
    <w:rsid w:val="00842800"/>
    <w:rsid w:val="008434FB"/>
    <w:rsid w:val="00843AD8"/>
    <w:rsid w:val="00843EF7"/>
    <w:rsid w:val="0084558C"/>
    <w:rsid w:val="008458D3"/>
    <w:rsid w:val="0084600F"/>
    <w:rsid w:val="00850AFE"/>
    <w:rsid w:val="008510F7"/>
    <w:rsid w:val="008511FE"/>
    <w:rsid w:val="00852A05"/>
    <w:rsid w:val="00852F74"/>
    <w:rsid w:val="0085360C"/>
    <w:rsid w:val="00853694"/>
    <w:rsid w:val="0085387C"/>
    <w:rsid w:val="00855485"/>
    <w:rsid w:val="00855D15"/>
    <w:rsid w:val="008560CF"/>
    <w:rsid w:val="00856688"/>
    <w:rsid w:val="00862E8E"/>
    <w:rsid w:val="008658BF"/>
    <w:rsid w:val="00865D60"/>
    <w:rsid w:val="00866C2D"/>
    <w:rsid w:val="00871135"/>
    <w:rsid w:val="0087135D"/>
    <w:rsid w:val="008722C5"/>
    <w:rsid w:val="00872AAF"/>
    <w:rsid w:val="008737B4"/>
    <w:rsid w:val="00874178"/>
    <w:rsid w:val="008743B7"/>
    <w:rsid w:val="0087450D"/>
    <w:rsid w:val="00874E0F"/>
    <w:rsid w:val="00877F78"/>
    <w:rsid w:val="00880412"/>
    <w:rsid w:val="0088052F"/>
    <w:rsid w:val="00880EE3"/>
    <w:rsid w:val="008817B2"/>
    <w:rsid w:val="00882914"/>
    <w:rsid w:val="00882EB9"/>
    <w:rsid w:val="00883101"/>
    <w:rsid w:val="00883430"/>
    <w:rsid w:val="008839C6"/>
    <w:rsid w:val="00885424"/>
    <w:rsid w:val="00885E68"/>
    <w:rsid w:val="00890114"/>
    <w:rsid w:val="00890A46"/>
    <w:rsid w:val="0089388A"/>
    <w:rsid w:val="00894E51"/>
    <w:rsid w:val="00896617"/>
    <w:rsid w:val="00896A32"/>
    <w:rsid w:val="008977A6"/>
    <w:rsid w:val="008A0EFA"/>
    <w:rsid w:val="008A1931"/>
    <w:rsid w:val="008A2F54"/>
    <w:rsid w:val="008A3CAA"/>
    <w:rsid w:val="008A42E4"/>
    <w:rsid w:val="008A4E41"/>
    <w:rsid w:val="008A5457"/>
    <w:rsid w:val="008A6FD6"/>
    <w:rsid w:val="008B0289"/>
    <w:rsid w:val="008B0972"/>
    <w:rsid w:val="008B0BEF"/>
    <w:rsid w:val="008B1DF3"/>
    <w:rsid w:val="008B2616"/>
    <w:rsid w:val="008B2649"/>
    <w:rsid w:val="008B2CC8"/>
    <w:rsid w:val="008B40D1"/>
    <w:rsid w:val="008B450D"/>
    <w:rsid w:val="008B4F65"/>
    <w:rsid w:val="008B6CA6"/>
    <w:rsid w:val="008B6E63"/>
    <w:rsid w:val="008B79D6"/>
    <w:rsid w:val="008C02EF"/>
    <w:rsid w:val="008C03A9"/>
    <w:rsid w:val="008C15AC"/>
    <w:rsid w:val="008C269E"/>
    <w:rsid w:val="008C287E"/>
    <w:rsid w:val="008C2EED"/>
    <w:rsid w:val="008C420B"/>
    <w:rsid w:val="008C4641"/>
    <w:rsid w:val="008C5368"/>
    <w:rsid w:val="008C5BEE"/>
    <w:rsid w:val="008C6295"/>
    <w:rsid w:val="008C681B"/>
    <w:rsid w:val="008C6D22"/>
    <w:rsid w:val="008C76B1"/>
    <w:rsid w:val="008D0A08"/>
    <w:rsid w:val="008D26B9"/>
    <w:rsid w:val="008D2DA0"/>
    <w:rsid w:val="008D32DB"/>
    <w:rsid w:val="008D3CDB"/>
    <w:rsid w:val="008D408C"/>
    <w:rsid w:val="008D4E66"/>
    <w:rsid w:val="008D51BC"/>
    <w:rsid w:val="008D5296"/>
    <w:rsid w:val="008D5ACD"/>
    <w:rsid w:val="008D5CF5"/>
    <w:rsid w:val="008D6805"/>
    <w:rsid w:val="008D6C3F"/>
    <w:rsid w:val="008D6DC4"/>
    <w:rsid w:val="008D7761"/>
    <w:rsid w:val="008E09FB"/>
    <w:rsid w:val="008E0BEA"/>
    <w:rsid w:val="008E0F91"/>
    <w:rsid w:val="008E1ACC"/>
    <w:rsid w:val="008E3FF4"/>
    <w:rsid w:val="008E41F3"/>
    <w:rsid w:val="008E5DD5"/>
    <w:rsid w:val="008E7362"/>
    <w:rsid w:val="008E7BF8"/>
    <w:rsid w:val="008E7C57"/>
    <w:rsid w:val="008F041F"/>
    <w:rsid w:val="008F255C"/>
    <w:rsid w:val="008F266E"/>
    <w:rsid w:val="008F2CBA"/>
    <w:rsid w:val="008F3A78"/>
    <w:rsid w:val="008F3EA6"/>
    <w:rsid w:val="008F42B1"/>
    <w:rsid w:val="008F45FD"/>
    <w:rsid w:val="008F4C3F"/>
    <w:rsid w:val="008F576B"/>
    <w:rsid w:val="008F688D"/>
    <w:rsid w:val="008F7135"/>
    <w:rsid w:val="00901CC2"/>
    <w:rsid w:val="00902F3A"/>
    <w:rsid w:val="009035BB"/>
    <w:rsid w:val="00903612"/>
    <w:rsid w:val="00905133"/>
    <w:rsid w:val="00907F76"/>
    <w:rsid w:val="0091027E"/>
    <w:rsid w:val="009122B1"/>
    <w:rsid w:val="0091472E"/>
    <w:rsid w:val="00914B6E"/>
    <w:rsid w:val="00917D99"/>
    <w:rsid w:val="00920002"/>
    <w:rsid w:val="00920079"/>
    <w:rsid w:val="00920647"/>
    <w:rsid w:val="009209A6"/>
    <w:rsid w:val="00920E22"/>
    <w:rsid w:val="009236A5"/>
    <w:rsid w:val="0092639B"/>
    <w:rsid w:val="009266C7"/>
    <w:rsid w:val="00927021"/>
    <w:rsid w:val="00927F52"/>
    <w:rsid w:val="00930ED6"/>
    <w:rsid w:val="009316C9"/>
    <w:rsid w:val="00931F11"/>
    <w:rsid w:val="00933BBE"/>
    <w:rsid w:val="00933F33"/>
    <w:rsid w:val="009359D7"/>
    <w:rsid w:val="00936BB6"/>
    <w:rsid w:val="00936FFB"/>
    <w:rsid w:val="009416EF"/>
    <w:rsid w:val="009417C1"/>
    <w:rsid w:val="00943B58"/>
    <w:rsid w:val="00944FC0"/>
    <w:rsid w:val="00945820"/>
    <w:rsid w:val="00945F61"/>
    <w:rsid w:val="0094637E"/>
    <w:rsid w:val="00947071"/>
    <w:rsid w:val="00947123"/>
    <w:rsid w:val="009473CE"/>
    <w:rsid w:val="00947904"/>
    <w:rsid w:val="009513FA"/>
    <w:rsid w:val="00951820"/>
    <w:rsid w:val="00951D94"/>
    <w:rsid w:val="009539A3"/>
    <w:rsid w:val="00954188"/>
    <w:rsid w:val="00956E18"/>
    <w:rsid w:val="009575A2"/>
    <w:rsid w:val="009610A4"/>
    <w:rsid w:val="00961DA2"/>
    <w:rsid w:val="00963582"/>
    <w:rsid w:val="00963BEC"/>
    <w:rsid w:val="00964B94"/>
    <w:rsid w:val="0096501C"/>
    <w:rsid w:val="00966AF7"/>
    <w:rsid w:val="0096747D"/>
    <w:rsid w:val="00967754"/>
    <w:rsid w:val="00970700"/>
    <w:rsid w:val="00970815"/>
    <w:rsid w:val="00970D71"/>
    <w:rsid w:val="00971EF1"/>
    <w:rsid w:val="009728BC"/>
    <w:rsid w:val="0097297C"/>
    <w:rsid w:val="00972BD3"/>
    <w:rsid w:val="009743BA"/>
    <w:rsid w:val="0097571A"/>
    <w:rsid w:val="00975D2C"/>
    <w:rsid w:val="009772F1"/>
    <w:rsid w:val="00981BA3"/>
    <w:rsid w:val="00984406"/>
    <w:rsid w:val="00985815"/>
    <w:rsid w:val="00986243"/>
    <w:rsid w:val="00987825"/>
    <w:rsid w:val="0099066B"/>
    <w:rsid w:val="00990674"/>
    <w:rsid w:val="00990E25"/>
    <w:rsid w:val="00990F82"/>
    <w:rsid w:val="00994B4E"/>
    <w:rsid w:val="00994D46"/>
    <w:rsid w:val="00994F7F"/>
    <w:rsid w:val="00995F0E"/>
    <w:rsid w:val="00996506"/>
    <w:rsid w:val="0099692A"/>
    <w:rsid w:val="009A163A"/>
    <w:rsid w:val="009A198E"/>
    <w:rsid w:val="009A1A04"/>
    <w:rsid w:val="009A2A40"/>
    <w:rsid w:val="009A2F94"/>
    <w:rsid w:val="009A431A"/>
    <w:rsid w:val="009A45ED"/>
    <w:rsid w:val="009A48F1"/>
    <w:rsid w:val="009A4CE6"/>
    <w:rsid w:val="009A5950"/>
    <w:rsid w:val="009A5CA9"/>
    <w:rsid w:val="009A5D41"/>
    <w:rsid w:val="009A67CF"/>
    <w:rsid w:val="009A743F"/>
    <w:rsid w:val="009A7784"/>
    <w:rsid w:val="009B08C9"/>
    <w:rsid w:val="009B10B6"/>
    <w:rsid w:val="009B22CB"/>
    <w:rsid w:val="009B2E96"/>
    <w:rsid w:val="009B3A90"/>
    <w:rsid w:val="009B3B26"/>
    <w:rsid w:val="009B499D"/>
    <w:rsid w:val="009B4C3C"/>
    <w:rsid w:val="009B4D73"/>
    <w:rsid w:val="009B678D"/>
    <w:rsid w:val="009B7710"/>
    <w:rsid w:val="009B7A77"/>
    <w:rsid w:val="009B7E39"/>
    <w:rsid w:val="009C00E2"/>
    <w:rsid w:val="009C0B50"/>
    <w:rsid w:val="009C7062"/>
    <w:rsid w:val="009C7645"/>
    <w:rsid w:val="009C7884"/>
    <w:rsid w:val="009C7940"/>
    <w:rsid w:val="009C7A77"/>
    <w:rsid w:val="009D1831"/>
    <w:rsid w:val="009D478E"/>
    <w:rsid w:val="009D4BC4"/>
    <w:rsid w:val="009D4DEA"/>
    <w:rsid w:val="009D56AC"/>
    <w:rsid w:val="009D6B38"/>
    <w:rsid w:val="009D73F3"/>
    <w:rsid w:val="009D7439"/>
    <w:rsid w:val="009D7BFB"/>
    <w:rsid w:val="009E041B"/>
    <w:rsid w:val="009E083D"/>
    <w:rsid w:val="009E110E"/>
    <w:rsid w:val="009E1A63"/>
    <w:rsid w:val="009E1C6B"/>
    <w:rsid w:val="009E1C7A"/>
    <w:rsid w:val="009E25AF"/>
    <w:rsid w:val="009E2EC8"/>
    <w:rsid w:val="009E312D"/>
    <w:rsid w:val="009E4AA3"/>
    <w:rsid w:val="009E4B79"/>
    <w:rsid w:val="009E5713"/>
    <w:rsid w:val="009E5A65"/>
    <w:rsid w:val="009F00E3"/>
    <w:rsid w:val="009F0643"/>
    <w:rsid w:val="009F0B78"/>
    <w:rsid w:val="009F17B0"/>
    <w:rsid w:val="009F2080"/>
    <w:rsid w:val="009F26B5"/>
    <w:rsid w:val="009F2D7E"/>
    <w:rsid w:val="009F4563"/>
    <w:rsid w:val="009F5730"/>
    <w:rsid w:val="009F5796"/>
    <w:rsid w:val="009F60CE"/>
    <w:rsid w:val="00A00119"/>
    <w:rsid w:val="00A008F0"/>
    <w:rsid w:val="00A00A4B"/>
    <w:rsid w:val="00A01248"/>
    <w:rsid w:val="00A029E3"/>
    <w:rsid w:val="00A0513C"/>
    <w:rsid w:val="00A05A10"/>
    <w:rsid w:val="00A10B5E"/>
    <w:rsid w:val="00A137A7"/>
    <w:rsid w:val="00A153E0"/>
    <w:rsid w:val="00A15613"/>
    <w:rsid w:val="00A15C7D"/>
    <w:rsid w:val="00A16027"/>
    <w:rsid w:val="00A17D33"/>
    <w:rsid w:val="00A2171D"/>
    <w:rsid w:val="00A21F27"/>
    <w:rsid w:val="00A223B3"/>
    <w:rsid w:val="00A229F3"/>
    <w:rsid w:val="00A241BE"/>
    <w:rsid w:val="00A275D6"/>
    <w:rsid w:val="00A3150B"/>
    <w:rsid w:val="00A31B92"/>
    <w:rsid w:val="00A3312C"/>
    <w:rsid w:val="00A33FDD"/>
    <w:rsid w:val="00A3508D"/>
    <w:rsid w:val="00A35240"/>
    <w:rsid w:val="00A352DE"/>
    <w:rsid w:val="00A35914"/>
    <w:rsid w:val="00A35A74"/>
    <w:rsid w:val="00A403C2"/>
    <w:rsid w:val="00A4056A"/>
    <w:rsid w:val="00A408BF"/>
    <w:rsid w:val="00A410AB"/>
    <w:rsid w:val="00A41FC0"/>
    <w:rsid w:val="00A43C7E"/>
    <w:rsid w:val="00A447E2"/>
    <w:rsid w:val="00A45EA7"/>
    <w:rsid w:val="00A46356"/>
    <w:rsid w:val="00A46457"/>
    <w:rsid w:val="00A46574"/>
    <w:rsid w:val="00A46B1E"/>
    <w:rsid w:val="00A46BA7"/>
    <w:rsid w:val="00A47B2D"/>
    <w:rsid w:val="00A50032"/>
    <w:rsid w:val="00A5251A"/>
    <w:rsid w:val="00A52A1E"/>
    <w:rsid w:val="00A52ADC"/>
    <w:rsid w:val="00A5398D"/>
    <w:rsid w:val="00A53A48"/>
    <w:rsid w:val="00A56B78"/>
    <w:rsid w:val="00A56F6C"/>
    <w:rsid w:val="00A57D47"/>
    <w:rsid w:val="00A60237"/>
    <w:rsid w:val="00A60796"/>
    <w:rsid w:val="00A61A0A"/>
    <w:rsid w:val="00A620AB"/>
    <w:rsid w:val="00A63BF3"/>
    <w:rsid w:val="00A648AD"/>
    <w:rsid w:val="00A64E7A"/>
    <w:rsid w:val="00A65F79"/>
    <w:rsid w:val="00A67513"/>
    <w:rsid w:val="00A67FE1"/>
    <w:rsid w:val="00A70602"/>
    <w:rsid w:val="00A7144F"/>
    <w:rsid w:val="00A71B06"/>
    <w:rsid w:val="00A71D23"/>
    <w:rsid w:val="00A71F08"/>
    <w:rsid w:val="00A73EB3"/>
    <w:rsid w:val="00A74571"/>
    <w:rsid w:val="00A74AEC"/>
    <w:rsid w:val="00A74E01"/>
    <w:rsid w:val="00A74F8C"/>
    <w:rsid w:val="00A7564A"/>
    <w:rsid w:val="00A76D14"/>
    <w:rsid w:val="00A77116"/>
    <w:rsid w:val="00A77A05"/>
    <w:rsid w:val="00A803E9"/>
    <w:rsid w:val="00A803EA"/>
    <w:rsid w:val="00A80BD9"/>
    <w:rsid w:val="00A814C8"/>
    <w:rsid w:val="00A81859"/>
    <w:rsid w:val="00A822BD"/>
    <w:rsid w:val="00A82AF9"/>
    <w:rsid w:val="00A82BBF"/>
    <w:rsid w:val="00A833AC"/>
    <w:rsid w:val="00A8464E"/>
    <w:rsid w:val="00A84858"/>
    <w:rsid w:val="00A84AE4"/>
    <w:rsid w:val="00A85B67"/>
    <w:rsid w:val="00A87144"/>
    <w:rsid w:val="00A873B0"/>
    <w:rsid w:val="00A90035"/>
    <w:rsid w:val="00A92624"/>
    <w:rsid w:val="00A92B95"/>
    <w:rsid w:val="00A93982"/>
    <w:rsid w:val="00A94072"/>
    <w:rsid w:val="00A957D8"/>
    <w:rsid w:val="00A979D8"/>
    <w:rsid w:val="00AA060F"/>
    <w:rsid w:val="00AA304B"/>
    <w:rsid w:val="00AA3C70"/>
    <w:rsid w:val="00AA4790"/>
    <w:rsid w:val="00AA6F9C"/>
    <w:rsid w:val="00AA73ED"/>
    <w:rsid w:val="00AB0EE3"/>
    <w:rsid w:val="00AB1720"/>
    <w:rsid w:val="00AB18C2"/>
    <w:rsid w:val="00AB1968"/>
    <w:rsid w:val="00AB24BD"/>
    <w:rsid w:val="00AB3E8B"/>
    <w:rsid w:val="00AB5B65"/>
    <w:rsid w:val="00AB7109"/>
    <w:rsid w:val="00AB762D"/>
    <w:rsid w:val="00AB77A7"/>
    <w:rsid w:val="00AC01E3"/>
    <w:rsid w:val="00AC375B"/>
    <w:rsid w:val="00AC37FC"/>
    <w:rsid w:val="00AC406D"/>
    <w:rsid w:val="00AC4CE3"/>
    <w:rsid w:val="00AC6C7C"/>
    <w:rsid w:val="00AC7E8E"/>
    <w:rsid w:val="00AD12A6"/>
    <w:rsid w:val="00AD16D0"/>
    <w:rsid w:val="00AD1859"/>
    <w:rsid w:val="00AD33A2"/>
    <w:rsid w:val="00AD4BB3"/>
    <w:rsid w:val="00AD6017"/>
    <w:rsid w:val="00AD7D6D"/>
    <w:rsid w:val="00AD7EB0"/>
    <w:rsid w:val="00AE089F"/>
    <w:rsid w:val="00AE08A1"/>
    <w:rsid w:val="00AE0B6D"/>
    <w:rsid w:val="00AE2557"/>
    <w:rsid w:val="00AE3549"/>
    <w:rsid w:val="00AE4139"/>
    <w:rsid w:val="00AE48EB"/>
    <w:rsid w:val="00AE78D2"/>
    <w:rsid w:val="00AF13CF"/>
    <w:rsid w:val="00AF2478"/>
    <w:rsid w:val="00AF4239"/>
    <w:rsid w:val="00AF6469"/>
    <w:rsid w:val="00AF6660"/>
    <w:rsid w:val="00AF6B83"/>
    <w:rsid w:val="00AF76CB"/>
    <w:rsid w:val="00B00098"/>
    <w:rsid w:val="00B01072"/>
    <w:rsid w:val="00B0319D"/>
    <w:rsid w:val="00B057AA"/>
    <w:rsid w:val="00B06854"/>
    <w:rsid w:val="00B07D66"/>
    <w:rsid w:val="00B1230F"/>
    <w:rsid w:val="00B12612"/>
    <w:rsid w:val="00B126CD"/>
    <w:rsid w:val="00B12C29"/>
    <w:rsid w:val="00B13A10"/>
    <w:rsid w:val="00B145D7"/>
    <w:rsid w:val="00B14CB0"/>
    <w:rsid w:val="00B156B2"/>
    <w:rsid w:val="00B16157"/>
    <w:rsid w:val="00B16C29"/>
    <w:rsid w:val="00B177AD"/>
    <w:rsid w:val="00B203F6"/>
    <w:rsid w:val="00B21292"/>
    <w:rsid w:val="00B263BD"/>
    <w:rsid w:val="00B26674"/>
    <w:rsid w:val="00B27B54"/>
    <w:rsid w:val="00B27E80"/>
    <w:rsid w:val="00B30338"/>
    <w:rsid w:val="00B309C8"/>
    <w:rsid w:val="00B32528"/>
    <w:rsid w:val="00B3583C"/>
    <w:rsid w:val="00B36A63"/>
    <w:rsid w:val="00B36E3A"/>
    <w:rsid w:val="00B36EB9"/>
    <w:rsid w:val="00B405F3"/>
    <w:rsid w:val="00B40B47"/>
    <w:rsid w:val="00B42D7D"/>
    <w:rsid w:val="00B42E64"/>
    <w:rsid w:val="00B43DB0"/>
    <w:rsid w:val="00B452E7"/>
    <w:rsid w:val="00B46443"/>
    <w:rsid w:val="00B465C3"/>
    <w:rsid w:val="00B503AB"/>
    <w:rsid w:val="00B505C4"/>
    <w:rsid w:val="00B51DCE"/>
    <w:rsid w:val="00B5223F"/>
    <w:rsid w:val="00B5230A"/>
    <w:rsid w:val="00B531CD"/>
    <w:rsid w:val="00B54092"/>
    <w:rsid w:val="00B540EF"/>
    <w:rsid w:val="00B553A5"/>
    <w:rsid w:val="00B5548A"/>
    <w:rsid w:val="00B56108"/>
    <w:rsid w:val="00B56914"/>
    <w:rsid w:val="00B56EB2"/>
    <w:rsid w:val="00B57582"/>
    <w:rsid w:val="00B606B1"/>
    <w:rsid w:val="00B61C96"/>
    <w:rsid w:val="00B6350B"/>
    <w:rsid w:val="00B6369C"/>
    <w:rsid w:val="00B646DE"/>
    <w:rsid w:val="00B64820"/>
    <w:rsid w:val="00B65EDF"/>
    <w:rsid w:val="00B65F3F"/>
    <w:rsid w:val="00B66A4F"/>
    <w:rsid w:val="00B66BA3"/>
    <w:rsid w:val="00B7117E"/>
    <w:rsid w:val="00B7296C"/>
    <w:rsid w:val="00B72F75"/>
    <w:rsid w:val="00B743C6"/>
    <w:rsid w:val="00B746B0"/>
    <w:rsid w:val="00B748A8"/>
    <w:rsid w:val="00B74FAD"/>
    <w:rsid w:val="00B75DA0"/>
    <w:rsid w:val="00B76385"/>
    <w:rsid w:val="00B771CC"/>
    <w:rsid w:val="00B77E9F"/>
    <w:rsid w:val="00B80A43"/>
    <w:rsid w:val="00B80F36"/>
    <w:rsid w:val="00B8140F"/>
    <w:rsid w:val="00B8151D"/>
    <w:rsid w:val="00B815F8"/>
    <w:rsid w:val="00B8196C"/>
    <w:rsid w:val="00B81C81"/>
    <w:rsid w:val="00B81D28"/>
    <w:rsid w:val="00B82802"/>
    <w:rsid w:val="00B83569"/>
    <w:rsid w:val="00B838C2"/>
    <w:rsid w:val="00B84562"/>
    <w:rsid w:val="00B848AD"/>
    <w:rsid w:val="00B85244"/>
    <w:rsid w:val="00B85DD0"/>
    <w:rsid w:val="00B86A9A"/>
    <w:rsid w:val="00B86FD5"/>
    <w:rsid w:val="00B90713"/>
    <w:rsid w:val="00B908BF"/>
    <w:rsid w:val="00B91546"/>
    <w:rsid w:val="00B92896"/>
    <w:rsid w:val="00B92AB6"/>
    <w:rsid w:val="00B92C70"/>
    <w:rsid w:val="00B9418F"/>
    <w:rsid w:val="00B945EC"/>
    <w:rsid w:val="00B94C6B"/>
    <w:rsid w:val="00B95EF9"/>
    <w:rsid w:val="00B96089"/>
    <w:rsid w:val="00B9627C"/>
    <w:rsid w:val="00B969C4"/>
    <w:rsid w:val="00B971FB"/>
    <w:rsid w:val="00B97528"/>
    <w:rsid w:val="00BA1052"/>
    <w:rsid w:val="00BA1CB9"/>
    <w:rsid w:val="00BA1D3C"/>
    <w:rsid w:val="00BA359C"/>
    <w:rsid w:val="00BA43BC"/>
    <w:rsid w:val="00BA46DD"/>
    <w:rsid w:val="00BA5715"/>
    <w:rsid w:val="00BA6AF3"/>
    <w:rsid w:val="00BA6EA2"/>
    <w:rsid w:val="00BA7D72"/>
    <w:rsid w:val="00BB014E"/>
    <w:rsid w:val="00BB02E9"/>
    <w:rsid w:val="00BB191A"/>
    <w:rsid w:val="00BB2C2B"/>
    <w:rsid w:val="00BB2D19"/>
    <w:rsid w:val="00BB35FB"/>
    <w:rsid w:val="00BB4017"/>
    <w:rsid w:val="00BB51F1"/>
    <w:rsid w:val="00BB6232"/>
    <w:rsid w:val="00BB66E6"/>
    <w:rsid w:val="00BB6E54"/>
    <w:rsid w:val="00BB6EA1"/>
    <w:rsid w:val="00BB72C6"/>
    <w:rsid w:val="00BC0826"/>
    <w:rsid w:val="00BC1E00"/>
    <w:rsid w:val="00BC3CC4"/>
    <w:rsid w:val="00BC3FAA"/>
    <w:rsid w:val="00BC4326"/>
    <w:rsid w:val="00BC5D07"/>
    <w:rsid w:val="00BC5DED"/>
    <w:rsid w:val="00BC77A2"/>
    <w:rsid w:val="00BD0795"/>
    <w:rsid w:val="00BD3058"/>
    <w:rsid w:val="00BD6834"/>
    <w:rsid w:val="00BD69E7"/>
    <w:rsid w:val="00BD6C65"/>
    <w:rsid w:val="00BD6D2A"/>
    <w:rsid w:val="00BD7B94"/>
    <w:rsid w:val="00BE05C2"/>
    <w:rsid w:val="00BE0D1F"/>
    <w:rsid w:val="00BE17B9"/>
    <w:rsid w:val="00BE1AE2"/>
    <w:rsid w:val="00BE1FAA"/>
    <w:rsid w:val="00BE231E"/>
    <w:rsid w:val="00BE2BF6"/>
    <w:rsid w:val="00BE2EB0"/>
    <w:rsid w:val="00BE3644"/>
    <w:rsid w:val="00BE3BEE"/>
    <w:rsid w:val="00BE3D6C"/>
    <w:rsid w:val="00BE6909"/>
    <w:rsid w:val="00BE6A6D"/>
    <w:rsid w:val="00BF1A9D"/>
    <w:rsid w:val="00BF2E70"/>
    <w:rsid w:val="00BF3FEC"/>
    <w:rsid w:val="00BF49B2"/>
    <w:rsid w:val="00BF5884"/>
    <w:rsid w:val="00BF693D"/>
    <w:rsid w:val="00BF6A81"/>
    <w:rsid w:val="00BF7763"/>
    <w:rsid w:val="00C0279E"/>
    <w:rsid w:val="00C03544"/>
    <w:rsid w:val="00C046C0"/>
    <w:rsid w:val="00C04AA3"/>
    <w:rsid w:val="00C05150"/>
    <w:rsid w:val="00C06D35"/>
    <w:rsid w:val="00C10B81"/>
    <w:rsid w:val="00C11169"/>
    <w:rsid w:val="00C11786"/>
    <w:rsid w:val="00C1275E"/>
    <w:rsid w:val="00C138F2"/>
    <w:rsid w:val="00C13965"/>
    <w:rsid w:val="00C13A84"/>
    <w:rsid w:val="00C1430D"/>
    <w:rsid w:val="00C15BB5"/>
    <w:rsid w:val="00C1679C"/>
    <w:rsid w:val="00C17074"/>
    <w:rsid w:val="00C218BB"/>
    <w:rsid w:val="00C23C41"/>
    <w:rsid w:val="00C24BCE"/>
    <w:rsid w:val="00C25872"/>
    <w:rsid w:val="00C2597E"/>
    <w:rsid w:val="00C25F72"/>
    <w:rsid w:val="00C27212"/>
    <w:rsid w:val="00C27402"/>
    <w:rsid w:val="00C30A68"/>
    <w:rsid w:val="00C31A5C"/>
    <w:rsid w:val="00C323C5"/>
    <w:rsid w:val="00C33A2B"/>
    <w:rsid w:val="00C33C4A"/>
    <w:rsid w:val="00C34362"/>
    <w:rsid w:val="00C349E0"/>
    <w:rsid w:val="00C35A54"/>
    <w:rsid w:val="00C35FB9"/>
    <w:rsid w:val="00C3742C"/>
    <w:rsid w:val="00C37BCC"/>
    <w:rsid w:val="00C40ADA"/>
    <w:rsid w:val="00C415FC"/>
    <w:rsid w:val="00C41DA0"/>
    <w:rsid w:val="00C45332"/>
    <w:rsid w:val="00C4586F"/>
    <w:rsid w:val="00C471EB"/>
    <w:rsid w:val="00C4751B"/>
    <w:rsid w:val="00C47594"/>
    <w:rsid w:val="00C50B63"/>
    <w:rsid w:val="00C518D2"/>
    <w:rsid w:val="00C529AA"/>
    <w:rsid w:val="00C52C4A"/>
    <w:rsid w:val="00C54B57"/>
    <w:rsid w:val="00C553F5"/>
    <w:rsid w:val="00C571A9"/>
    <w:rsid w:val="00C61BAE"/>
    <w:rsid w:val="00C620E5"/>
    <w:rsid w:val="00C62259"/>
    <w:rsid w:val="00C62420"/>
    <w:rsid w:val="00C637B5"/>
    <w:rsid w:val="00C63FFD"/>
    <w:rsid w:val="00C64024"/>
    <w:rsid w:val="00C642CD"/>
    <w:rsid w:val="00C656A6"/>
    <w:rsid w:val="00C65860"/>
    <w:rsid w:val="00C65B93"/>
    <w:rsid w:val="00C67CE1"/>
    <w:rsid w:val="00C706EB"/>
    <w:rsid w:val="00C70738"/>
    <w:rsid w:val="00C707C2"/>
    <w:rsid w:val="00C72041"/>
    <w:rsid w:val="00C735EE"/>
    <w:rsid w:val="00C73C15"/>
    <w:rsid w:val="00C74E64"/>
    <w:rsid w:val="00C76454"/>
    <w:rsid w:val="00C77447"/>
    <w:rsid w:val="00C77946"/>
    <w:rsid w:val="00C805D1"/>
    <w:rsid w:val="00C80E3C"/>
    <w:rsid w:val="00C81300"/>
    <w:rsid w:val="00C8184D"/>
    <w:rsid w:val="00C81ABF"/>
    <w:rsid w:val="00C81B7A"/>
    <w:rsid w:val="00C82082"/>
    <w:rsid w:val="00C8248A"/>
    <w:rsid w:val="00C82844"/>
    <w:rsid w:val="00C83E64"/>
    <w:rsid w:val="00C85B6F"/>
    <w:rsid w:val="00C85C54"/>
    <w:rsid w:val="00C86360"/>
    <w:rsid w:val="00C8668D"/>
    <w:rsid w:val="00C87270"/>
    <w:rsid w:val="00C87691"/>
    <w:rsid w:val="00C87D48"/>
    <w:rsid w:val="00C87F96"/>
    <w:rsid w:val="00C91EFB"/>
    <w:rsid w:val="00C9257C"/>
    <w:rsid w:val="00C92D81"/>
    <w:rsid w:val="00C93D75"/>
    <w:rsid w:val="00C93DBB"/>
    <w:rsid w:val="00C94A12"/>
    <w:rsid w:val="00C951D2"/>
    <w:rsid w:val="00C9527C"/>
    <w:rsid w:val="00C95308"/>
    <w:rsid w:val="00C96290"/>
    <w:rsid w:val="00C968D7"/>
    <w:rsid w:val="00C97312"/>
    <w:rsid w:val="00C97EBC"/>
    <w:rsid w:val="00CA0E92"/>
    <w:rsid w:val="00CA1BCE"/>
    <w:rsid w:val="00CA25E0"/>
    <w:rsid w:val="00CA31DA"/>
    <w:rsid w:val="00CA4927"/>
    <w:rsid w:val="00CB0219"/>
    <w:rsid w:val="00CB0522"/>
    <w:rsid w:val="00CB173D"/>
    <w:rsid w:val="00CB1D8F"/>
    <w:rsid w:val="00CB2B8B"/>
    <w:rsid w:val="00CB2CBE"/>
    <w:rsid w:val="00CB3213"/>
    <w:rsid w:val="00CB454F"/>
    <w:rsid w:val="00CB4D75"/>
    <w:rsid w:val="00CB523E"/>
    <w:rsid w:val="00CB5F43"/>
    <w:rsid w:val="00CB6B61"/>
    <w:rsid w:val="00CB6D74"/>
    <w:rsid w:val="00CB779B"/>
    <w:rsid w:val="00CC0819"/>
    <w:rsid w:val="00CC0A5D"/>
    <w:rsid w:val="00CC0AEB"/>
    <w:rsid w:val="00CC0B61"/>
    <w:rsid w:val="00CC157B"/>
    <w:rsid w:val="00CC24EA"/>
    <w:rsid w:val="00CC2D85"/>
    <w:rsid w:val="00CC507D"/>
    <w:rsid w:val="00CC5460"/>
    <w:rsid w:val="00CC719D"/>
    <w:rsid w:val="00CC739D"/>
    <w:rsid w:val="00CD03B4"/>
    <w:rsid w:val="00CD0539"/>
    <w:rsid w:val="00CD0F9C"/>
    <w:rsid w:val="00CD1C03"/>
    <w:rsid w:val="00CD2091"/>
    <w:rsid w:val="00CD5FB0"/>
    <w:rsid w:val="00CE0250"/>
    <w:rsid w:val="00CE0990"/>
    <w:rsid w:val="00CE1760"/>
    <w:rsid w:val="00CE3949"/>
    <w:rsid w:val="00CE49C8"/>
    <w:rsid w:val="00CE6193"/>
    <w:rsid w:val="00CF063D"/>
    <w:rsid w:val="00CF092A"/>
    <w:rsid w:val="00CF1F08"/>
    <w:rsid w:val="00CF217A"/>
    <w:rsid w:val="00CF24C2"/>
    <w:rsid w:val="00CF316B"/>
    <w:rsid w:val="00CF34A7"/>
    <w:rsid w:val="00CF582C"/>
    <w:rsid w:val="00CF69AB"/>
    <w:rsid w:val="00CF7BF8"/>
    <w:rsid w:val="00CF7CC2"/>
    <w:rsid w:val="00D01A72"/>
    <w:rsid w:val="00D02A08"/>
    <w:rsid w:val="00D04D3E"/>
    <w:rsid w:val="00D06E35"/>
    <w:rsid w:val="00D11859"/>
    <w:rsid w:val="00D131B9"/>
    <w:rsid w:val="00D13C51"/>
    <w:rsid w:val="00D13E97"/>
    <w:rsid w:val="00D15C6B"/>
    <w:rsid w:val="00D15EAF"/>
    <w:rsid w:val="00D17A64"/>
    <w:rsid w:val="00D17E15"/>
    <w:rsid w:val="00D200EC"/>
    <w:rsid w:val="00D2047F"/>
    <w:rsid w:val="00D2051D"/>
    <w:rsid w:val="00D20844"/>
    <w:rsid w:val="00D2118E"/>
    <w:rsid w:val="00D21373"/>
    <w:rsid w:val="00D216A9"/>
    <w:rsid w:val="00D240F6"/>
    <w:rsid w:val="00D2431A"/>
    <w:rsid w:val="00D24B2D"/>
    <w:rsid w:val="00D24C02"/>
    <w:rsid w:val="00D24D28"/>
    <w:rsid w:val="00D25102"/>
    <w:rsid w:val="00D25E1B"/>
    <w:rsid w:val="00D3037C"/>
    <w:rsid w:val="00D30925"/>
    <w:rsid w:val="00D30BB9"/>
    <w:rsid w:val="00D31300"/>
    <w:rsid w:val="00D31415"/>
    <w:rsid w:val="00D31B6E"/>
    <w:rsid w:val="00D31ED4"/>
    <w:rsid w:val="00D32113"/>
    <w:rsid w:val="00D324B8"/>
    <w:rsid w:val="00D33D91"/>
    <w:rsid w:val="00D3446F"/>
    <w:rsid w:val="00D347B6"/>
    <w:rsid w:val="00D35A9E"/>
    <w:rsid w:val="00D3653C"/>
    <w:rsid w:val="00D37BA4"/>
    <w:rsid w:val="00D412A1"/>
    <w:rsid w:val="00D412A9"/>
    <w:rsid w:val="00D41AA4"/>
    <w:rsid w:val="00D42C8D"/>
    <w:rsid w:val="00D46365"/>
    <w:rsid w:val="00D4716F"/>
    <w:rsid w:val="00D475D9"/>
    <w:rsid w:val="00D50A43"/>
    <w:rsid w:val="00D51003"/>
    <w:rsid w:val="00D52761"/>
    <w:rsid w:val="00D53966"/>
    <w:rsid w:val="00D544FC"/>
    <w:rsid w:val="00D55102"/>
    <w:rsid w:val="00D55544"/>
    <w:rsid w:val="00D56EE0"/>
    <w:rsid w:val="00D57029"/>
    <w:rsid w:val="00D6194F"/>
    <w:rsid w:val="00D61A04"/>
    <w:rsid w:val="00D6230D"/>
    <w:rsid w:val="00D6259A"/>
    <w:rsid w:val="00D6281E"/>
    <w:rsid w:val="00D635F9"/>
    <w:rsid w:val="00D64926"/>
    <w:rsid w:val="00D64A9C"/>
    <w:rsid w:val="00D65B7C"/>
    <w:rsid w:val="00D66CE1"/>
    <w:rsid w:val="00D70BDA"/>
    <w:rsid w:val="00D71685"/>
    <w:rsid w:val="00D727BA"/>
    <w:rsid w:val="00D7304E"/>
    <w:rsid w:val="00D7330D"/>
    <w:rsid w:val="00D73AB0"/>
    <w:rsid w:val="00D746A2"/>
    <w:rsid w:val="00D754C4"/>
    <w:rsid w:val="00D75DDB"/>
    <w:rsid w:val="00D768BC"/>
    <w:rsid w:val="00D804F0"/>
    <w:rsid w:val="00D8112A"/>
    <w:rsid w:val="00D812DC"/>
    <w:rsid w:val="00D8195D"/>
    <w:rsid w:val="00D81ED4"/>
    <w:rsid w:val="00D83124"/>
    <w:rsid w:val="00D835E9"/>
    <w:rsid w:val="00D83AF9"/>
    <w:rsid w:val="00D83D67"/>
    <w:rsid w:val="00D83E32"/>
    <w:rsid w:val="00D84489"/>
    <w:rsid w:val="00D84BCF"/>
    <w:rsid w:val="00D84E64"/>
    <w:rsid w:val="00D85417"/>
    <w:rsid w:val="00D85803"/>
    <w:rsid w:val="00D865FB"/>
    <w:rsid w:val="00D87FF8"/>
    <w:rsid w:val="00D909C1"/>
    <w:rsid w:val="00D90D91"/>
    <w:rsid w:val="00D9126F"/>
    <w:rsid w:val="00D934D5"/>
    <w:rsid w:val="00D947E4"/>
    <w:rsid w:val="00D970A8"/>
    <w:rsid w:val="00DA0D3C"/>
    <w:rsid w:val="00DA185A"/>
    <w:rsid w:val="00DA2B9A"/>
    <w:rsid w:val="00DA3906"/>
    <w:rsid w:val="00DA3B63"/>
    <w:rsid w:val="00DA4CBE"/>
    <w:rsid w:val="00DA601B"/>
    <w:rsid w:val="00DA67E2"/>
    <w:rsid w:val="00DA6B04"/>
    <w:rsid w:val="00DA6DF6"/>
    <w:rsid w:val="00DB05ED"/>
    <w:rsid w:val="00DB07EB"/>
    <w:rsid w:val="00DB0EE1"/>
    <w:rsid w:val="00DB0F12"/>
    <w:rsid w:val="00DB1EEF"/>
    <w:rsid w:val="00DB24CC"/>
    <w:rsid w:val="00DB3181"/>
    <w:rsid w:val="00DB36D0"/>
    <w:rsid w:val="00DB3C3B"/>
    <w:rsid w:val="00DB5995"/>
    <w:rsid w:val="00DB5E5C"/>
    <w:rsid w:val="00DB6B0E"/>
    <w:rsid w:val="00DB7764"/>
    <w:rsid w:val="00DC0C07"/>
    <w:rsid w:val="00DC1960"/>
    <w:rsid w:val="00DC250D"/>
    <w:rsid w:val="00DC2560"/>
    <w:rsid w:val="00DC295E"/>
    <w:rsid w:val="00DC297B"/>
    <w:rsid w:val="00DC2DC3"/>
    <w:rsid w:val="00DC3E02"/>
    <w:rsid w:val="00DC5758"/>
    <w:rsid w:val="00DD1702"/>
    <w:rsid w:val="00DD19F7"/>
    <w:rsid w:val="00DD2BC6"/>
    <w:rsid w:val="00DD2F7A"/>
    <w:rsid w:val="00DD45CB"/>
    <w:rsid w:val="00DD54B3"/>
    <w:rsid w:val="00DD5670"/>
    <w:rsid w:val="00DD57E3"/>
    <w:rsid w:val="00DD5BAB"/>
    <w:rsid w:val="00DE091D"/>
    <w:rsid w:val="00DE25B6"/>
    <w:rsid w:val="00DE28DD"/>
    <w:rsid w:val="00DE3B55"/>
    <w:rsid w:val="00DE4A55"/>
    <w:rsid w:val="00DE59BD"/>
    <w:rsid w:val="00DE6936"/>
    <w:rsid w:val="00DE7DFA"/>
    <w:rsid w:val="00DF05F9"/>
    <w:rsid w:val="00DF1B58"/>
    <w:rsid w:val="00DF1E97"/>
    <w:rsid w:val="00DF2018"/>
    <w:rsid w:val="00DF2614"/>
    <w:rsid w:val="00DF3493"/>
    <w:rsid w:val="00DF49C6"/>
    <w:rsid w:val="00DF5470"/>
    <w:rsid w:val="00DF666F"/>
    <w:rsid w:val="00DF684B"/>
    <w:rsid w:val="00DF6A95"/>
    <w:rsid w:val="00E010A7"/>
    <w:rsid w:val="00E01FD2"/>
    <w:rsid w:val="00E0234D"/>
    <w:rsid w:val="00E02548"/>
    <w:rsid w:val="00E02877"/>
    <w:rsid w:val="00E03DAD"/>
    <w:rsid w:val="00E03F28"/>
    <w:rsid w:val="00E0453A"/>
    <w:rsid w:val="00E04646"/>
    <w:rsid w:val="00E060C5"/>
    <w:rsid w:val="00E06312"/>
    <w:rsid w:val="00E06578"/>
    <w:rsid w:val="00E068F2"/>
    <w:rsid w:val="00E06CEC"/>
    <w:rsid w:val="00E06F48"/>
    <w:rsid w:val="00E078EB"/>
    <w:rsid w:val="00E10B3C"/>
    <w:rsid w:val="00E12040"/>
    <w:rsid w:val="00E14334"/>
    <w:rsid w:val="00E15103"/>
    <w:rsid w:val="00E158C2"/>
    <w:rsid w:val="00E178FB"/>
    <w:rsid w:val="00E2054F"/>
    <w:rsid w:val="00E21A12"/>
    <w:rsid w:val="00E22F40"/>
    <w:rsid w:val="00E23157"/>
    <w:rsid w:val="00E23B51"/>
    <w:rsid w:val="00E23E1C"/>
    <w:rsid w:val="00E25AA1"/>
    <w:rsid w:val="00E30FB1"/>
    <w:rsid w:val="00E31EAD"/>
    <w:rsid w:val="00E327AF"/>
    <w:rsid w:val="00E32D34"/>
    <w:rsid w:val="00E33FEC"/>
    <w:rsid w:val="00E3441D"/>
    <w:rsid w:val="00E35D87"/>
    <w:rsid w:val="00E36076"/>
    <w:rsid w:val="00E370C3"/>
    <w:rsid w:val="00E3730F"/>
    <w:rsid w:val="00E3759F"/>
    <w:rsid w:val="00E40293"/>
    <w:rsid w:val="00E40E8F"/>
    <w:rsid w:val="00E4155B"/>
    <w:rsid w:val="00E415DF"/>
    <w:rsid w:val="00E41987"/>
    <w:rsid w:val="00E45E1C"/>
    <w:rsid w:val="00E469DC"/>
    <w:rsid w:val="00E46E5D"/>
    <w:rsid w:val="00E46F20"/>
    <w:rsid w:val="00E50570"/>
    <w:rsid w:val="00E50A49"/>
    <w:rsid w:val="00E50A7C"/>
    <w:rsid w:val="00E50EAE"/>
    <w:rsid w:val="00E51ED4"/>
    <w:rsid w:val="00E54187"/>
    <w:rsid w:val="00E549E6"/>
    <w:rsid w:val="00E55D2E"/>
    <w:rsid w:val="00E56128"/>
    <w:rsid w:val="00E57200"/>
    <w:rsid w:val="00E5792F"/>
    <w:rsid w:val="00E60988"/>
    <w:rsid w:val="00E612CD"/>
    <w:rsid w:val="00E61446"/>
    <w:rsid w:val="00E62287"/>
    <w:rsid w:val="00E627F3"/>
    <w:rsid w:val="00E6303E"/>
    <w:rsid w:val="00E6375C"/>
    <w:rsid w:val="00E63EAF"/>
    <w:rsid w:val="00E63FF0"/>
    <w:rsid w:val="00E65407"/>
    <w:rsid w:val="00E65AEA"/>
    <w:rsid w:val="00E660B4"/>
    <w:rsid w:val="00E672B9"/>
    <w:rsid w:val="00E67752"/>
    <w:rsid w:val="00E70357"/>
    <w:rsid w:val="00E715CB"/>
    <w:rsid w:val="00E74FC4"/>
    <w:rsid w:val="00E75213"/>
    <w:rsid w:val="00E77F5F"/>
    <w:rsid w:val="00E81012"/>
    <w:rsid w:val="00E826C3"/>
    <w:rsid w:val="00E82C3C"/>
    <w:rsid w:val="00E82E45"/>
    <w:rsid w:val="00E861E7"/>
    <w:rsid w:val="00E91473"/>
    <w:rsid w:val="00E929E9"/>
    <w:rsid w:val="00E93480"/>
    <w:rsid w:val="00E938C3"/>
    <w:rsid w:val="00E93FDB"/>
    <w:rsid w:val="00E94696"/>
    <w:rsid w:val="00E949EF"/>
    <w:rsid w:val="00E94F2F"/>
    <w:rsid w:val="00E95979"/>
    <w:rsid w:val="00E95AE0"/>
    <w:rsid w:val="00E97484"/>
    <w:rsid w:val="00E979E7"/>
    <w:rsid w:val="00EA03A9"/>
    <w:rsid w:val="00EA0746"/>
    <w:rsid w:val="00EA0825"/>
    <w:rsid w:val="00EA1A16"/>
    <w:rsid w:val="00EA1EEC"/>
    <w:rsid w:val="00EA3FAF"/>
    <w:rsid w:val="00EA567E"/>
    <w:rsid w:val="00EA6827"/>
    <w:rsid w:val="00EB18E9"/>
    <w:rsid w:val="00EB1EBD"/>
    <w:rsid w:val="00EB3560"/>
    <w:rsid w:val="00EB3AC8"/>
    <w:rsid w:val="00EB3EFC"/>
    <w:rsid w:val="00EB5911"/>
    <w:rsid w:val="00EB6C6F"/>
    <w:rsid w:val="00EB6DB3"/>
    <w:rsid w:val="00EC03A8"/>
    <w:rsid w:val="00EC07A5"/>
    <w:rsid w:val="00EC1CC1"/>
    <w:rsid w:val="00EC3EBA"/>
    <w:rsid w:val="00EC3FD6"/>
    <w:rsid w:val="00EC5D2F"/>
    <w:rsid w:val="00EC5E82"/>
    <w:rsid w:val="00EC6A04"/>
    <w:rsid w:val="00EC6F8D"/>
    <w:rsid w:val="00ED02D7"/>
    <w:rsid w:val="00ED06DB"/>
    <w:rsid w:val="00ED0758"/>
    <w:rsid w:val="00ED147D"/>
    <w:rsid w:val="00ED14AD"/>
    <w:rsid w:val="00ED1DA4"/>
    <w:rsid w:val="00ED23F7"/>
    <w:rsid w:val="00ED2CD4"/>
    <w:rsid w:val="00ED3B2A"/>
    <w:rsid w:val="00ED3BDD"/>
    <w:rsid w:val="00ED435E"/>
    <w:rsid w:val="00ED4D0E"/>
    <w:rsid w:val="00ED6C2E"/>
    <w:rsid w:val="00EE1FEF"/>
    <w:rsid w:val="00EE22F6"/>
    <w:rsid w:val="00EE2BCC"/>
    <w:rsid w:val="00EE2C6C"/>
    <w:rsid w:val="00EE4244"/>
    <w:rsid w:val="00EE477D"/>
    <w:rsid w:val="00EE4FAD"/>
    <w:rsid w:val="00EE5646"/>
    <w:rsid w:val="00EE603E"/>
    <w:rsid w:val="00EF04E3"/>
    <w:rsid w:val="00EF29D3"/>
    <w:rsid w:val="00EF3A6A"/>
    <w:rsid w:val="00EF5C8A"/>
    <w:rsid w:val="00EF62BB"/>
    <w:rsid w:val="00EF6674"/>
    <w:rsid w:val="00EF6B7C"/>
    <w:rsid w:val="00EF7D19"/>
    <w:rsid w:val="00F023DC"/>
    <w:rsid w:val="00F046E2"/>
    <w:rsid w:val="00F048F7"/>
    <w:rsid w:val="00F049A8"/>
    <w:rsid w:val="00F04DAA"/>
    <w:rsid w:val="00F05E84"/>
    <w:rsid w:val="00F061A1"/>
    <w:rsid w:val="00F10AA5"/>
    <w:rsid w:val="00F120CE"/>
    <w:rsid w:val="00F12910"/>
    <w:rsid w:val="00F13604"/>
    <w:rsid w:val="00F13998"/>
    <w:rsid w:val="00F13CDF"/>
    <w:rsid w:val="00F13DD2"/>
    <w:rsid w:val="00F140A9"/>
    <w:rsid w:val="00F14341"/>
    <w:rsid w:val="00F14CF2"/>
    <w:rsid w:val="00F14D8A"/>
    <w:rsid w:val="00F155D3"/>
    <w:rsid w:val="00F15DBC"/>
    <w:rsid w:val="00F16D0C"/>
    <w:rsid w:val="00F17015"/>
    <w:rsid w:val="00F20E08"/>
    <w:rsid w:val="00F20E17"/>
    <w:rsid w:val="00F21440"/>
    <w:rsid w:val="00F21F43"/>
    <w:rsid w:val="00F223FB"/>
    <w:rsid w:val="00F23AC6"/>
    <w:rsid w:val="00F23FE9"/>
    <w:rsid w:val="00F24B4A"/>
    <w:rsid w:val="00F27338"/>
    <w:rsid w:val="00F275B1"/>
    <w:rsid w:val="00F308BB"/>
    <w:rsid w:val="00F34598"/>
    <w:rsid w:val="00F34FFF"/>
    <w:rsid w:val="00F3594F"/>
    <w:rsid w:val="00F35D55"/>
    <w:rsid w:val="00F36D46"/>
    <w:rsid w:val="00F372EF"/>
    <w:rsid w:val="00F378FD"/>
    <w:rsid w:val="00F4075D"/>
    <w:rsid w:val="00F44148"/>
    <w:rsid w:val="00F44C51"/>
    <w:rsid w:val="00F45A37"/>
    <w:rsid w:val="00F45B0F"/>
    <w:rsid w:val="00F462E2"/>
    <w:rsid w:val="00F46518"/>
    <w:rsid w:val="00F46A6D"/>
    <w:rsid w:val="00F47552"/>
    <w:rsid w:val="00F52019"/>
    <w:rsid w:val="00F5243B"/>
    <w:rsid w:val="00F549A6"/>
    <w:rsid w:val="00F55D55"/>
    <w:rsid w:val="00F5694C"/>
    <w:rsid w:val="00F56B42"/>
    <w:rsid w:val="00F56BCC"/>
    <w:rsid w:val="00F573C7"/>
    <w:rsid w:val="00F60129"/>
    <w:rsid w:val="00F60785"/>
    <w:rsid w:val="00F618EB"/>
    <w:rsid w:val="00F61BDC"/>
    <w:rsid w:val="00F622F1"/>
    <w:rsid w:val="00F6238E"/>
    <w:rsid w:val="00F62D3F"/>
    <w:rsid w:val="00F6326C"/>
    <w:rsid w:val="00F63392"/>
    <w:rsid w:val="00F63C1E"/>
    <w:rsid w:val="00F63FB6"/>
    <w:rsid w:val="00F64498"/>
    <w:rsid w:val="00F662EC"/>
    <w:rsid w:val="00F67F4E"/>
    <w:rsid w:val="00F711F1"/>
    <w:rsid w:val="00F7172C"/>
    <w:rsid w:val="00F71841"/>
    <w:rsid w:val="00F72556"/>
    <w:rsid w:val="00F725ED"/>
    <w:rsid w:val="00F72B90"/>
    <w:rsid w:val="00F76F37"/>
    <w:rsid w:val="00F77637"/>
    <w:rsid w:val="00F77D0A"/>
    <w:rsid w:val="00F77E65"/>
    <w:rsid w:val="00F80B4F"/>
    <w:rsid w:val="00F814FF"/>
    <w:rsid w:val="00F81A4E"/>
    <w:rsid w:val="00F81E64"/>
    <w:rsid w:val="00F82221"/>
    <w:rsid w:val="00F8305A"/>
    <w:rsid w:val="00F84AC0"/>
    <w:rsid w:val="00F84E14"/>
    <w:rsid w:val="00F8535B"/>
    <w:rsid w:val="00F853D4"/>
    <w:rsid w:val="00F85C55"/>
    <w:rsid w:val="00F87143"/>
    <w:rsid w:val="00F876DD"/>
    <w:rsid w:val="00F87733"/>
    <w:rsid w:val="00F90244"/>
    <w:rsid w:val="00F90856"/>
    <w:rsid w:val="00F913DE"/>
    <w:rsid w:val="00F92542"/>
    <w:rsid w:val="00F96919"/>
    <w:rsid w:val="00F96B26"/>
    <w:rsid w:val="00FA0505"/>
    <w:rsid w:val="00FA0921"/>
    <w:rsid w:val="00FA1219"/>
    <w:rsid w:val="00FA1726"/>
    <w:rsid w:val="00FA1C5C"/>
    <w:rsid w:val="00FA2445"/>
    <w:rsid w:val="00FA265C"/>
    <w:rsid w:val="00FA2D51"/>
    <w:rsid w:val="00FA2DD9"/>
    <w:rsid w:val="00FA457B"/>
    <w:rsid w:val="00FA5176"/>
    <w:rsid w:val="00FA5622"/>
    <w:rsid w:val="00FA6D1F"/>
    <w:rsid w:val="00FA71F9"/>
    <w:rsid w:val="00FA7DCF"/>
    <w:rsid w:val="00FB0262"/>
    <w:rsid w:val="00FB08D9"/>
    <w:rsid w:val="00FB1B08"/>
    <w:rsid w:val="00FB213E"/>
    <w:rsid w:val="00FB318A"/>
    <w:rsid w:val="00FB50EC"/>
    <w:rsid w:val="00FB54D6"/>
    <w:rsid w:val="00FB5E72"/>
    <w:rsid w:val="00FB5EE5"/>
    <w:rsid w:val="00FB63A8"/>
    <w:rsid w:val="00FC00D4"/>
    <w:rsid w:val="00FC2A52"/>
    <w:rsid w:val="00FC2D82"/>
    <w:rsid w:val="00FC3DFE"/>
    <w:rsid w:val="00FC5162"/>
    <w:rsid w:val="00FC62FE"/>
    <w:rsid w:val="00FD27C3"/>
    <w:rsid w:val="00FD2AE3"/>
    <w:rsid w:val="00FD37EE"/>
    <w:rsid w:val="00FD591E"/>
    <w:rsid w:val="00FD612A"/>
    <w:rsid w:val="00FD6599"/>
    <w:rsid w:val="00FD6FFF"/>
    <w:rsid w:val="00FD7023"/>
    <w:rsid w:val="00FD7D79"/>
    <w:rsid w:val="00FE0279"/>
    <w:rsid w:val="00FE0526"/>
    <w:rsid w:val="00FE1900"/>
    <w:rsid w:val="00FE27AC"/>
    <w:rsid w:val="00FE39A0"/>
    <w:rsid w:val="00FE41FF"/>
    <w:rsid w:val="00FE4CA1"/>
    <w:rsid w:val="00FE6787"/>
    <w:rsid w:val="00FF031C"/>
    <w:rsid w:val="00FF0538"/>
    <w:rsid w:val="00FF0730"/>
    <w:rsid w:val="00FF160B"/>
    <w:rsid w:val="00FF1829"/>
    <w:rsid w:val="00FF19C7"/>
    <w:rsid w:val="00FF1B60"/>
    <w:rsid w:val="00FF28A5"/>
    <w:rsid w:val="00FF2FF3"/>
    <w:rsid w:val="00FF48A0"/>
    <w:rsid w:val="00FF5DFA"/>
    <w:rsid w:val="00FF61D5"/>
    <w:rsid w:val="00FF7C27"/>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D548"/>
  <w15:docId w15:val="{B3CE74C1-8FC5-4E92-90C7-BB92322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A411F"/>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qFormat/>
    <w:rsid w:val="001A411F"/>
    <w:pPr>
      <w:keepNext/>
      <w:outlineLvl w:val="0"/>
    </w:pPr>
    <w:rPr>
      <w:b/>
      <w:caps/>
      <w:sz w:val="28"/>
      <w:lang w:val="x-none" w:eastAsia="cs-CZ"/>
    </w:rPr>
  </w:style>
  <w:style w:type="paragraph" w:styleId="Nadpis2">
    <w:name w:val="heading 2"/>
    <w:basedOn w:val="Normlny"/>
    <w:next w:val="Normlny"/>
    <w:link w:val="Nadpis2Char"/>
    <w:qFormat/>
    <w:rsid w:val="001A411F"/>
    <w:pPr>
      <w:keepNext/>
      <w:numPr>
        <w:ilvl w:val="1"/>
        <w:numId w:val="1"/>
      </w:numPr>
      <w:jc w:val="both"/>
      <w:outlineLvl w:val="1"/>
    </w:pPr>
    <w:rPr>
      <w:b/>
      <w:noProof/>
    </w:rPr>
  </w:style>
  <w:style w:type="paragraph" w:styleId="Nadpis3">
    <w:name w:val="heading 3"/>
    <w:basedOn w:val="Normlny"/>
    <w:next w:val="Normlny"/>
    <w:link w:val="Nadpis3Char"/>
    <w:qFormat/>
    <w:rsid w:val="001A411F"/>
    <w:pPr>
      <w:keepNext/>
      <w:numPr>
        <w:ilvl w:val="2"/>
        <w:numId w:val="1"/>
      </w:numPr>
      <w:tabs>
        <w:tab w:val="left" w:pos="510"/>
      </w:tabs>
      <w:jc w:val="both"/>
      <w:outlineLvl w:val="2"/>
    </w:pPr>
    <w:rPr>
      <w:b/>
    </w:rPr>
  </w:style>
  <w:style w:type="paragraph" w:styleId="Nadpis4">
    <w:name w:val="heading 4"/>
    <w:basedOn w:val="Normlny"/>
    <w:next w:val="Normlny"/>
    <w:link w:val="Nadpis4Char"/>
    <w:qFormat/>
    <w:rsid w:val="001A411F"/>
    <w:pPr>
      <w:keepNext/>
      <w:numPr>
        <w:ilvl w:val="3"/>
        <w:numId w:val="1"/>
      </w:numPr>
      <w:tabs>
        <w:tab w:val="left" w:pos="794"/>
      </w:tabs>
      <w:outlineLvl w:val="3"/>
    </w:pPr>
    <w:rPr>
      <w:b/>
      <w:bCs/>
      <w:lang w:val="x-none" w:eastAsia="x-none"/>
    </w:rPr>
  </w:style>
  <w:style w:type="paragraph" w:styleId="Nadpis5">
    <w:name w:val="heading 5"/>
    <w:basedOn w:val="Normlny"/>
    <w:next w:val="Normlny"/>
    <w:link w:val="Nadpis5Char"/>
    <w:uiPriority w:val="9"/>
    <w:qFormat/>
    <w:rsid w:val="001A411F"/>
    <w:pPr>
      <w:keepNext/>
      <w:jc w:val="center"/>
      <w:outlineLvl w:val="4"/>
    </w:pPr>
    <w:rPr>
      <w:rFonts w:ascii="Calibri" w:hAnsi="Calibri"/>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A411F"/>
    <w:rPr>
      <w:rFonts w:ascii="Times New Roman" w:eastAsia="Times New Roman" w:hAnsi="Times New Roman" w:cs="Times New Roman"/>
      <w:b/>
      <w:caps/>
      <w:sz w:val="28"/>
      <w:szCs w:val="20"/>
      <w:lang w:val="x-none" w:eastAsia="cs-CZ"/>
    </w:rPr>
  </w:style>
  <w:style w:type="character" w:customStyle="1" w:styleId="Nadpis2Char">
    <w:name w:val="Nadpis 2 Char"/>
    <w:basedOn w:val="Predvolenpsmoodseku"/>
    <w:link w:val="Nadpis2"/>
    <w:rsid w:val="001A411F"/>
    <w:rPr>
      <w:rFonts w:ascii="Times New Roman" w:eastAsia="Times New Roman" w:hAnsi="Times New Roman" w:cs="Times New Roman"/>
      <w:b/>
      <w:noProof/>
      <w:sz w:val="24"/>
      <w:szCs w:val="20"/>
      <w:lang w:eastAsia="sk-SK"/>
    </w:rPr>
  </w:style>
  <w:style w:type="character" w:customStyle="1" w:styleId="Nadpis3Char">
    <w:name w:val="Nadpis 3 Char"/>
    <w:basedOn w:val="Predvolenpsmoodseku"/>
    <w:link w:val="Nadpis3"/>
    <w:rsid w:val="001A411F"/>
    <w:rPr>
      <w:rFonts w:ascii="Times New Roman" w:eastAsia="Times New Roman" w:hAnsi="Times New Roman" w:cs="Times New Roman"/>
      <w:b/>
      <w:sz w:val="24"/>
      <w:szCs w:val="20"/>
      <w:lang w:eastAsia="sk-SK"/>
    </w:rPr>
  </w:style>
  <w:style w:type="character" w:customStyle="1" w:styleId="Nadpis4Char">
    <w:name w:val="Nadpis 4 Char"/>
    <w:basedOn w:val="Predvolenpsmoodseku"/>
    <w:link w:val="Nadpis4"/>
    <w:rsid w:val="001A411F"/>
    <w:rPr>
      <w:rFonts w:ascii="Times New Roman" w:eastAsia="Times New Roman" w:hAnsi="Times New Roman" w:cs="Times New Roman"/>
      <w:b/>
      <w:bCs/>
      <w:sz w:val="24"/>
      <w:szCs w:val="20"/>
      <w:lang w:val="x-none" w:eastAsia="x-none"/>
    </w:rPr>
  </w:style>
  <w:style w:type="character" w:customStyle="1" w:styleId="Nadpis5Char">
    <w:name w:val="Nadpis 5 Char"/>
    <w:basedOn w:val="Predvolenpsmoodseku"/>
    <w:link w:val="Nadpis5"/>
    <w:uiPriority w:val="9"/>
    <w:rsid w:val="001A411F"/>
    <w:rPr>
      <w:rFonts w:ascii="Calibri" w:eastAsia="Times New Roman" w:hAnsi="Calibri" w:cs="Times New Roman"/>
      <w:b/>
      <w:bCs/>
      <w:i/>
      <w:iCs/>
      <w:sz w:val="26"/>
      <w:szCs w:val="26"/>
      <w:lang w:val="x-none" w:eastAsia="x-none"/>
    </w:rPr>
  </w:style>
  <w:style w:type="paragraph" w:styleId="Odsekzoznamu">
    <w:name w:val="List Paragraph"/>
    <w:basedOn w:val="Normlny"/>
    <w:link w:val="OdsekzoznamuChar"/>
    <w:uiPriority w:val="99"/>
    <w:qFormat/>
    <w:rsid w:val="001A411F"/>
    <w:pPr>
      <w:spacing w:after="160" w:line="259"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1A411F"/>
    <w:rPr>
      <w:rFonts w:ascii="Tahoma" w:hAnsi="Tahoma" w:cs="Tahoma"/>
      <w:sz w:val="16"/>
      <w:szCs w:val="16"/>
    </w:rPr>
  </w:style>
  <w:style w:type="character" w:customStyle="1" w:styleId="TextbublinyChar">
    <w:name w:val="Text bubliny Char"/>
    <w:basedOn w:val="Predvolenpsmoodseku"/>
    <w:link w:val="Textbubliny"/>
    <w:uiPriority w:val="99"/>
    <w:semiHidden/>
    <w:rsid w:val="001A411F"/>
    <w:rPr>
      <w:rFonts w:ascii="Tahoma" w:eastAsia="Times New Roman" w:hAnsi="Tahoma" w:cs="Tahoma"/>
      <w:sz w:val="16"/>
      <w:szCs w:val="16"/>
      <w:lang w:eastAsia="sk-SK"/>
    </w:rPr>
  </w:style>
  <w:style w:type="character" w:styleId="Vrazn">
    <w:name w:val="Strong"/>
    <w:basedOn w:val="Predvolenpsmoodseku"/>
    <w:qFormat/>
    <w:rsid w:val="00F80B4F"/>
    <w:rPr>
      <w:b/>
      <w:bCs/>
    </w:rPr>
  </w:style>
  <w:style w:type="paragraph" w:styleId="Normlnywebov">
    <w:name w:val="Normal (Web)"/>
    <w:basedOn w:val="Normlny"/>
    <w:uiPriority w:val="99"/>
    <w:unhideWhenUsed/>
    <w:rsid w:val="00F80B4F"/>
    <w:pPr>
      <w:spacing w:before="100" w:beforeAutospacing="1" w:after="100" w:afterAutospacing="1"/>
    </w:pPr>
    <w:rPr>
      <w:szCs w:val="24"/>
    </w:rPr>
  </w:style>
  <w:style w:type="character" w:styleId="Odkaznakomentr">
    <w:name w:val="annotation reference"/>
    <w:basedOn w:val="Predvolenpsmoodseku"/>
    <w:uiPriority w:val="99"/>
    <w:semiHidden/>
    <w:unhideWhenUsed/>
    <w:rsid w:val="004F0460"/>
    <w:rPr>
      <w:sz w:val="16"/>
      <w:szCs w:val="16"/>
    </w:rPr>
  </w:style>
  <w:style w:type="paragraph" w:styleId="Textkomentra">
    <w:name w:val="annotation text"/>
    <w:basedOn w:val="Normlny"/>
    <w:link w:val="TextkomentraChar"/>
    <w:uiPriority w:val="99"/>
    <w:unhideWhenUsed/>
    <w:rsid w:val="004F0460"/>
    <w:rPr>
      <w:sz w:val="20"/>
    </w:rPr>
  </w:style>
  <w:style w:type="character" w:customStyle="1" w:styleId="TextkomentraChar">
    <w:name w:val="Text komentára Char"/>
    <w:basedOn w:val="Predvolenpsmoodseku"/>
    <w:link w:val="Textkomentra"/>
    <w:uiPriority w:val="99"/>
    <w:rsid w:val="004F046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F0460"/>
    <w:rPr>
      <w:b/>
      <w:bCs/>
    </w:rPr>
  </w:style>
  <w:style w:type="character" w:customStyle="1" w:styleId="PredmetkomentraChar">
    <w:name w:val="Predmet komentára Char"/>
    <w:basedOn w:val="TextkomentraChar"/>
    <w:link w:val="Predmetkomentra"/>
    <w:uiPriority w:val="99"/>
    <w:semiHidden/>
    <w:rsid w:val="004F0460"/>
    <w:rPr>
      <w:rFonts w:ascii="Times New Roman" w:eastAsia="Times New Roman" w:hAnsi="Times New Roman" w:cs="Times New Roman"/>
      <w:b/>
      <w:bCs/>
      <w:sz w:val="20"/>
      <w:szCs w:val="20"/>
      <w:lang w:eastAsia="sk-SK"/>
    </w:rPr>
  </w:style>
  <w:style w:type="character" w:customStyle="1" w:styleId="OdsekzoznamuChar">
    <w:name w:val="Odsek zoznamu Char"/>
    <w:basedOn w:val="Predvolenpsmoodseku"/>
    <w:link w:val="Odsekzoznamu"/>
    <w:uiPriority w:val="99"/>
    <w:rsid w:val="002319A4"/>
    <w:rPr>
      <w:rFonts w:ascii="Calibri" w:eastAsia="Calibri" w:hAnsi="Calibri" w:cs="Times New Roman"/>
    </w:rPr>
  </w:style>
  <w:style w:type="paragraph" w:styleId="Nzov">
    <w:name w:val="Title"/>
    <w:basedOn w:val="Normlny"/>
    <w:link w:val="NzovChar"/>
    <w:uiPriority w:val="10"/>
    <w:qFormat/>
    <w:rsid w:val="002319A4"/>
    <w:pPr>
      <w:jc w:val="center"/>
    </w:pPr>
    <w:rPr>
      <w:b/>
    </w:rPr>
  </w:style>
  <w:style w:type="character" w:customStyle="1" w:styleId="NzovChar">
    <w:name w:val="Názov Char"/>
    <w:basedOn w:val="Predvolenpsmoodseku"/>
    <w:link w:val="Nzov"/>
    <w:uiPriority w:val="10"/>
    <w:rsid w:val="002319A4"/>
    <w:rPr>
      <w:rFonts w:ascii="Times New Roman" w:eastAsia="Times New Roman" w:hAnsi="Times New Roman" w:cs="Times New Roman"/>
      <w:b/>
      <w:sz w:val="24"/>
      <w:szCs w:val="20"/>
      <w:lang w:eastAsia="sk-SK"/>
    </w:rPr>
  </w:style>
  <w:style w:type="paragraph" w:customStyle="1" w:styleId="hodnotenie">
    <w:name w:val="hodnotenie"/>
    <w:basedOn w:val="Zkladntext"/>
    <w:rsid w:val="002319A4"/>
    <w:pPr>
      <w:spacing w:before="100" w:beforeAutospacing="1" w:after="100" w:afterAutospacing="1"/>
      <w:jc w:val="both"/>
    </w:pPr>
    <w:rPr>
      <w:b/>
      <w:bCs/>
      <w:noProof/>
      <w:szCs w:val="24"/>
    </w:rPr>
  </w:style>
  <w:style w:type="numbering" w:customStyle="1" w:styleId="tl1">
    <w:name w:val="Štýl1"/>
    <w:uiPriority w:val="99"/>
    <w:rsid w:val="002319A4"/>
    <w:pPr>
      <w:numPr>
        <w:numId w:val="3"/>
      </w:numPr>
    </w:pPr>
  </w:style>
  <w:style w:type="paragraph" w:styleId="Zkladntext">
    <w:name w:val="Body Text"/>
    <w:basedOn w:val="Normlny"/>
    <w:link w:val="ZkladntextChar"/>
    <w:uiPriority w:val="99"/>
    <w:unhideWhenUsed/>
    <w:rsid w:val="002319A4"/>
    <w:pPr>
      <w:spacing w:after="120"/>
    </w:pPr>
  </w:style>
  <w:style w:type="character" w:customStyle="1" w:styleId="ZkladntextChar">
    <w:name w:val="Základný text Char"/>
    <w:basedOn w:val="Predvolenpsmoodseku"/>
    <w:link w:val="Zkladntext"/>
    <w:uiPriority w:val="99"/>
    <w:rsid w:val="002319A4"/>
    <w:rPr>
      <w:rFonts w:ascii="Times New Roman" w:eastAsia="Times New Roman" w:hAnsi="Times New Roman" w:cs="Times New Roman"/>
      <w:sz w:val="24"/>
      <w:szCs w:val="20"/>
      <w:lang w:eastAsia="sk-SK"/>
    </w:rPr>
  </w:style>
  <w:style w:type="paragraph" w:styleId="slovanzoznam">
    <w:name w:val="List Number"/>
    <w:basedOn w:val="Normlny"/>
    <w:uiPriority w:val="99"/>
    <w:semiHidden/>
    <w:rsid w:val="00DD5670"/>
    <w:pPr>
      <w:numPr>
        <w:numId w:val="4"/>
      </w:numPr>
      <w:tabs>
        <w:tab w:val="clear" w:pos="360"/>
        <w:tab w:val="num" w:pos="567"/>
      </w:tabs>
      <w:spacing w:before="60"/>
    </w:pPr>
  </w:style>
  <w:style w:type="paragraph" w:customStyle="1" w:styleId="Style">
    <w:name w:val="Style"/>
    <w:rsid w:val="002D750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T1">
    <w:name w:val="T1"/>
    <w:basedOn w:val="Normlny"/>
    <w:rsid w:val="00C33C4A"/>
    <w:pPr>
      <w:spacing w:before="120" w:after="120"/>
      <w:jc w:val="center"/>
    </w:pPr>
    <w:rPr>
      <w:b/>
    </w:rPr>
  </w:style>
  <w:style w:type="character" w:styleId="Hypertextovprepojenie">
    <w:name w:val="Hyperlink"/>
    <w:basedOn w:val="Predvolenpsmoodseku"/>
    <w:uiPriority w:val="99"/>
    <w:rsid w:val="0026008A"/>
    <w:rPr>
      <w:rFonts w:cs="Times New Roman"/>
      <w:color w:val="0000FF"/>
      <w:u w:val="single"/>
    </w:rPr>
  </w:style>
  <w:style w:type="paragraph" w:styleId="Obsah1">
    <w:name w:val="toc 1"/>
    <w:basedOn w:val="Normlny"/>
    <w:next w:val="Normlny"/>
    <w:autoRedefine/>
    <w:uiPriority w:val="39"/>
    <w:rsid w:val="00C06D35"/>
    <w:pPr>
      <w:tabs>
        <w:tab w:val="left" w:pos="567"/>
        <w:tab w:val="right" w:leader="dot" w:pos="9060"/>
      </w:tabs>
      <w:ind w:left="567" w:hanging="567"/>
      <w:jc w:val="both"/>
    </w:pPr>
    <w:rPr>
      <w:b/>
      <w:bCs/>
      <w:caps/>
      <w:noProof/>
      <w:szCs w:val="26"/>
    </w:rPr>
  </w:style>
  <w:style w:type="paragraph" w:styleId="Obsah2">
    <w:name w:val="toc 2"/>
    <w:basedOn w:val="Normlny"/>
    <w:next w:val="Normlny"/>
    <w:autoRedefine/>
    <w:uiPriority w:val="39"/>
    <w:rsid w:val="004D6EDC"/>
    <w:pPr>
      <w:tabs>
        <w:tab w:val="left" w:pos="880"/>
        <w:tab w:val="right" w:leader="dot" w:pos="9062"/>
      </w:tabs>
      <w:ind w:left="851" w:hanging="611"/>
    </w:pPr>
    <w:rPr>
      <w:smallCaps/>
      <w:szCs w:val="24"/>
    </w:rPr>
  </w:style>
  <w:style w:type="paragraph" w:styleId="Obsah3">
    <w:name w:val="toc 3"/>
    <w:basedOn w:val="Normlny"/>
    <w:next w:val="Normlny"/>
    <w:autoRedefine/>
    <w:uiPriority w:val="39"/>
    <w:rsid w:val="0026008A"/>
    <w:pPr>
      <w:ind w:left="480"/>
    </w:pPr>
    <w:rPr>
      <w:i/>
      <w:iCs/>
      <w:szCs w:val="24"/>
    </w:rPr>
  </w:style>
  <w:style w:type="paragraph" w:styleId="Obsah4">
    <w:name w:val="toc 4"/>
    <w:basedOn w:val="Normlny"/>
    <w:next w:val="Normlny"/>
    <w:autoRedefine/>
    <w:uiPriority w:val="39"/>
    <w:rsid w:val="0026008A"/>
    <w:pPr>
      <w:ind w:left="720"/>
    </w:pPr>
    <w:rPr>
      <w:szCs w:val="21"/>
    </w:rPr>
  </w:style>
  <w:style w:type="paragraph" w:styleId="Zarkazkladnhotextu">
    <w:name w:val="Body Text Indent"/>
    <w:basedOn w:val="Normlny"/>
    <w:link w:val="ZarkazkladnhotextuChar"/>
    <w:uiPriority w:val="99"/>
    <w:unhideWhenUsed/>
    <w:rsid w:val="00A00A4B"/>
    <w:pPr>
      <w:spacing w:after="120"/>
      <w:ind w:left="283"/>
    </w:pPr>
  </w:style>
  <w:style w:type="character" w:customStyle="1" w:styleId="ZarkazkladnhotextuChar">
    <w:name w:val="Zarážka základného textu Char"/>
    <w:basedOn w:val="Predvolenpsmoodseku"/>
    <w:link w:val="Zarkazkladnhotextu"/>
    <w:uiPriority w:val="99"/>
    <w:rsid w:val="00A00A4B"/>
    <w:rPr>
      <w:rFonts w:ascii="Times New Roman" w:eastAsia="Times New Roman" w:hAnsi="Times New Roman" w:cs="Times New Roman"/>
      <w:sz w:val="24"/>
      <w:szCs w:val="20"/>
      <w:lang w:eastAsia="sk-SK"/>
    </w:rPr>
  </w:style>
  <w:style w:type="paragraph" w:customStyle="1" w:styleId="Default">
    <w:name w:val="Default"/>
    <w:rsid w:val="00A00A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Predvolenpsmoodseku"/>
    <w:qFormat/>
    <w:rsid w:val="00A00A4B"/>
  </w:style>
  <w:style w:type="character" w:customStyle="1" w:styleId="Nevyrieenzmienka1">
    <w:name w:val="Nevyriešená zmienka1"/>
    <w:basedOn w:val="Predvolenpsmoodseku"/>
    <w:uiPriority w:val="99"/>
    <w:semiHidden/>
    <w:unhideWhenUsed/>
    <w:rsid w:val="008A42E4"/>
    <w:rPr>
      <w:color w:val="605E5C"/>
      <w:shd w:val="clear" w:color="auto" w:fill="E1DFDD"/>
    </w:rPr>
  </w:style>
  <w:style w:type="paragraph" w:styleId="Bezriadkovania">
    <w:name w:val="No Spacing"/>
    <w:uiPriority w:val="1"/>
    <w:qFormat/>
    <w:rsid w:val="00786D9B"/>
    <w:pPr>
      <w:spacing w:after="0" w:line="240" w:lineRule="auto"/>
      <w:jc w:val="both"/>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180C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semiHidden/>
    <w:unhideWhenUsed/>
    <w:rsid w:val="00CB0219"/>
    <w:pPr>
      <w:spacing w:after="120" w:line="480" w:lineRule="auto"/>
    </w:pPr>
  </w:style>
  <w:style w:type="character" w:customStyle="1" w:styleId="Zkladntext2Char">
    <w:name w:val="Základný text 2 Char"/>
    <w:basedOn w:val="Predvolenpsmoodseku"/>
    <w:link w:val="Zkladntext2"/>
    <w:uiPriority w:val="99"/>
    <w:semiHidden/>
    <w:rsid w:val="00CB0219"/>
    <w:rPr>
      <w:rFonts w:ascii="Times New Roman" w:eastAsia="Times New Roman" w:hAnsi="Times New Roman" w:cs="Times New Roman"/>
      <w:sz w:val="24"/>
      <w:szCs w:val="20"/>
      <w:lang w:eastAsia="sk-SK"/>
    </w:rPr>
  </w:style>
  <w:style w:type="paragraph" w:styleId="Zoznamsodrkami2">
    <w:name w:val="List Bullet 2"/>
    <w:basedOn w:val="Normlny"/>
    <w:autoRedefine/>
    <w:uiPriority w:val="99"/>
    <w:semiHidden/>
    <w:rsid w:val="00E5792F"/>
    <w:pPr>
      <w:tabs>
        <w:tab w:val="num" w:pos="426"/>
      </w:tabs>
      <w:ind w:left="426"/>
      <w:jc w:val="both"/>
    </w:pPr>
    <w:rPr>
      <w:szCs w:val="24"/>
    </w:rPr>
  </w:style>
  <w:style w:type="paragraph" w:styleId="Zoznamsodrkami">
    <w:name w:val="List Bullet"/>
    <w:basedOn w:val="Normlny"/>
    <w:autoRedefine/>
    <w:uiPriority w:val="99"/>
    <w:semiHidden/>
    <w:rsid w:val="00E5792F"/>
    <w:pPr>
      <w:suppressLineNumbers/>
      <w:jc w:val="center"/>
    </w:pPr>
    <w:rPr>
      <w:sz w:val="22"/>
      <w:szCs w:val="22"/>
    </w:rPr>
  </w:style>
  <w:style w:type="paragraph" w:styleId="Hlavika">
    <w:name w:val="header"/>
    <w:basedOn w:val="Normlny"/>
    <w:link w:val="HlavikaChar"/>
    <w:uiPriority w:val="99"/>
    <w:unhideWhenUsed/>
    <w:rsid w:val="008F4C3F"/>
    <w:pPr>
      <w:tabs>
        <w:tab w:val="center" w:pos="4536"/>
        <w:tab w:val="right" w:pos="9072"/>
      </w:tabs>
    </w:pPr>
  </w:style>
  <w:style w:type="character" w:customStyle="1" w:styleId="HlavikaChar">
    <w:name w:val="Hlavička Char"/>
    <w:basedOn w:val="Predvolenpsmoodseku"/>
    <w:link w:val="Hlavika"/>
    <w:uiPriority w:val="99"/>
    <w:rsid w:val="008F4C3F"/>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8F4C3F"/>
    <w:pPr>
      <w:tabs>
        <w:tab w:val="center" w:pos="4536"/>
        <w:tab w:val="right" w:pos="9072"/>
      </w:tabs>
    </w:pPr>
  </w:style>
  <w:style w:type="character" w:customStyle="1" w:styleId="PtaChar">
    <w:name w:val="Päta Char"/>
    <w:basedOn w:val="Predvolenpsmoodseku"/>
    <w:link w:val="Pta"/>
    <w:uiPriority w:val="99"/>
    <w:rsid w:val="008F4C3F"/>
    <w:rPr>
      <w:rFonts w:ascii="Times New Roman" w:eastAsia="Times New Roman" w:hAnsi="Times New Roman" w:cs="Times New Roman"/>
      <w:sz w:val="24"/>
      <w:szCs w:val="20"/>
      <w:lang w:eastAsia="sk-SK"/>
    </w:rPr>
  </w:style>
  <w:style w:type="character" w:styleId="Zvraznenie">
    <w:name w:val="Emphasis"/>
    <w:basedOn w:val="Predvolenpsmoodseku"/>
    <w:uiPriority w:val="20"/>
    <w:qFormat/>
    <w:rsid w:val="00FD2AE3"/>
    <w:rPr>
      <w:i/>
      <w:iCs/>
    </w:rPr>
  </w:style>
  <w:style w:type="paragraph" w:customStyle="1" w:styleId="Pa2">
    <w:name w:val="Pa2"/>
    <w:basedOn w:val="Default"/>
    <w:next w:val="Default"/>
    <w:uiPriority w:val="99"/>
    <w:rsid w:val="00F64498"/>
    <w:pPr>
      <w:spacing w:line="241" w:lineRule="atLeast"/>
    </w:pPr>
    <w:rPr>
      <w:rFonts w:ascii="Proxima Nova Rg" w:hAnsi="Proxima Nova Rg" w:cstheme="minorBidi"/>
      <w:color w:val="auto"/>
    </w:rPr>
  </w:style>
  <w:style w:type="character" w:customStyle="1" w:styleId="A9">
    <w:name w:val="A9"/>
    <w:uiPriority w:val="99"/>
    <w:qFormat/>
    <w:rsid w:val="00F64498"/>
    <w:rPr>
      <w:rFonts w:cs="Proxima Nova Rg"/>
      <w:color w:val="000000"/>
      <w:sz w:val="17"/>
      <w:szCs w:val="17"/>
    </w:rPr>
  </w:style>
  <w:style w:type="character" w:customStyle="1" w:styleId="A2">
    <w:name w:val="A2"/>
    <w:uiPriority w:val="99"/>
    <w:rsid w:val="00BC1E00"/>
    <w:rPr>
      <w:rFonts w:cs="Proxima Nova Lt"/>
      <w:color w:val="000000"/>
      <w:sz w:val="16"/>
      <w:szCs w:val="16"/>
    </w:rPr>
  </w:style>
  <w:style w:type="paragraph" w:customStyle="1" w:styleId="Pa3">
    <w:name w:val="Pa3"/>
    <w:basedOn w:val="Normlny"/>
    <w:next w:val="Normlny"/>
    <w:uiPriority w:val="99"/>
    <w:rsid w:val="00BC1E00"/>
    <w:pPr>
      <w:autoSpaceDE w:val="0"/>
      <w:autoSpaceDN w:val="0"/>
      <w:adjustRightInd w:val="0"/>
      <w:spacing w:line="241" w:lineRule="atLeast"/>
    </w:pPr>
    <w:rPr>
      <w:rFonts w:ascii="Proxima Nova Lt" w:eastAsiaTheme="minorHAnsi" w:hAnsi="Proxima Nova Lt" w:cstheme="minorBidi"/>
      <w:szCs w:val="24"/>
      <w:lang w:eastAsia="en-US"/>
    </w:rPr>
  </w:style>
  <w:style w:type="character" w:customStyle="1" w:styleId="Nevyrieenzmienka2">
    <w:name w:val="Nevyriešená zmienka2"/>
    <w:basedOn w:val="Predvolenpsmoodseku"/>
    <w:uiPriority w:val="99"/>
    <w:semiHidden/>
    <w:unhideWhenUsed/>
    <w:rsid w:val="00E01FD2"/>
    <w:rPr>
      <w:color w:val="605E5C"/>
      <w:shd w:val="clear" w:color="auto" w:fill="E1DFDD"/>
    </w:rPr>
  </w:style>
  <w:style w:type="paragraph" w:customStyle="1" w:styleId="Adresaprjemcu">
    <w:name w:val="Adresa príjemcu"/>
    <w:basedOn w:val="Bezriadkovania"/>
    <w:uiPriority w:val="3"/>
    <w:qFormat/>
    <w:rsid w:val="009E1A63"/>
    <w:pPr>
      <w:spacing w:after="480"/>
      <w:contextualSpacing/>
      <w:jc w:val="left"/>
    </w:pPr>
    <w:rPr>
      <w:rFonts w:ascii="Cambria" w:hAnsi="Cambria"/>
      <w:color w:val="17365D"/>
      <w:sz w:val="20"/>
      <w:szCs w:val="20"/>
      <w:lang w:eastAsia="en-US"/>
    </w:rPr>
  </w:style>
  <w:style w:type="paragraph" w:customStyle="1" w:styleId="Pa0">
    <w:name w:val="Pa0"/>
    <w:basedOn w:val="Normlny"/>
    <w:next w:val="Normlny"/>
    <w:uiPriority w:val="99"/>
    <w:rsid w:val="00D8195D"/>
    <w:pPr>
      <w:autoSpaceDE w:val="0"/>
      <w:autoSpaceDN w:val="0"/>
      <w:adjustRightInd w:val="0"/>
      <w:spacing w:line="241" w:lineRule="atLeast"/>
    </w:pPr>
    <w:rPr>
      <w:rFonts w:ascii="Proxima Nova Lt" w:eastAsiaTheme="minorHAnsi" w:hAnsi="Proxima Nova Lt" w:cstheme="minorBidi"/>
      <w:szCs w:val="24"/>
      <w:lang w:eastAsia="en-US"/>
    </w:rPr>
  </w:style>
  <w:style w:type="table" w:customStyle="1" w:styleId="Mriekatabuky1">
    <w:name w:val="Mriežka tabuľky1"/>
    <w:basedOn w:val="Normlnatabuka"/>
    <w:next w:val="Mriekatabuky"/>
    <w:uiPriority w:val="59"/>
    <w:rsid w:val="00150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6F6F8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B7353"/>
    <w:pPr>
      <w:spacing w:after="0" w:line="240" w:lineRule="auto"/>
    </w:pPr>
    <w:rPr>
      <w:rFonts w:ascii="Times New Roman" w:eastAsia="Times New Roman" w:hAnsi="Times New Roman" w:cs="Times New Roman"/>
      <w:sz w:val="24"/>
      <w:szCs w:val="20"/>
      <w:lang w:eastAsia="sk-SK"/>
    </w:rPr>
  </w:style>
  <w:style w:type="character" w:styleId="Nevyrieenzmienka">
    <w:name w:val="Unresolved Mention"/>
    <w:basedOn w:val="Predvolenpsmoodseku"/>
    <w:uiPriority w:val="99"/>
    <w:semiHidden/>
    <w:unhideWhenUsed/>
    <w:rsid w:val="0003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539">
      <w:bodyDiv w:val="1"/>
      <w:marLeft w:val="0"/>
      <w:marRight w:val="0"/>
      <w:marTop w:val="0"/>
      <w:marBottom w:val="0"/>
      <w:divBdr>
        <w:top w:val="none" w:sz="0" w:space="0" w:color="auto"/>
        <w:left w:val="none" w:sz="0" w:space="0" w:color="auto"/>
        <w:bottom w:val="none" w:sz="0" w:space="0" w:color="auto"/>
        <w:right w:val="none" w:sz="0" w:space="0" w:color="auto"/>
      </w:divBdr>
      <w:divsChild>
        <w:div w:id="810708263">
          <w:marLeft w:val="0"/>
          <w:marRight w:val="0"/>
          <w:marTop w:val="0"/>
          <w:marBottom w:val="0"/>
          <w:divBdr>
            <w:top w:val="none" w:sz="0" w:space="0" w:color="auto"/>
            <w:left w:val="none" w:sz="0" w:space="0" w:color="auto"/>
            <w:bottom w:val="none" w:sz="0" w:space="0" w:color="auto"/>
            <w:right w:val="none" w:sz="0" w:space="0" w:color="auto"/>
          </w:divBdr>
          <w:divsChild>
            <w:div w:id="1432631321">
              <w:marLeft w:val="0"/>
              <w:marRight w:val="0"/>
              <w:marTop w:val="0"/>
              <w:marBottom w:val="0"/>
              <w:divBdr>
                <w:top w:val="none" w:sz="0" w:space="0" w:color="auto"/>
                <w:left w:val="single" w:sz="12" w:space="4" w:color="000000"/>
                <w:bottom w:val="none" w:sz="0" w:space="0" w:color="auto"/>
                <w:right w:val="none" w:sz="0" w:space="0" w:color="auto"/>
              </w:divBdr>
              <w:divsChild>
                <w:div w:id="1230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8466">
      <w:bodyDiv w:val="1"/>
      <w:marLeft w:val="0"/>
      <w:marRight w:val="0"/>
      <w:marTop w:val="0"/>
      <w:marBottom w:val="0"/>
      <w:divBdr>
        <w:top w:val="none" w:sz="0" w:space="0" w:color="auto"/>
        <w:left w:val="none" w:sz="0" w:space="0" w:color="auto"/>
        <w:bottom w:val="none" w:sz="0" w:space="0" w:color="auto"/>
        <w:right w:val="none" w:sz="0" w:space="0" w:color="auto"/>
      </w:divBdr>
    </w:div>
    <w:div w:id="1180195763">
      <w:bodyDiv w:val="1"/>
      <w:marLeft w:val="0"/>
      <w:marRight w:val="0"/>
      <w:marTop w:val="0"/>
      <w:marBottom w:val="0"/>
      <w:divBdr>
        <w:top w:val="none" w:sz="0" w:space="0" w:color="auto"/>
        <w:left w:val="none" w:sz="0" w:space="0" w:color="auto"/>
        <w:bottom w:val="none" w:sz="0" w:space="0" w:color="auto"/>
        <w:right w:val="none" w:sz="0" w:space="0" w:color="auto"/>
      </w:divBdr>
    </w:div>
    <w:div w:id="1751385280">
      <w:bodyDiv w:val="1"/>
      <w:marLeft w:val="0"/>
      <w:marRight w:val="0"/>
      <w:marTop w:val="0"/>
      <w:marBottom w:val="0"/>
      <w:divBdr>
        <w:top w:val="none" w:sz="0" w:space="0" w:color="auto"/>
        <w:left w:val="none" w:sz="0" w:space="0" w:color="auto"/>
        <w:bottom w:val="none" w:sz="0" w:space="0" w:color="auto"/>
        <w:right w:val="none" w:sz="0" w:space="0" w:color="auto"/>
      </w:divBdr>
    </w:div>
    <w:div w:id="1946814304">
      <w:bodyDiv w:val="1"/>
      <w:marLeft w:val="0"/>
      <w:marRight w:val="0"/>
      <w:marTop w:val="0"/>
      <w:marBottom w:val="0"/>
      <w:divBdr>
        <w:top w:val="none" w:sz="0" w:space="0" w:color="auto"/>
        <w:left w:val="none" w:sz="0" w:space="0" w:color="auto"/>
        <w:bottom w:val="none" w:sz="0" w:space="0" w:color="auto"/>
        <w:right w:val="none" w:sz="0" w:space="0" w:color="auto"/>
      </w:divBdr>
    </w:div>
    <w:div w:id="19967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d.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 TargetMode="External"/><Relationship Id="rId5" Type="http://schemas.openxmlformats.org/officeDocument/2006/relationships/webSettings" Target="webSettings.xml"/><Relationship Id="rId10" Type="http://schemas.openxmlformats.org/officeDocument/2006/relationships/hyperlink" Target="http://www.slovensko.sk" TargetMode="External"/><Relationship Id="rId4" Type="http://schemas.openxmlformats.org/officeDocument/2006/relationships/settings" Target="settings.xml"/><Relationship Id="rId9" Type="http://schemas.openxmlformats.org/officeDocument/2006/relationships/hyperlink" Target="mailto:info@ujd.go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F738-946D-4CDF-8C09-CBC649F6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19900</Words>
  <Characters>113436</Characters>
  <Application>Microsoft Office Word</Application>
  <DocSecurity>0</DocSecurity>
  <Lines>945</Lines>
  <Paragraphs>266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ÚJD SR Trnava</Company>
  <LinksUpToDate>false</LinksUpToDate>
  <CharactersWithSpaces>133070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 Kotora</dc:creator>
  <cp:lastModifiedBy>Libusa Steinhublova</cp:lastModifiedBy>
  <cp:revision>2</cp:revision>
  <cp:lastPrinted>2024-03-11T08:22:00Z</cp:lastPrinted>
  <dcterms:created xsi:type="dcterms:W3CDTF">2024-03-22T13:38:00Z</dcterms:created>
  <dcterms:modified xsi:type="dcterms:W3CDTF">2024-03-22T13:38:00Z</dcterms:modified>
</cp:coreProperties>
</file>