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</w:t>
      </w:r>
      <w:r w:rsidR="00EA31B5">
        <w:t>4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EA31B5">
        <w:t>9</w:t>
      </w:r>
      <w:r w:rsidR="0093413E">
        <w:t>0</w:t>
      </w:r>
      <w:r w:rsidR="00C91F5F">
        <w:t>/20</w:t>
      </w:r>
      <w:r w:rsidR="001170AC">
        <w:t>2</w:t>
      </w:r>
      <w:r w:rsidR="00EA31B5">
        <w:t>4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</w:t>
      </w:r>
      <w:r w:rsidR="00EE5793">
        <w:rPr>
          <w:b/>
        </w:rPr>
        <w:t xml:space="preserve"> </w:t>
      </w:r>
      <w:r w:rsidR="000F4136">
        <w:rPr>
          <w:b/>
        </w:rPr>
        <w:t xml:space="preserve"> </w:t>
      </w:r>
      <w:r w:rsidR="00EE5793">
        <w:rPr>
          <w:b/>
        </w:rPr>
        <w:t>65</w:t>
      </w:r>
      <w:r w:rsidR="001E5751">
        <w:rPr>
          <w:b/>
        </w:rPr>
        <w:t xml:space="preserve">   </w:t>
      </w:r>
      <w:r w:rsidR="00EA31B5">
        <w:rPr>
          <w:b/>
        </w:rPr>
        <w:t xml:space="preserve"> 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EA31B5">
        <w:rPr>
          <w:b/>
        </w:rPr>
        <w:t>o</w:t>
      </w:r>
      <w:r w:rsidR="00150D82">
        <w:rPr>
          <w:b/>
        </w:rPr>
        <w:t> </w:t>
      </w:r>
      <w:r w:rsidR="00DE3146">
        <w:rPr>
          <w:b/>
        </w:rPr>
        <w:t>1</w:t>
      </w:r>
      <w:r w:rsidR="00D04E8E">
        <w:rPr>
          <w:b/>
        </w:rPr>
        <w:t>7</w:t>
      </w:r>
      <w:r w:rsidR="00150D82">
        <w:rPr>
          <w:b/>
        </w:rPr>
        <w:t xml:space="preserve">. </w:t>
      </w:r>
      <w:r w:rsidR="003A2B77">
        <w:rPr>
          <w:b/>
        </w:rPr>
        <w:t>a</w:t>
      </w:r>
      <w:r w:rsidR="00EA31B5">
        <w:rPr>
          <w:b/>
        </w:rPr>
        <w:t>príla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93413E">
      <w:pPr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93413E" w:rsidR="0093413E">
        <w:t>v</w:t>
      </w:r>
      <w:r w:rsidRPr="0093413E" w:rsidR="0093413E">
        <w:rPr>
          <w:rStyle w:val="Strong"/>
          <w:b w:val="0"/>
          <w:color w:val="000000"/>
        </w:rPr>
        <w:t>ládneho návrhu zákona o správcoch úverov a nákupcoch úverov a o zmene a doplnení niektorých zákonov</w:t>
      </w:r>
      <w:r w:rsidRPr="00BC0CC8" w:rsidR="0093413E">
        <w:rPr>
          <w:rStyle w:val="Strong"/>
          <w:color w:val="000000"/>
        </w:rPr>
        <w:t xml:space="preserve"> (tlač 140</w:t>
      </w:r>
      <w:r w:rsidR="0093413E">
        <w:rPr>
          <w:rStyle w:val="Strong"/>
          <w:color w:val="000000"/>
        </w:rPr>
        <w:t>a</w:t>
      </w:r>
      <w:r w:rsidRPr="00BC0CC8" w:rsidR="0093413E">
        <w:rPr>
          <w:rStyle w:val="Strong"/>
          <w:color w:val="000000"/>
        </w:rPr>
        <w:t>) 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P="0093413E">
      <w:pPr>
        <w:pStyle w:val="BodyText"/>
        <w:spacing w:after="0"/>
        <w:jc w:val="both"/>
        <w:rPr>
          <w:rStyle w:val="Strong"/>
          <w:color w:val="000000"/>
        </w:rPr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93413E" w:rsidR="0093413E">
        <w:t>v</w:t>
      </w:r>
      <w:r w:rsidRPr="0093413E" w:rsidR="0093413E">
        <w:rPr>
          <w:rStyle w:val="Strong"/>
          <w:b w:val="0"/>
          <w:color w:val="000000"/>
        </w:rPr>
        <w:t>ládneho návrhu zákona o správcoch úverov a nákupcoch úverov a o zmene a doplnení niektorých zákonov</w:t>
      </w:r>
      <w:r w:rsidRPr="00BC0CC8" w:rsidR="0093413E">
        <w:rPr>
          <w:rStyle w:val="Strong"/>
          <w:color w:val="000000"/>
        </w:rPr>
        <w:t xml:space="preserve"> (tlač 140</w:t>
      </w:r>
      <w:r w:rsidR="0093413E">
        <w:rPr>
          <w:rStyle w:val="Strong"/>
          <w:color w:val="000000"/>
        </w:rPr>
        <w:t>a</w:t>
      </w:r>
      <w:r w:rsidRPr="00BC0CC8" w:rsidR="0093413E">
        <w:rPr>
          <w:rStyle w:val="Strong"/>
          <w:color w:val="000000"/>
        </w:rPr>
        <w:t>) </w:t>
      </w:r>
    </w:p>
    <w:p w:rsidR="0093413E" w:rsidP="0093413E">
      <w:pPr>
        <w:pStyle w:val="BodyText"/>
        <w:spacing w:after="0"/>
        <w:jc w:val="both"/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93413E">
        <w:rPr>
          <w:b/>
        </w:rPr>
        <w:t>Ra</w:t>
      </w:r>
      <w:r w:rsidR="0093413E">
        <w:rPr>
          <w:b/>
        </w:rPr>
        <w:t>dovana Šalitroša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15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118</cp:revision>
  <cp:lastPrinted>2022-09-12T12:06:00Z</cp:lastPrinted>
  <dcterms:created xsi:type="dcterms:W3CDTF">2002-11-28T08:42:00Z</dcterms:created>
  <dcterms:modified xsi:type="dcterms:W3CDTF">2024-04-17T12:03:00Z</dcterms:modified>
</cp:coreProperties>
</file>