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EF846" w14:textId="77777777" w:rsidR="006454C5" w:rsidRPr="00A26F61" w:rsidRDefault="006454C5" w:rsidP="00BC1C98">
      <w:pPr>
        <w:pStyle w:val="Nadpis2"/>
        <w:ind w:hanging="3649"/>
        <w:jc w:val="left"/>
      </w:pPr>
      <w:bookmarkStart w:id="0" w:name="_Hlk53653997"/>
    </w:p>
    <w:p w14:paraId="52971F38" w14:textId="6866F4EC" w:rsidR="00BC1C98" w:rsidRPr="00A26F61" w:rsidRDefault="00BC1C98" w:rsidP="00BC1C98">
      <w:pPr>
        <w:pStyle w:val="Nadpis2"/>
        <w:ind w:hanging="3649"/>
        <w:jc w:val="left"/>
      </w:pPr>
      <w:r w:rsidRPr="00A26F61">
        <w:t>ÚSTAVNOPRÁVNY VÝBOR</w:t>
      </w:r>
    </w:p>
    <w:p w14:paraId="0A9586BB" w14:textId="0FE9A1AE" w:rsidR="00BC1C98" w:rsidRPr="00A26F61" w:rsidRDefault="00BC1C98" w:rsidP="00BC1C98">
      <w:pPr>
        <w:rPr>
          <w:b/>
        </w:rPr>
      </w:pPr>
      <w:r w:rsidRPr="00A26F61">
        <w:rPr>
          <w:b/>
        </w:rPr>
        <w:t>NÁRODNEJ RADY SLOVENSKEJ REPUBLIKY</w:t>
      </w:r>
    </w:p>
    <w:p w14:paraId="10EC5AB1" w14:textId="77777777" w:rsidR="00A31C26" w:rsidRPr="00A26F61" w:rsidRDefault="00A31C26" w:rsidP="00BC1C98">
      <w:pPr>
        <w:rPr>
          <w:b/>
        </w:rPr>
      </w:pPr>
    </w:p>
    <w:p w14:paraId="330249B0" w14:textId="6892AB4B" w:rsidR="00BC1C98" w:rsidRPr="00A26F61" w:rsidRDefault="00BC1C98" w:rsidP="00BC1C98">
      <w:r w:rsidRPr="00A26F61">
        <w:tab/>
      </w:r>
      <w:r w:rsidRPr="00A26F61">
        <w:tab/>
      </w:r>
      <w:r w:rsidRPr="00A26F61">
        <w:tab/>
      </w:r>
      <w:r w:rsidRPr="00A26F61">
        <w:tab/>
      </w:r>
      <w:r w:rsidRPr="00A26F61">
        <w:tab/>
      </w:r>
      <w:r w:rsidRPr="00A26F61">
        <w:tab/>
      </w:r>
      <w:r w:rsidRPr="00A26F61">
        <w:tab/>
      </w:r>
      <w:r w:rsidRPr="00A26F61">
        <w:tab/>
      </w:r>
      <w:r w:rsidRPr="00A26F61">
        <w:tab/>
      </w:r>
      <w:r w:rsidR="00217078" w:rsidRPr="00A26F61">
        <w:t>2</w:t>
      </w:r>
      <w:r w:rsidR="006B0C5F" w:rsidRPr="00A26F61">
        <w:t>8</w:t>
      </w:r>
      <w:r w:rsidR="00D22BDF" w:rsidRPr="00A26F61">
        <w:t xml:space="preserve">. </w:t>
      </w:r>
      <w:r w:rsidRPr="00A26F61">
        <w:t>schôdza</w:t>
      </w:r>
    </w:p>
    <w:p w14:paraId="79D1A885" w14:textId="79B8C3BA" w:rsidR="00BC1C98" w:rsidRPr="00A26F61" w:rsidRDefault="00BC1C98" w:rsidP="00BC1C98">
      <w:pPr>
        <w:ind w:left="5592" w:hanging="12"/>
      </w:pPr>
      <w:r w:rsidRPr="00A26F61">
        <w:tab/>
      </w:r>
      <w:r w:rsidRPr="00A26F61">
        <w:tab/>
      </w:r>
      <w:r w:rsidRPr="00A26F61">
        <w:tab/>
        <w:t>Číslo: CRD-</w:t>
      </w:r>
      <w:r w:rsidR="00221877" w:rsidRPr="00A26F61">
        <w:t>2</w:t>
      </w:r>
      <w:r w:rsidR="00565A2A" w:rsidRPr="00A26F61">
        <w:t>688</w:t>
      </w:r>
      <w:r w:rsidRPr="00A26F61">
        <w:t>/2023</w:t>
      </w:r>
    </w:p>
    <w:p w14:paraId="7B3AF05F" w14:textId="566000E8" w:rsidR="00BC1C98" w:rsidRPr="00A26F61" w:rsidRDefault="00BC1C98" w:rsidP="00BC1C98">
      <w:pPr>
        <w:pStyle w:val="Bezriadkovania"/>
      </w:pPr>
    </w:p>
    <w:p w14:paraId="3C0F9E7F" w14:textId="77777777" w:rsidR="00A31C26" w:rsidRPr="00A26F61" w:rsidRDefault="00A31C26" w:rsidP="00BC1C98">
      <w:pPr>
        <w:pStyle w:val="Bezriadkovania"/>
      </w:pPr>
    </w:p>
    <w:p w14:paraId="77F947E1" w14:textId="618F7C8D" w:rsidR="00212AB6" w:rsidRPr="00A26F61" w:rsidRDefault="00A26F61" w:rsidP="00BC1C98">
      <w:pPr>
        <w:jc w:val="center"/>
        <w:rPr>
          <w:sz w:val="36"/>
          <w:szCs w:val="36"/>
        </w:rPr>
      </w:pPr>
      <w:r w:rsidRPr="00A26F61">
        <w:rPr>
          <w:sz w:val="36"/>
          <w:szCs w:val="36"/>
        </w:rPr>
        <w:t>59</w:t>
      </w:r>
    </w:p>
    <w:p w14:paraId="52D04136" w14:textId="617C4894" w:rsidR="00BC1C98" w:rsidRPr="00A26F61" w:rsidRDefault="00BC1C98" w:rsidP="00BC1C98">
      <w:pPr>
        <w:jc w:val="center"/>
        <w:rPr>
          <w:b/>
        </w:rPr>
      </w:pPr>
      <w:r w:rsidRPr="00A26F61">
        <w:rPr>
          <w:b/>
        </w:rPr>
        <w:t xml:space="preserve">U z n e s e n i e </w:t>
      </w:r>
    </w:p>
    <w:p w14:paraId="1A628D56" w14:textId="77777777" w:rsidR="00BC1C98" w:rsidRPr="00A26F61" w:rsidRDefault="00BC1C98" w:rsidP="00BC1C98">
      <w:pPr>
        <w:jc w:val="center"/>
        <w:rPr>
          <w:b/>
        </w:rPr>
      </w:pPr>
      <w:r w:rsidRPr="00A26F61">
        <w:rPr>
          <w:b/>
        </w:rPr>
        <w:t>Ústavnoprávneho výboru Národnej rady Slovenskej republiky</w:t>
      </w:r>
    </w:p>
    <w:p w14:paraId="51D4D21D" w14:textId="0968B7CC" w:rsidR="00BC1C98" w:rsidRPr="00A26F61" w:rsidRDefault="00BC1C98" w:rsidP="00BC1C98">
      <w:pPr>
        <w:jc w:val="center"/>
        <w:rPr>
          <w:b/>
        </w:rPr>
      </w:pPr>
      <w:r w:rsidRPr="00A26F61">
        <w:rPr>
          <w:b/>
        </w:rPr>
        <w:t>z</w:t>
      </w:r>
      <w:r w:rsidR="00D22BDF" w:rsidRPr="00A26F61">
        <w:rPr>
          <w:b/>
        </w:rPr>
        <w:t> </w:t>
      </w:r>
      <w:r w:rsidR="009632E3" w:rsidRPr="00A26F61">
        <w:rPr>
          <w:b/>
        </w:rPr>
        <w:t>11</w:t>
      </w:r>
      <w:r w:rsidR="00565A2A" w:rsidRPr="00A26F61">
        <w:rPr>
          <w:b/>
        </w:rPr>
        <w:t>. apríla</w:t>
      </w:r>
      <w:r w:rsidRPr="00A26F61">
        <w:rPr>
          <w:b/>
        </w:rPr>
        <w:t xml:space="preserve"> 202</w:t>
      </w:r>
      <w:r w:rsidR="000E174A" w:rsidRPr="00A26F61">
        <w:rPr>
          <w:b/>
        </w:rPr>
        <w:t>4</w:t>
      </w:r>
    </w:p>
    <w:p w14:paraId="6C8D9360" w14:textId="77777777" w:rsidR="00BC1C98" w:rsidRPr="00A26F61" w:rsidRDefault="00BC1C98" w:rsidP="00BC1C98">
      <w:pPr>
        <w:jc w:val="center"/>
      </w:pPr>
    </w:p>
    <w:p w14:paraId="517DFED0" w14:textId="27BEABD0" w:rsidR="00BF65C1" w:rsidRPr="00A26F61" w:rsidRDefault="002A0165" w:rsidP="00BF65C1">
      <w:pPr>
        <w:tabs>
          <w:tab w:val="left" w:pos="284"/>
          <w:tab w:val="left" w:pos="3402"/>
          <w:tab w:val="left" w:pos="3828"/>
        </w:tabs>
        <w:jc w:val="both"/>
      </w:pPr>
      <w:r w:rsidRPr="00A26F61">
        <w:t>k</w:t>
      </w:r>
      <w:r w:rsidR="00221877" w:rsidRPr="00A26F61">
        <w:t xml:space="preserve"> vládnemu </w:t>
      </w:r>
      <w:r w:rsidR="00BF65C1" w:rsidRPr="00A26F61">
        <w:rPr>
          <w:shd w:val="clear" w:color="auto" w:fill="FFFFFF"/>
        </w:rPr>
        <w:t xml:space="preserve">návrhu zákona, ktorým sa mení a dopĺňa </w:t>
      </w:r>
      <w:r w:rsidR="00BF65C1" w:rsidRPr="00A26F61">
        <w:rPr>
          <w:b/>
          <w:shd w:val="clear" w:color="auto" w:fill="FFFFFF"/>
        </w:rPr>
        <w:t>zákon č. 187/2021 Z. z. o ochrane hospodárskej súťaže</w:t>
      </w:r>
      <w:r w:rsidR="00BF65C1" w:rsidRPr="00A26F61">
        <w:rPr>
          <w:shd w:val="clear" w:color="auto" w:fill="FFFFFF"/>
        </w:rPr>
        <w:t xml:space="preserve"> a o zmene a doplnení niektorých zákonov v znení zákona č. 309/2023 Z. z. (tlač 103)</w:t>
      </w:r>
    </w:p>
    <w:p w14:paraId="1E20270E" w14:textId="7FB1926E" w:rsidR="001B3AED" w:rsidRPr="00A26F61" w:rsidRDefault="001B3AED" w:rsidP="00BC1C98">
      <w:pPr>
        <w:pStyle w:val="Bezriadkovania"/>
      </w:pPr>
    </w:p>
    <w:p w14:paraId="5A4B83D7" w14:textId="77777777" w:rsidR="00221877" w:rsidRPr="00A26F61" w:rsidRDefault="00221877" w:rsidP="00BC1C98">
      <w:pPr>
        <w:pStyle w:val="Bezriadkovania"/>
      </w:pPr>
    </w:p>
    <w:p w14:paraId="4A0A293F" w14:textId="77777777" w:rsidR="00BC1C98" w:rsidRPr="00A26F61" w:rsidRDefault="00BC1C98" w:rsidP="00BC1C98">
      <w:pPr>
        <w:tabs>
          <w:tab w:val="left" w:pos="284"/>
          <w:tab w:val="left" w:pos="851"/>
          <w:tab w:val="left" w:pos="3402"/>
        </w:tabs>
        <w:jc w:val="both"/>
        <w:rPr>
          <w:b/>
          <w:lang w:eastAsia="en-US"/>
        </w:rPr>
      </w:pPr>
      <w:r w:rsidRPr="00A26F61">
        <w:tab/>
      </w:r>
      <w:r w:rsidRPr="00A26F61">
        <w:tab/>
      </w:r>
      <w:r w:rsidRPr="00A26F61">
        <w:rPr>
          <w:b/>
        </w:rPr>
        <w:t>Ústavnoprávny výbor Národnej rady Slovenskej republiky</w:t>
      </w:r>
    </w:p>
    <w:p w14:paraId="02DD2670" w14:textId="77777777" w:rsidR="00BC1C98" w:rsidRPr="00A26F61" w:rsidRDefault="00BC1C98" w:rsidP="00BC1C98">
      <w:pPr>
        <w:tabs>
          <w:tab w:val="left" w:pos="851"/>
          <w:tab w:val="left" w:pos="993"/>
        </w:tabs>
        <w:jc w:val="both"/>
        <w:rPr>
          <w:b/>
        </w:rPr>
      </w:pPr>
    </w:p>
    <w:p w14:paraId="79185447" w14:textId="77777777" w:rsidR="00BC1C98" w:rsidRPr="00A26F61" w:rsidRDefault="00BC1C98" w:rsidP="00BC1C98">
      <w:pPr>
        <w:tabs>
          <w:tab w:val="left" w:pos="851"/>
          <w:tab w:val="left" w:pos="993"/>
          <w:tab w:val="left" w:pos="1276"/>
        </w:tabs>
        <w:jc w:val="both"/>
        <w:rPr>
          <w:lang w:eastAsia="en-US"/>
        </w:rPr>
      </w:pPr>
      <w:r w:rsidRPr="00A26F61">
        <w:rPr>
          <w:b/>
        </w:rPr>
        <w:tab/>
        <w:t>A.   s ú h l a s í</w:t>
      </w:r>
    </w:p>
    <w:p w14:paraId="35660D79" w14:textId="77777777" w:rsidR="00BC1C98" w:rsidRPr="00A26F61" w:rsidRDefault="00BC1C98" w:rsidP="00BC1C98">
      <w:pPr>
        <w:tabs>
          <w:tab w:val="left" w:pos="284"/>
          <w:tab w:val="left" w:pos="851"/>
          <w:tab w:val="left" w:pos="1276"/>
        </w:tabs>
        <w:jc w:val="both"/>
      </w:pPr>
    </w:p>
    <w:p w14:paraId="08FE6505" w14:textId="5C2CC463" w:rsidR="00BF65C1" w:rsidRPr="00A26F61" w:rsidRDefault="00BC1C98" w:rsidP="00BF65C1">
      <w:pPr>
        <w:tabs>
          <w:tab w:val="left" w:pos="1276"/>
        </w:tabs>
        <w:jc w:val="both"/>
      </w:pPr>
      <w:r w:rsidRPr="00A26F61">
        <w:tab/>
        <w:t>s </w:t>
      </w:r>
      <w:r w:rsidR="00D737BD" w:rsidRPr="00A26F61">
        <w:t>vládnym návrhom zákona,</w:t>
      </w:r>
      <w:r w:rsidR="00BF65C1" w:rsidRPr="00A26F61">
        <w:t xml:space="preserve"> </w:t>
      </w:r>
      <w:r w:rsidR="00BF65C1" w:rsidRPr="00A26F61">
        <w:rPr>
          <w:shd w:val="clear" w:color="auto" w:fill="FFFFFF"/>
        </w:rPr>
        <w:t>ktorým sa mení a dopĺňa zákon č. 187/2021 Z. z. o</w:t>
      </w:r>
      <w:r w:rsidR="00E03E59" w:rsidRPr="00A26F61">
        <w:rPr>
          <w:shd w:val="clear" w:color="auto" w:fill="FFFFFF"/>
        </w:rPr>
        <w:t xml:space="preserve"> </w:t>
      </w:r>
      <w:r w:rsidR="00BF65C1" w:rsidRPr="00A26F61">
        <w:rPr>
          <w:shd w:val="clear" w:color="auto" w:fill="FFFFFF"/>
        </w:rPr>
        <w:t>ochrane hospodárskej súťaže a o zmene a doplnení niektorých zákonov v znení zákona č.  309/2023 Z. z. (tlač 103);</w:t>
      </w:r>
    </w:p>
    <w:p w14:paraId="06E64218" w14:textId="2276214C" w:rsidR="00BC1C98" w:rsidRPr="00A26F61" w:rsidRDefault="00BC1C98" w:rsidP="00BC1C98">
      <w:pPr>
        <w:tabs>
          <w:tab w:val="left" w:pos="1276"/>
        </w:tabs>
        <w:jc w:val="both"/>
      </w:pPr>
    </w:p>
    <w:p w14:paraId="4A82503C" w14:textId="77777777" w:rsidR="00BC1C98" w:rsidRPr="00A26F61" w:rsidRDefault="00BC1C98" w:rsidP="00BC1C98">
      <w:pPr>
        <w:tabs>
          <w:tab w:val="left" w:pos="709"/>
          <w:tab w:val="left" w:pos="851"/>
          <w:tab w:val="left" w:pos="993"/>
          <w:tab w:val="left" w:pos="1276"/>
        </w:tabs>
        <w:jc w:val="both"/>
        <w:rPr>
          <w:b/>
        </w:rPr>
      </w:pPr>
      <w:r w:rsidRPr="00A26F61">
        <w:tab/>
      </w:r>
      <w:r w:rsidRPr="00A26F61">
        <w:tab/>
      </w:r>
      <w:r w:rsidRPr="00A26F61">
        <w:rPr>
          <w:b/>
        </w:rPr>
        <w:t>B.  o d p o r ú č a</w:t>
      </w:r>
    </w:p>
    <w:p w14:paraId="044CEC83" w14:textId="77777777" w:rsidR="00BC1C98" w:rsidRPr="00A26F61" w:rsidRDefault="00BC1C98" w:rsidP="00BC1C98">
      <w:pPr>
        <w:tabs>
          <w:tab w:val="left" w:pos="709"/>
          <w:tab w:val="left" w:pos="851"/>
          <w:tab w:val="left" w:pos="993"/>
          <w:tab w:val="left" w:pos="1276"/>
        </w:tabs>
        <w:jc w:val="both"/>
        <w:rPr>
          <w:b/>
        </w:rPr>
      </w:pPr>
    </w:p>
    <w:p w14:paraId="161A017C" w14:textId="77777777" w:rsidR="00BC1C98" w:rsidRPr="00A26F61" w:rsidRDefault="00BC1C98" w:rsidP="00BC1C98">
      <w:pPr>
        <w:tabs>
          <w:tab w:val="left" w:pos="709"/>
          <w:tab w:val="left" w:pos="851"/>
          <w:tab w:val="left" w:pos="993"/>
          <w:tab w:val="left" w:pos="1276"/>
        </w:tabs>
        <w:jc w:val="both"/>
      </w:pPr>
      <w:r w:rsidRPr="00A26F61">
        <w:rPr>
          <w:b/>
        </w:rPr>
        <w:tab/>
      </w:r>
      <w:r w:rsidRPr="00A26F61">
        <w:rPr>
          <w:b/>
        </w:rPr>
        <w:tab/>
      </w:r>
      <w:r w:rsidRPr="00A26F61">
        <w:rPr>
          <w:b/>
        </w:rPr>
        <w:tab/>
        <w:t xml:space="preserve">    </w:t>
      </w:r>
      <w:r w:rsidRPr="00A26F61">
        <w:t>Národnej rade Slovenskej republiky</w:t>
      </w:r>
    </w:p>
    <w:p w14:paraId="7EB7A5BE" w14:textId="77777777" w:rsidR="00BC1C98" w:rsidRPr="00A26F61" w:rsidRDefault="00BC1C98" w:rsidP="00BC1C98">
      <w:pPr>
        <w:tabs>
          <w:tab w:val="left" w:pos="709"/>
          <w:tab w:val="left" w:pos="851"/>
          <w:tab w:val="left" w:pos="993"/>
          <w:tab w:val="left" w:pos="1276"/>
        </w:tabs>
        <w:jc w:val="both"/>
      </w:pPr>
    </w:p>
    <w:p w14:paraId="4917F09A" w14:textId="740F3D4B" w:rsidR="00BC1C98" w:rsidRPr="00A26F61" w:rsidRDefault="00BC1C98" w:rsidP="002A0165">
      <w:pPr>
        <w:jc w:val="both"/>
        <w:rPr>
          <w:noProof/>
        </w:rPr>
      </w:pPr>
      <w:r w:rsidRPr="00A26F61">
        <w:rPr>
          <w:noProof/>
        </w:rPr>
        <w:tab/>
      </w:r>
      <w:r w:rsidR="002A0165" w:rsidRPr="00A26F61">
        <w:rPr>
          <w:noProof/>
        </w:rPr>
        <w:t xml:space="preserve">         </w:t>
      </w:r>
      <w:r w:rsidR="00D737BD" w:rsidRPr="00A26F61">
        <w:rPr>
          <w:noProof/>
        </w:rPr>
        <w:t xml:space="preserve">vládny návrh zákona, </w:t>
      </w:r>
      <w:r w:rsidR="001C650A" w:rsidRPr="00A26F61">
        <w:rPr>
          <w:shd w:val="clear" w:color="auto" w:fill="FFFFFF"/>
        </w:rPr>
        <w:t>ktorým sa mení a d</w:t>
      </w:r>
      <w:r w:rsidR="001C2596" w:rsidRPr="00A26F61">
        <w:rPr>
          <w:shd w:val="clear" w:color="auto" w:fill="FFFFFF"/>
        </w:rPr>
        <w:t xml:space="preserve">opĺňa zákon č. 187/2021 Z. z. o </w:t>
      </w:r>
      <w:r w:rsidR="001C650A" w:rsidRPr="00A26F61">
        <w:rPr>
          <w:shd w:val="clear" w:color="auto" w:fill="FFFFFF"/>
        </w:rPr>
        <w:t>ochrane hospodárskej súťaže a o zmene a doplnení niektorých zákonov v znení zákona č. 309/2023 Z. z. (tlač 103)</w:t>
      </w:r>
      <w:r w:rsidRPr="00A26F61">
        <w:rPr>
          <w:shd w:val="clear" w:color="auto" w:fill="FFFFFF"/>
        </w:rPr>
        <w:t xml:space="preserve"> </w:t>
      </w:r>
      <w:r w:rsidRPr="00A26F61">
        <w:rPr>
          <w:b/>
          <w:bCs/>
        </w:rPr>
        <w:t xml:space="preserve">schváliť </w:t>
      </w:r>
      <w:r w:rsidR="002A0165" w:rsidRPr="00A26F61">
        <w:rPr>
          <w:bCs/>
        </w:rPr>
        <w:t xml:space="preserve">so zmenami a doplnkami uvedenými v prílohe tohto uznesenia; </w:t>
      </w:r>
    </w:p>
    <w:p w14:paraId="40E001F9" w14:textId="77777777" w:rsidR="002A0165" w:rsidRPr="00A26F61" w:rsidRDefault="002A0165" w:rsidP="002A0165">
      <w:pPr>
        <w:tabs>
          <w:tab w:val="left" w:pos="1276"/>
        </w:tabs>
        <w:jc w:val="both"/>
      </w:pPr>
    </w:p>
    <w:p w14:paraId="086DF7B3" w14:textId="77777777" w:rsidR="00BC1C98" w:rsidRPr="00A26F61" w:rsidRDefault="00BC1C98" w:rsidP="00BC1C98">
      <w:pPr>
        <w:tabs>
          <w:tab w:val="left" w:pos="1134"/>
          <w:tab w:val="left" w:pos="1276"/>
        </w:tabs>
        <w:ind w:firstLine="708"/>
        <w:rPr>
          <w:b/>
        </w:rPr>
      </w:pPr>
      <w:r w:rsidRPr="00A26F61">
        <w:rPr>
          <w:b/>
        </w:rPr>
        <w:t> C.</w:t>
      </w:r>
      <w:r w:rsidRPr="00A26F61">
        <w:rPr>
          <w:b/>
        </w:rPr>
        <w:tab/>
        <w:t>p o v e r u j e</w:t>
      </w:r>
    </w:p>
    <w:p w14:paraId="7DC44B17" w14:textId="77777777" w:rsidR="00BC1C98" w:rsidRPr="00A26F61" w:rsidRDefault="00BC1C98" w:rsidP="00BC1C98">
      <w:pPr>
        <w:pStyle w:val="Zkladntext"/>
        <w:tabs>
          <w:tab w:val="left" w:pos="1134"/>
          <w:tab w:val="left" w:pos="1276"/>
        </w:tabs>
      </w:pPr>
      <w:r w:rsidRPr="00A26F61">
        <w:tab/>
      </w:r>
    </w:p>
    <w:p w14:paraId="6E81B2FB" w14:textId="77777777" w:rsidR="00BC1C98" w:rsidRPr="00A26F61" w:rsidRDefault="00BC1C98" w:rsidP="00BC1C98">
      <w:pPr>
        <w:pStyle w:val="Zkladntext"/>
        <w:tabs>
          <w:tab w:val="left" w:pos="1134"/>
          <w:tab w:val="left" w:pos="1276"/>
        </w:tabs>
      </w:pPr>
      <w:r w:rsidRPr="00A26F61">
        <w:tab/>
        <w:t xml:space="preserve">  predsedu výboru</w:t>
      </w:r>
    </w:p>
    <w:p w14:paraId="00BC2A51" w14:textId="77777777" w:rsidR="00BC1C98" w:rsidRPr="00A26F61" w:rsidRDefault="00BC1C98" w:rsidP="00BC1C98">
      <w:pPr>
        <w:pStyle w:val="Zkladntext"/>
        <w:tabs>
          <w:tab w:val="left" w:pos="1134"/>
          <w:tab w:val="left" w:pos="1276"/>
        </w:tabs>
      </w:pPr>
    </w:p>
    <w:p w14:paraId="4DB024E4" w14:textId="5F4FD6B2" w:rsidR="00BC1C98" w:rsidRPr="00A26F61" w:rsidRDefault="00BC1C98" w:rsidP="00BC1C98">
      <w:pPr>
        <w:pStyle w:val="Zkladntext"/>
        <w:tabs>
          <w:tab w:val="left" w:pos="1134"/>
          <w:tab w:val="left" w:pos="1276"/>
        </w:tabs>
      </w:pPr>
      <w:r w:rsidRPr="00A26F61">
        <w:tab/>
      </w:r>
      <w:r w:rsidRPr="00A26F61">
        <w:tab/>
        <w:t xml:space="preserve">predložiť stanovisko výboru k uvedenému návrhu zákona predsedovi gestorského Výboru Národnej rady Slovenskej republiky </w:t>
      </w:r>
      <w:r w:rsidR="002A0165" w:rsidRPr="00A26F61">
        <w:t xml:space="preserve">pre </w:t>
      </w:r>
      <w:r w:rsidR="00BB4EDF" w:rsidRPr="00A26F61">
        <w:t xml:space="preserve">hospodárske záležitosti. </w:t>
      </w:r>
    </w:p>
    <w:p w14:paraId="798412E5" w14:textId="0400C787" w:rsidR="00BC1C98" w:rsidRPr="00A26F61" w:rsidRDefault="00BC1C98" w:rsidP="00BC1C98">
      <w:pPr>
        <w:pStyle w:val="Zkladntext"/>
        <w:tabs>
          <w:tab w:val="left" w:pos="1134"/>
          <w:tab w:val="left" w:pos="1276"/>
        </w:tabs>
      </w:pPr>
    </w:p>
    <w:p w14:paraId="2CF34668" w14:textId="77777777" w:rsidR="00877427" w:rsidRPr="00A26F61" w:rsidRDefault="00877427" w:rsidP="00BC1C98">
      <w:pPr>
        <w:pStyle w:val="Zkladntext"/>
        <w:tabs>
          <w:tab w:val="left" w:pos="1134"/>
          <w:tab w:val="left" w:pos="1276"/>
        </w:tabs>
      </w:pPr>
    </w:p>
    <w:bookmarkEnd w:id="0"/>
    <w:p w14:paraId="52486DAC" w14:textId="77777777" w:rsidR="008D7E05" w:rsidRPr="00A26F61" w:rsidRDefault="008D7E05" w:rsidP="008D7E05">
      <w:pPr>
        <w:jc w:val="both"/>
        <w:rPr>
          <w:szCs w:val="20"/>
        </w:rPr>
      </w:pPr>
    </w:p>
    <w:p w14:paraId="3FA44E9A" w14:textId="77777777" w:rsidR="008D7E05" w:rsidRPr="00A26F61" w:rsidRDefault="008D7E05" w:rsidP="008D7E05">
      <w:pPr>
        <w:jc w:val="both"/>
      </w:pPr>
      <w:r w:rsidRPr="00A26F61">
        <w:tab/>
      </w:r>
      <w:r w:rsidRPr="00A26F61">
        <w:tab/>
      </w:r>
      <w:r w:rsidRPr="00A26F61">
        <w:tab/>
      </w:r>
      <w:r w:rsidRPr="00A26F61">
        <w:tab/>
      </w:r>
      <w:r w:rsidRPr="00A26F61">
        <w:tab/>
      </w:r>
      <w:r w:rsidRPr="00A26F61">
        <w:tab/>
      </w:r>
      <w:r w:rsidRPr="00A26F61">
        <w:tab/>
      </w:r>
      <w:r w:rsidRPr="00A26F61">
        <w:tab/>
      </w:r>
      <w:r w:rsidRPr="00A26F61">
        <w:tab/>
      </w:r>
      <w:r w:rsidRPr="00A26F61">
        <w:tab/>
        <w:t xml:space="preserve">Miroslav Čellár </w:t>
      </w:r>
    </w:p>
    <w:p w14:paraId="1D685219" w14:textId="77777777" w:rsidR="008D7E05" w:rsidRPr="00A26F61" w:rsidRDefault="008D7E05" w:rsidP="008D7E05">
      <w:pPr>
        <w:jc w:val="both"/>
        <w:rPr>
          <w:szCs w:val="20"/>
        </w:rPr>
      </w:pPr>
      <w:r w:rsidRPr="00A26F61">
        <w:t xml:space="preserve">                                                                                                                       predseda výboru</w:t>
      </w:r>
    </w:p>
    <w:p w14:paraId="46224EFD" w14:textId="77777777" w:rsidR="008D7E05" w:rsidRPr="00A26F61" w:rsidRDefault="008D7E05" w:rsidP="008D7E05">
      <w:pPr>
        <w:tabs>
          <w:tab w:val="left" w:pos="1021"/>
        </w:tabs>
        <w:jc w:val="both"/>
      </w:pPr>
    </w:p>
    <w:p w14:paraId="2D3D2BCF" w14:textId="77777777" w:rsidR="008D7E05" w:rsidRPr="00A26F61" w:rsidRDefault="008D7E05" w:rsidP="008D7E05">
      <w:pPr>
        <w:tabs>
          <w:tab w:val="left" w:pos="1021"/>
        </w:tabs>
        <w:jc w:val="both"/>
      </w:pPr>
      <w:r w:rsidRPr="00A26F61">
        <w:t>overovatelia výboru:</w:t>
      </w:r>
    </w:p>
    <w:p w14:paraId="1EC66D42" w14:textId="77777777" w:rsidR="008D7E05" w:rsidRPr="00A26F61" w:rsidRDefault="008D7E05" w:rsidP="008D7E05">
      <w:r w:rsidRPr="00A26F61">
        <w:t>Štefan Gašparovič</w:t>
      </w:r>
    </w:p>
    <w:p w14:paraId="3D5A3446" w14:textId="77777777" w:rsidR="008D7E05" w:rsidRPr="00A26F61" w:rsidRDefault="008D7E05" w:rsidP="008D7E05">
      <w:r w:rsidRPr="00A26F61">
        <w:t xml:space="preserve">Branislav Vančo </w:t>
      </w:r>
    </w:p>
    <w:p w14:paraId="0F887CA6" w14:textId="77777777" w:rsidR="002A0165" w:rsidRPr="00A26F61" w:rsidRDefault="002A0165" w:rsidP="002A0165">
      <w:pPr>
        <w:pStyle w:val="Nadpis2"/>
        <w:jc w:val="left"/>
      </w:pPr>
      <w:r w:rsidRPr="00A26F61">
        <w:lastRenderedPageBreak/>
        <w:t>P r í l o h a</w:t>
      </w:r>
    </w:p>
    <w:p w14:paraId="02229751" w14:textId="77777777" w:rsidR="002A0165" w:rsidRPr="00A26F61" w:rsidRDefault="002A0165" w:rsidP="002A0165">
      <w:pPr>
        <w:ind w:left="4253" w:firstLine="708"/>
        <w:jc w:val="both"/>
        <w:rPr>
          <w:b/>
          <w:bCs/>
        </w:rPr>
      </w:pPr>
      <w:r w:rsidRPr="00A26F61">
        <w:rPr>
          <w:b/>
          <w:bCs/>
        </w:rPr>
        <w:t xml:space="preserve">k uzneseniu Ústavnoprávneho </w:t>
      </w:r>
    </w:p>
    <w:p w14:paraId="0413BBF2" w14:textId="127B2D56" w:rsidR="002A0165" w:rsidRPr="00A26F61" w:rsidRDefault="002A0165" w:rsidP="002A0165">
      <w:pPr>
        <w:ind w:left="4253" w:firstLine="708"/>
        <w:jc w:val="both"/>
        <w:rPr>
          <w:b/>
        </w:rPr>
      </w:pPr>
      <w:r w:rsidRPr="00A26F61">
        <w:rPr>
          <w:b/>
        </w:rPr>
        <w:t>výboru Národnej rady SR č.</w:t>
      </w:r>
      <w:r w:rsidR="0023411B" w:rsidRPr="00A26F61">
        <w:rPr>
          <w:b/>
        </w:rPr>
        <w:t xml:space="preserve"> </w:t>
      </w:r>
      <w:r w:rsidR="00A26F61" w:rsidRPr="00A26F61">
        <w:rPr>
          <w:b/>
        </w:rPr>
        <w:t>59</w:t>
      </w:r>
    </w:p>
    <w:p w14:paraId="041DEB44" w14:textId="0CA14EDC" w:rsidR="002A0165" w:rsidRPr="00A26F61" w:rsidRDefault="002A0165" w:rsidP="002A0165">
      <w:pPr>
        <w:ind w:left="4253" w:firstLine="708"/>
        <w:jc w:val="both"/>
        <w:rPr>
          <w:b/>
        </w:rPr>
      </w:pPr>
      <w:r w:rsidRPr="00A26F61">
        <w:rPr>
          <w:b/>
        </w:rPr>
        <w:t>z</w:t>
      </w:r>
      <w:r w:rsidR="00435CBB" w:rsidRPr="00A26F61">
        <w:rPr>
          <w:b/>
        </w:rPr>
        <w:t> </w:t>
      </w:r>
      <w:r w:rsidR="000B62F4" w:rsidRPr="00A26F61">
        <w:rPr>
          <w:b/>
        </w:rPr>
        <w:t>11</w:t>
      </w:r>
      <w:r w:rsidR="0029766F" w:rsidRPr="00A26F61">
        <w:rPr>
          <w:b/>
        </w:rPr>
        <w:t>. apríla 2</w:t>
      </w:r>
      <w:r w:rsidRPr="00A26F61">
        <w:rPr>
          <w:b/>
        </w:rPr>
        <w:t>02</w:t>
      </w:r>
      <w:r w:rsidR="000E174A" w:rsidRPr="00A26F61">
        <w:rPr>
          <w:b/>
        </w:rPr>
        <w:t>4</w:t>
      </w:r>
    </w:p>
    <w:p w14:paraId="0AD74A97" w14:textId="77777777" w:rsidR="002A0165" w:rsidRPr="00A26F61" w:rsidRDefault="002A0165" w:rsidP="002A0165">
      <w:pPr>
        <w:ind w:left="4253" w:firstLine="703"/>
        <w:jc w:val="both"/>
        <w:rPr>
          <w:b/>
          <w:bCs/>
          <w:lang w:eastAsia="en-US"/>
        </w:rPr>
      </w:pPr>
      <w:r w:rsidRPr="00A26F61">
        <w:rPr>
          <w:b/>
          <w:bCs/>
        </w:rPr>
        <w:t>____________________________</w:t>
      </w:r>
    </w:p>
    <w:p w14:paraId="0055449A" w14:textId="77777777" w:rsidR="002A0165" w:rsidRPr="00A26F61" w:rsidRDefault="002A0165" w:rsidP="002A0165">
      <w:pPr>
        <w:jc w:val="center"/>
        <w:rPr>
          <w:lang w:eastAsia="en-US"/>
        </w:rPr>
      </w:pPr>
    </w:p>
    <w:p w14:paraId="623567EE" w14:textId="206BF619" w:rsidR="002A0165" w:rsidRPr="00A26F61" w:rsidRDefault="002A0165" w:rsidP="002A0165">
      <w:pPr>
        <w:jc w:val="center"/>
        <w:rPr>
          <w:lang w:eastAsia="en-US"/>
        </w:rPr>
      </w:pPr>
    </w:p>
    <w:p w14:paraId="68CCD2BB" w14:textId="14BD2BE0" w:rsidR="00A31C26" w:rsidRPr="00A26F61" w:rsidRDefault="00A31C26" w:rsidP="002A0165">
      <w:pPr>
        <w:jc w:val="center"/>
        <w:rPr>
          <w:lang w:eastAsia="en-US"/>
        </w:rPr>
      </w:pPr>
    </w:p>
    <w:p w14:paraId="3848DEFB" w14:textId="5E9F1C46" w:rsidR="00A31C26" w:rsidRPr="00A26F61" w:rsidRDefault="00A31C26" w:rsidP="002A0165">
      <w:pPr>
        <w:jc w:val="center"/>
        <w:rPr>
          <w:lang w:eastAsia="en-US"/>
        </w:rPr>
      </w:pPr>
    </w:p>
    <w:p w14:paraId="190C8226" w14:textId="77777777" w:rsidR="00A31C26" w:rsidRPr="00A26F61" w:rsidRDefault="00A31C26" w:rsidP="002A0165">
      <w:pPr>
        <w:jc w:val="center"/>
        <w:rPr>
          <w:lang w:eastAsia="en-US"/>
        </w:rPr>
      </w:pPr>
    </w:p>
    <w:p w14:paraId="35E0F58D" w14:textId="77777777" w:rsidR="002A0165" w:rsidRPr="00A26F61" w:rsidRDefault="002A0165" w:rsidP="002A0165">
      <w:pPr>
        <w:rPr>
          <w:lang w:eastAsia="en-US"/>
        </w:rPr>
      </w:pPr>
    </w:p>
    <w:p w14:paraId="2BE6491F" w14:textId="41864F0D" w:rsidR="002A0165" w:rsidRPr="00A26F61" w:rsidRDefault="002A0165" w:rsidP="002A0165">
      <w:pPr>
        <w:rPr>
          <w:lang w:eastAsia="en-US"/>
        </w:rPr>
      </w:pPr>
    </w:p>
    <w:p w14:paraId="3C8FE741" w14:textId="77777777" w:rsidR="002A0165" w:rsidRPr="00A26F61" w:rsidRDefault="002A0165" w:rsidP="002A0165">
      <w:pPr>
        <w:pStyle w:val="Nadpis2"/>
        <w:ind w:left="0" w:firstLine="0"/>
        <w:jc w:val="center"/>
      </w:pPr>
      <w:r w:rsidRPr="00A26F61">
        <w:t>Pozmeňujúce a doplňujúce návrhy</w:t>
      </w:r>
    </w:p>
    <w:p w14:paraId="77A77CE8" w14:textId="77777777" w:rsidR="002A0165" w:rsidRPr="00A26F61" w:rsidRDefault="002A0165" w:rsidP="002A0165">
      <w:pPr>
        <w:jc w:val="center"/>
      </w:pPr>
    </w:p>
    <w:p w14:paraId="6D6DA120" w14:textId="4BD7D70B" w:rsidR="0029766F" w:rsidRPr="00A26F61" w:rsidRDefault="009E0869" w:rsidP="0029766F">
      <w:pPr>
        <w:tabs>
          <w:tab w:val="left" w:pos="284"/>
          <w:tab w:val="left" w:pos="3402"/>
          <w:tab w:val="left" w:pos="3828"/>
        </w:tabs>
        <w:jc w:val="both"/>
        <w:rPr>
          <w:b/>
        </w:rPr>
      </w:pPr>
      <w:r w:rsidRPr="00A26F61">
        <w:rPr>
          <w:b/>
        </w:rPr>
        <w:t>k vládnemu návrhu zákona,</w:t>
      </w:r>
      <w:r w:rsidR="0029766F" w:rsidRPr="00A26F61">
        <w:rPr>
          <w:b/>
        </w:rPr>
        <w:t xml:space="preserve"> </w:t>
      </w:r>
      <w:r w:rsidR="0029766F" w:rsidRPr="00A26F61">
        <w:rPr>
          <w:b/>
          <w:shd w:val="clear" w:color="auto" w:fill="FFFFFF"/>
        </w:rPr>
        <w:t>ktorým sa mení a dopĺňa zákon č. 187/2021 Z. z. o ochrane hospodárskej súťaže a o zmene a doplnení niektorých zákonov v znení zákona č. 309/2023 Z. z. (tlač 103)</w:t>
      </w:r>
    </w:p>
    <w:p w14:paraId="2BDB020B" w14:textId="316AF937" w:rsidR="002A0165" w:rsidRPr="00A26F61" w:rsidRDefault="002A0165" w:rsidP="002A0165">
      <w:pPr>
        <w:tabs>
          <w:tab w:val="left" w:pos="284"/>
          <w:tab w:val="left" w:pos="3402"/>
          <w:tab w:val="left" w:pos="3828"/>
        </w:tabs>
        <w:jc w:val="both"/>
        <w:rPr>
          <w:b/>
          <w:bCs/>
        </w:rPr>
      </w:pPr>
      <w:r w:rsidRPr="00A26F61">
        <w:rPr>
          <w:b/>
          <w:bCs/>
        </w:rPr>
        <w:t>___________________________________________________________________________</w:t>
      </w:r>
    </w:p>
    <w:p w14:paraId="0BEA38F1" w14:textId="5D70C183" w:rsidR="002A0165" w:rsidRPr="00A26F61" w:rsidRDefault="002A0165" w:rsidP="00013802">
      <w:pPr>
        <w:pStyle w:val="Zarkazkladnhotextu"/>
        <w:tabs>
          <w:tab w:val="left" w:pos="0"/>
        </w:tabs>
        <w:spacing w:after="0"/>
        <w:ind w:left="0"/>
        <w:jc w:val="both"/>
        <w:rPr>
          <w:b/>
          <w:bCs/>
          <w:szCs w:val="24"/>
        </w:rPr>
      </w:pPr>
    </w:p>
    <w:p w14:paraId="49BCACD0" w14:textId="58BC1C8C" w:rsidR="006454C5" w:rsidRPr="00A26F61" w:rsidRDefault="006454C5" w:rsidP="00013802">
      <w:pPr>
        <w:pStyle w:val="Zarkazkladnhotextu"/>
        <w:tabs>
          <w:tab w:val="left" w:pos="0"/>
        </w:tabs>
        <w:spacing w:after="0"/>
        <w:ind w:left="0"/>
        <w:jc w:val="both"/>
        <w:rPr>
          <w:b/>
          <w:bCs/>
          <w:szCs w:val="24"/>
        </w:rPr>
      </w:pPr>
    </w:p>
    <w:p w14:paraId="43A00AD0" w14:textId="6DCBB33D" w:rsidR="00A26F61" w:rsidRPr="00A26F61" w:rsidRDefault="00A26F61" w:rsidP="00013802">
      <w:pPr>
        <w:pStyle w:val="Zarkazkladnhotextu"/>
        <w:tabs>
          <w:tab w:val="left" w:pos="0"/>
        </w:tabs>
        <w:spacing w:after="0"/>
        <w:ind w:left="0"/>
        <w:jc w:val="both"/>
        <w:rPr>
          <w:b/>
          <w:bCs/>
          <w:szCs w:val="24"/>
        </w:rPr>
      </w:pPr>
    </w:p>
    <w:p w14:paraId="5DA06278" w14:textId="46163188" w:rsidR="00A26F61" w:rsidRPr="00A26F61" w:rsidRDefault="00A26F61" w:rsidP="00A26F61">
      <w:pPr>
        <w:pStyle w:val="Odsekzoznamu"/>
        <w:numPr>
          <w:ilvl w:val="0"/>
          <w:numId w:val="15"/>
        </w:numPr>
        <w:ind w:left="284" w:hanging="284"/>
        <w:jc w:val="both"/>
        <w:rPr>
          <w:rFonts w:ascii="Times New Roman" w:hAnsi="Times New Roman"/>
          <w:sz w:val="24"/>
          <w:szCs w:val="24"/>
        </w:rPr>
      </w:pPr>
      <w:r w:rsidRPr="00A26F61">
        <w:rPr>
          <w:rFonts w:ascii="Times New Roman" w:hAnsi="Times New Roman"/>
          <w:sz w:val="24"/>
          <w:szCs w:val="24"/>
        </w:rPr>
        <w:t>Za článok I sa vkladá nový článok II, ktorý znie:</w:t>
      </w:r>
    </w:p>
    <w:p w14:paraId="13975718" w14:textId="77777777" w:rsidR="00A26F61" w:rsidRPr="00A26F61" w:rsidRDefault="00A26F61" w:rsidP="00A26F61">
      <w:pPr>
        <w:jc w:val="center"/>
      </w:pPr>
      <w:r w:rsidRPr="00A26F61">
        <w:t>„Čl. II</w:t>
      </w:r>
    </w:p>
    <w:p w14:paraId="2FF4DEA7" w14:textId="77777777" w:rsidR="00A26F61" w:rsidRPr="00A26F61" w:rsidRDefault="00A26F61" w:rsidP="00A26F61">
      <w:pPr>
        <w:jc w:val="center"/>
      </w:pPr>
    </w:p>
    <w:p w14:paraId="600E8994" w14:textId="05C9210C" w:rsidR="00A26F61" w:rsidRPr="00A26F61" w:rsidRDefault="00A26F61" w:rsidP="00A26F61">
      <w:pPr>
        <w:ind w:firstLine="283"/>
        <w:jc w:val="both"/>
      </w:pPr>
      <w:r w:rsidRPr="00A26F61">
        <w:t xml:space="preserve">Zákon č. </w:t>
      </w:r>
      <w:bookmarkStart w:id="1" w:name="predpis.nadpis"/>
      <w:r w:rsidRPr="00A26F61">
        <w:rPr>
          <w:rFonts w:eastAsia="Calibri"/>
          <w:bCs/>
        </w:rPr>
        <w:t>368/2021 Z. z. o mechanizme na podporu obnovy a odolnosti a o zmene a doplnení niektorých zákonov v znení zákona č. 431/2021 Z. z., zákona č. 39/2022 Z. z., zák</w:t>
      </w:r>
      <w:r w:rsidR="003E3086">
        <w:rPr>
          <w:rFonts w:eastAsia="Calibri"/>
          <w:bCs/>
        </w:rPr>
        <w:t xml:space="preserve">ona </w:t>
      </w:r>
      <w:r w:rsidRPr="00A26F61">
        <w:rPr>
          <w:rFonts w:eastAsia="Calibri"/>
          <w:bCs/>
        </w:rPr>
        <w:t xml:space="preserve">č. </w:t>
      </w:r>
      <w:r w:rsidR="003E3086">
        <w:rPr>
          <w:rFonts w:eastAsia="Calibri"/>
          <w:bCs/>
        </w:rPr>
        <w:t> </w:t>
      </w:r>
      <w:r w:rsidRPr="00A26F61">
        <w:rPr>
          <w:rFonts w:eastAsia="Calibri"/>
          <w:bCs/>
        </w:rPr>
        <w:t xml:space="preserve">104/2022 Z. z., zákona č. 137/2022 Z. z., zákona č. 208/2022 Z. z., zákona č. 253/2022 Z. z.,  zákona č. 305/2023 Z. z. a zákona č. 7/2024 Z. z. </w:t>
      </w:r>
      <w:r w:rsidRPr="00A26F61">
        <w:t>sa mení a dopĺňa takto:</w:t>
      </w:r>
    </w:p>
    <w:p w14:paraId="28C0D599" w14:textId="77777777" w:rsidR="00A26F61" w:rsidRPr="00A26F61" w:rsidRDefault="00A26F61" w:rsidP="00A26F61"/>
    <w:p w14:paraId="08CF1877" w14:textId="77777777" w:rsidR="00A26F61" w:rsidRPr="00A26F61" w:rsidRDefault="00A26F61" w:rsidP="00A26F61">
      <w:pPr>
        <w:pStyle w:val="Odsekzoznamu"/>
        <w:numPr>
          <w:ilvl w:val="0"/>
          <w:numId w:val="14"/>
        </w:numPr>
        <w:spacing w:before="120"/>
        <w:jc w:val="both"/>
        <w:rPr>
          <w:rFonts w:ascii="Times New Roman" w:hAnsi="Times New Roman"/>
          <w:sz w:val="24"/>
          <w:szCs w:val="24"/>
        </w:rPr>
      </w:pPr>
      <w:bookmarkStart w:id="2" w:name="predpis.clanok-7.odsek-1.oznacenie"/>
      <w:bookmarkEnd w:id="1"/>
      <w:bookmarkEnd w:id="2"/>
      <w:r w:rsidRPr="00A26F61">
        <w:rPr>
          <w:rFonts w:ascii="Times New Roman" w:hAnsi="Times New Roman"/>
          <w:sz w:val="24"/>
          <w:szCs w:val="24"/>
        </w:rPr>
        <w:t>§ 3 sa dopĺňa písmenom g), ktoré znie:</w:t>
      </w:r>
    </w:p>
    <w:p w14:paraId="0BEA4475" w14:textId="77777777" w:rsidR="00A26F61" w:rsidRPr="00A26F61" w:rsidRDefault="00A26F61" w:rsidP="00E70738">
      <w:pPr>
        <w:pStyle w:val="Odsekzoznamu"/>
        <w:spacing w:before="120"/>
        <w:ind w:left="861" w:hanging="152"/>
        <w:jc w:val="both"/>
        <w:rPr>
          <w:rFonts w:ascii="Times New Roman" w:hAnsi="Times New Roman"/>
          <w:sz w:val="24"/>
          <w:szCs w:val="24"/>
        </w:rPr>
      </w:pPr>
      <w:r w:rsidRPr="00A26F61">
        <w:rPr>
          <w:rFonts w:ascii="Times New Roman" w:hAnsi="Times New Roman"/>
          <w:sz w:val="24"/>
          <w:szCs w:val="24"/>
        </w:rPr>
        <w:t>„g) rozhoduje o spôsobe vysporiadania podľa § 9 ods. 6.“.</w:t>
      </w:r>
    </w:p>
    <w:p w14:paraId="3550EAF6" w14:textId="77777777" w:rsidR="00A26F61" w:rsidRPr="00A26F61" w:rsidRDefault="00A26F61" w:rsidP="00A26F61">
      <w:pPr>
        <w:pStyle w:val="Odsekzoznamu"/>
        <w:spacing w:before="120"/>
        <w:ind w:left="861"/>
        <w:jc w:val="both"/>
        <w:rPr>
          <w:rFonts w:ascii="Times New Roman" w:hAnsi="Times New Roman"/>
          <w:sz w:val="24"/>
          <w:szCs w:val="24"/>
        </w:rPr>
      </w:pPr>
    </w:p>
    <w:p w14:paraId="7C52AA84" w14:textId="77777777" w:rsidR="00A26F61" w:rsidRPr="00A26F61" w:rsidRDefault="00A26F61" w:rsidP="00A26F61">
      <w:pPr>
        <w:pStyle w:val="Odsekzoznamu"/>
        <w:numPr>
          <w:ilvl w:val="0"/>
          <w:numId w:val="14"/>
        </w:numPr>
        <w:spacing w:before="120" w:after="0" w:line="240" w:lineRule="auto"/>
        <w:jc w:val="both"/>
        <w:rPr>
          <w:rFonts w:ascii="Times New Roman" w:hAnsi="Times New Roman"/>
          <w:sz w:val="24"/>
          <w:szCs w:val="24"/>
        </w:rPr>
      </w:pPr>
      <w:r w:rsidRPr="00A26F61">
        <w:rPr>
          <w:rFonts w:ascii="Times New Roman" w:hAnsi="Times New Roman"/>
          <w:sz w:val="24"/>
          <w:szCs w:val="24"/>
        </w:rPr>
        <w:t>V § 4 ods. 3 písmeno g) znie:</w:t>
      </w:r>
    </w:p>
    <w:p w14:paraId="0A649147" w14:textId="77777777" w:rsidR="00A26F61" w:rsidRPr="00A26F61" w:rsidRDefault="00A26F61" w:rsidP="00A26F61">
      <w:pPr>
        <w:pStyle w:val="Odsekzoznamu"/>
        <w:spacing w:before="120"/>
        <w:jc w:val="both"/>
        <w:rPr>
          <w:rFonts w:ascii="Times New Roman" w:hAnsi="Times New Roman"/>
          <w:sz w:val="24"/>
          <w:szCs w:val="24"/>
        </w:rPr>
      </w:pPr>
      <w:r w:rsidRPr="00A26F61">
        <w:rPr>
          <w:rFonts w:ascii="Times New Roman" w:hAnsi="Times New Roman"/>
          <w:sz w:val="24"/>
          <w:szCs w:val="24"/>
        </w:rPr>
        <w:t>„g) vydáva záväzné stanovisko k výzve na predkladanie žiadostí o poskytnutie prostriedkov mechanizmu podľa § 15 (ďalej len „výzva“), výzve na predkladanie projektových zámerov podľa § 15a, priamemu vyzvaniu podľa § 13 ods. 1 a zmluve podľa § 19,“.</w:t>
      </w:r>
    </w:p>
    <w:p w14:paraId="4F260611" w14:textId="77777777" w:rsidR="00A26F61" w:rsidRPr="00A26F61" w:rsidRDefault="00A26F61" w:rsidP="00A26F61">
      <w:pPr>
        <w:pStyle w:val="Odsekzoznamu"/>
        <w:spacing w:before="120"/>
        <w:jc w:val="both"/>
        <w:rPr>
          <w:rFonts w:ascii="Times New Roman" w:hAnsi="Times New Roman"/>
          <w:sz w:val="24"/>
          <w:szCs w:val="24"/>
        </w:rPr>
      </w:pPr>
    </w:p>
    <w:p w14:paraId="00C399A3" w14:textId="77777777" w:rsidR="00A26F61" w:rsidRPr="00A26F61" w:rsidRDefault="00A26F61" w:rsidP="00A26F61">
      <w:pPr>
        <w:pStyle w:val="Odsekzoznamu"/>
        <w:numPr>
          <w:ilvl w:val="0"/>
          <w:numId w:val="14"/>
        </w:numPr>
        <w:spacing w:after="0" w:line="240" w:lineRule="auto"/>
        <w:rPr>
          <w:rFonts w:ascii="Times New Roman" w:hAnsi="Times New Roman"/>
          <w:sz w:val="24"/>
          <w:szCs w:val="24"/>
        </w:rPr>
      </w:pPr>
      <w:r w:rsidRPr="00A26F61">
        <w:rPr>
          <w:rFonts w:ascii="Times New Roman" w:hAnsi="Times New Roman"/>
          <w:sz w:val="24"/>
          <w:szCs w:val="24"/>
        </w:rPr>
        <w:t>V 4 ods. 3 sa vypúšťa písmeno h).</w:t>
      </w:r>
    </w:p>
    <w:p w14:paraId="6AE9C56C" w14:textId="77777777" w:rsidR="00A26F61" w:rsidRPr="00A26F61" w:rsidRDefault="00A26F61" w:rsidP="00A26F61">
      <w:pPr>
        <w:pStyle w:val="Odsekzoznamu"/>
        <w:spacing w:before="120"/>
        <w:jc w:val="both"/>
        <w:rPr>
          <w:rFonts w:ascii="Times New Roman" w:hAnsi="Times New Roman"/>
          <w:sz w:val="24"/>
          <w:szCs w:val="24"/>
        </w:rPr>
      </w:pPr>
    </w:p>
    <w:p w14:paraId="2547BDD1" w14:textId="77777777" w:rsidR="00A26F61" w:rsidRPr="00A26F61" w:rsidRDefault="00A26F61" w:rsidP="00A26F61">
      <w:pPr>
        <w:pStyle w:val="Odsekzoznamu"/>
        <w:numPr>
          <w:ilvl w:val="0"/>
          <w:numId w:val="14"/>
        </w:numPr>
        <w:spacing w:before="120"/>
        <w:jc w:val="both"/>
        <w:rPr>
          <w:rFonts w:ascii="Times New Roman" w:hAnsi="Times New Roman"/>
          <w:sz w:val="24"/>
          <w:szCs w:val="24"/>
        </w:rPr>
      </w:pPr>
      <w:r w:rsidRPr="00A26F61">
        <w:rPr>
          <w:rFonts w:ascii="Times New Roman" w:hAnsi="Times New Roman"/>
          <w:sz w:val="24"/>
          <w:szCs w:val="24"/>
        </w:rPr>
        <w:t xml:space="preserve">V § 9 odsek 5 znie: </w:t>
      </w:r>
    </w:p>
    <w:p w14:paraId="4C49CA6D" w14:textId="77777777" w:rsidR="00A26F61" w:rsidRPr="00A26F61" w:rsidRDefault="00A26F61" w:rsidP="0023028F">
      <w:pPr>
        <w:pStyle w:val="Odsekzoznamu"/>
        <w:spacing w:before="120"/>
        <w:ind w:left="709"/>
        <w:jc w:val="both"/>
        <w:rPr>
          <w:rFonts w:ascii="Times New Roman" w:hAnsi="Times New Roman"/>
          <w:sz w:val="24"/>
          <w:szCs w:val="24"/>
        </w:rPr>
      </w:pPr>
      <w:r w:rsidRPr="00A26F61">
        <w:rPr>
          <w:rFonts w:ascii="Times New Roman" w:hAnsi="Times New Roman"/>
          <w:sz w:val="24"/>
          <w:szCs w:val="24"/>
        </w:rPr>
        <w:t>„(5) Prostriedky mechanizmu možno použiť aj v nasledujúcich rozpočtových rokoch až do ich vyčerpania na účely vykonania plánu obnovy.“.</w:t>
      </w:r>
    </w:p>
    <w:p w14:paraId="45E786B9" w14:textId="77777777" w:rsidR="00A26F61" w:rsidRPr="00A26F61" w:rsidRDefault="00A26F61" w:rsidP="0023028F">
      <w:pPr>
        <w:pStyle w:val="Odsekzoznamu"/>
        <w:spacing w:before="120"/>
        <w:ind w:left="709"/>
        <w:jc w:val="both"/>
        <w:rPr>
          <w:rFonts w:ascii="Times New Roman" w:hAnsi="Times New Roman"/>
          <w:sz w:val="24"/>
          <w:szCs w:val="24"/>
        </w:rPr>
      </w:pPr>
    </w:p>
    <w:p w14:paraId="5E2839DA" w14:textId="77777777" w:rsidR="00A26F61" w:rsidRPr="00A26F61" w:rsidRDefault="00A26F61" w:rsidP="0023028F">
      <w:pPr>
        <w:pStyle w:val="Odsekzoznamu"/>
        <w:spacing w:before="120"/>
        <w:ind w:left="709"/>
        <w:jc w:val="both"/>
        <w:rPr>
          <w:rFonts w:ascii="Times New Roman" w:hAnsi="Times New Roman"/>
          <w:sz w:val="24"/>
          <w:szCs w:val="24"/>
        </w:rPr>
      </w:pPr>
      <w:r w:rsidRPr="00A26F61">
        <w:rPr>
          <w:rFonts w:ascii="Times New Roman" w:hAnsi="Times New Roman"/>
          <w:sz w:val="24"/>
          <w:szCs w:val="24"/>
        </w:rPr>
        <w:t>Poznámka pod čiarou k odkazu 16 sa vypúšťa.</w:t>
      </w:r>
    </w:p>
    <w:p w14:paraId="48404772" w14:textId="77777777" w:rsidR="00A26F61" w:rsidRPr="00A26F61" w:rsidRDefault="00A26F61" w:rsidP="00A26F61">
      <w:pPr>
        <w:pStyle w:val="Odsekzoznamu"/>
        <w:spacing w:before="120"/>
        <w:ind w:left="861"/>
        <w:jc w:val="both"/>
        <w:rPr>
          <w:rFonts w:ascii="Times New Roman" w:hAnsi="Times New Roman"/>
          <w:sz w:val="24"/>
          <w:szCs w:val="24"/>
        </w:rPr>
      </w:pPr>
    </w:p>
    <w:p w14:paraId="6501C5CA" w14:textId="77777777" w:rsidR="00A26F61" w:rsidRPr="00A26F61" w:rsidRDefault="00A26F61" w:rsidP="00A26F61">
      <w:pPr>
        <w:pStyle w:val="Odsekzoznamu"/>
        <w:numPr>
          <w:ilvl w:val="0"/>
          <w:numId w:val="14"/>
        </w:numPr>
        <w:spacing w:before="120"/>
        <w:jc w:val="both"/>
        <w:rPr>
          <w:rFonts w:ascii="Times New Roman" w:hAnsi="Times New Roman"/>
          <w:sz w:val="24"/>
          <w:szCs w:val="24"/>
        </w:rPr>
      </w:pPr>
      <w:r w:rsidRPr="00A26F61">
        <w:rPr>
          <w:rFonts w:ascii="Times New Roman" w:hAnsi="Times New Roman"/>
          <w:sz w:val="24"/>
          <w:szCs w:val="24"/>
        </w:rPr>
        <w:lastRenderedPageBreak/>
        <w:t>V § 9 ods. 6 sa na konci bodka nahrádza bodkočiarkou a pripájajú sa tieto slová: „ak nie je možné vysporiadanie vykonať uvedeným spôsobom, rozhodne o spôsobe vysporiadania vláda.“.</w:t>
      </w:r>
    </w:p>
    <w:p w14:paraId="100DCD5F" w14:textId="77777777" w:rsidR="00A26F61" w:rsidRPr="00A26F61" w:rsidRDefault="00A26F61" w:rsidP="00A26F61">
      <w:pPr>
        <w:pStyle w:val="Odsekzoznamu"/>
        <w:spacing w:before="120"/>
        <w:ind w:left="861"/>
        <w:jc w:val="both"/>
        <w:rPr>
          <w:rFonts w:ascii="Times New Roman" w:eastAsia="Times New Roman" w:hAnsi="Times New Roman"/>
          <w:color w:val="000000"/>
          <w:sz w:val="24"/>
          <w:szCs w:val="24"/>
          <w:lang w:eastAsia="sk-SK"/>
        </w:rPr>
      </w:pPr>
    </w:p>
    <w:p w14:paraId="7C8C7A11" w14:textId="77777777" w:rsidR="00A26F61" w:rsidRPr="00A26F61" w:rsidRDefault="00A26F61" w:rsidP="00A26F61">
      <w:pPr>
        <w:pStyle w:val="Odsekzoznamu"/>
        <w:numPr>
          <w:ilvl w:val="0"/>
          <w:numId w:val="14"/>
        </w:numPr>
        <w:jc w:val="both"/>
        <w:rPr>
          <w:rFonts w:ascii="Times New Roman" w:eastAsia="Times New Roman" w:hAnsi="Times New Roman"/>
          <w:color w:val="000000"/>
          <w:sz w:val="24"/>
          <w:szCs w:val="24"/>
          <w:lang w:eastAsia="sk-SK"/>
        </w:rPr>
      </w:pPr>
      <w:r w:rsidRPr="00A26F61">
        <w:rPr>
          <w:rFonts w:ascii="Times New Roman" w:eastAsia="Times New Roman" w:hAnsi="Times New Roman"/>
          <w:color w:val="000000"/>
          <w:sz w:val="24"/>
          <w:szCs w:val="24"/>
          <w:lang w:eastAsia="sk-SK"/>
        </w:rPr>
        <w:t>V § 12 sa odsek 1 dopĺňa písmenom d), ktoré znie:</w:t>
      </w:r>
    </w:p>
    <w:p w14:paraId="3433E619" w14:textId="77777777" w:rsidR="00A26F61" w:rsidRPr="00A26F61" w:rsidRDefault="00A26F61" w:rsidP="0094687C">
      <w:pPr>
        <w:pStyle w:val="Odsekzoznamu"/>
        <w:ind w:left="709"/>
        <w:jc w:val="both"/>
        <w:rPr>
          <w:rFonts w:ascii="Times New Roman" w:eastAsia="Times New Roman" w:hAnsi="Times New Roman"/>
          <w:color w:val="000000"/>
          <w:sz w:val="24"/>
          <w:szCs w:val="24"/>
          <w:lang w:eastAsia="sk-SK"/>
        </w:rPr>
      </w:pPr>
      <w:r w:rsidRPr="00A26F61">
        <w:rPr>
          <w:rFonts w:ascii="Times New Roman" w:eastAsia="Times New Roman" w:hAnsi="Times New Roman"/>
          <w:color w:val="000000"/>
          <w:sz w:val="24"/>
          <w:szCs w:val="24"/>
          <w:lang w:eastAsia="sk-SK"/>
        </w:rPr>
        <w:t>„d) prijímateľ, ktorý vykonáva úlohy, na ktoré sa poskytujú prostriedky mechanizmu na účely dosahovania míľnikov a cieľov plánu obnovy, ak je možné uspokojiť každého takéhoto prijímateľa.“.</w:t>
      </w:r>
    </w:p>
    <w:p w14:paraId="460F13BD" w14:textId="77777777" w:rsidR="00A26F61" w:rsidRPr="00A26F61" w:rsidRDefault="00A26F61" w:rsidP="00A26F61">
      <w:pPr>
        <w:pStyle w:val="Odsekzoznamu"/>
        <w:ind w:left="861"/>
        <w:rPr>
          <w:rFonts w:ascii="Times New Roman" w:eastAsia="Times New Roman" w:hAnsi="Times New Roman"/>
          <w:color w:val="000000"/>
          <w:sz w:val="24"/>
          <w:szCs w:val="24"/>
          <w:lang w:eastAsia="sk-SK"/>
        </w:rPr>
      </w:pPr>
    </w:p>
    <w:p w14:paraId="4B751E83" w14:textId="77777777" w:rsidR="00A26F61" w:rsidRPr="00A26F61" w:rsidRDefault="00A26F61" w:rsidP="00A26F61">
      <w:pPr>
        <w:pStyle w:val="Odsekzoznamu"/>
        <w:numPr>
          <w:ilvl w:val="0"/>
          <w:numId w:val="14"/>
        </w:numPr>
        <w:spacing w:before="120"/>
        <w:jc w:val="both"/>
        <w:rPr>
          <w:rFonts w:ascii="Times New Roman" w:eastAsia="Times New Roman" w:hAnsi="Times New Roman"/>
          <w:color w:val="000000"/>
          <w:sz w:val="24"/>
          <w:szCs w:val="24"/>
          <w:lang w:eastAsia="sk-SK"/>
        </w:rPr>
      </w:pPr>
      <w:r w:rsidRPr="00A26F61">
        <w:rPr>
          <w:rFonts w:ascii="Times New Roman" w:eastAsia="Times New Roman" w:hAnsi="Times New Roman"/>
          <w:color w:val="000000"/>
          <w:sz w:val="24"/>
          <w:szCs w:val="24"/>
          <w:lang w:eastAsia="sk-SK"/>
        </w:rPr>
        <w:t>V § 13 odsek 5 znie:</w:t>
      </w:r>
    </w:p>
    <w:p w14:paraId="67207429" w14:textId="77777777" w:rsidR="00A26F61" w:rsidRPr="00A26F61" w:rsidRDefault="00A26F61" w:rsidP="0094687C">
      <w:pPr>
        <w:pStyle w:val="Odsekzoznamu"/>
        <w:ind w:left="709"/>
        <w:jc w:val="both"/>
        <w:rPr>
          <w:rFonts w:ascii="Times New Roman" w:eastAsia="Times New Roman" w:hAnsi="Times New Roman"/>
          <w:color w:val="000000"/>
          <w:sz w:val="24"/>
          <w:szCs w:val="24"/>
          <w:lang w:eastAsia="sk-SK"/>
        </w:rPr>
      </w:pPr>
      <w:bookmarkStart w:id="3" w:name="_Hlk151459721"/>
      <w:r w:rsidRPr="00A26F61">
        <w:rPr>
          <w:rFonts w:ascii="Times New Roman" w:eastAsia="Times New Roman" w:hAnsi="Times New Roman"/>
          <w:color w:val="000000"/>
          <w:sz w:val="24"/>
          <w:szCs w:val="24"/>
          <w:lang w:eastAsia="sk-SK"/>
        </w:rPr>
        <w:t>„(5) Národná implementačná a koordinačná autorita, vykonávateľ a sprostredkovateľ sú na účely preukázania bezúhonnosti žiadateľa, prijímateľa, partnera, ich štatutárneho orgánu, člena štatutárneho orgánu alebo iných osôb konajúcich v ich mene oprávnení od týchto osôb žiadať údaje potrebné na vyžiadanie výpisu z registra trestov.</w:t>
      </w:r>
      <w:r w:rsidRPr="00A26F61">
        <w:rPr>
          <w:rFonts w:ascii="Times New Roman" w:eastAsia="Times New Roman" w:hAnsi="Times New Roman"/>
          <w:color w:val="000000"/>
          <w:sz w:val="24"/>
          <w:szCs w:val="24"/>
          <w:vertAlign w:val="superscript"/>
          <w:lang w:eastAsia="sk-SK"/>
        </w:rPr>
        <w:t>20</w:t>
      </w:r>
      <w:r w:rsidRPr="00A26F61">
        <w:rPr>
          <w:rFonts w:ascii="Times New Roman" w:eastAsia="Times New Roman" w:hAnsi="Times New Roman"/>
          <w:color w:val="000000"/>
          <w:sz w:val="24"/>
          <w:szCs w:val="24"/>
          <w:lang w:eastAsia="sk-SK"/>
        </w:rPr>
        <w:t>) Žiadateľ, prijímateľ, partner, ich štatutárny orgán, člen štatutárneho orgánu alebo iná osoba konajúca v ich mene na účely podľa prvej vety poskytnú národnej implementačnej a koordinačnej autorite, vykonávateľovi alebo sprostredkovateľovi údaje potrebné na vyžiadanie výpisu z registra trestov.</w:t>
      </w:r>
      <w:r w:rsidRPr="00A26F61">
        <w:rPr>
          <w:rFonts w:ascii="Times New Roman" w:eastAsia="Times New Roman" w:hAnsi="Times New Roman"/>
          <w:color w:val="000000"/>
          <w:sz w:val="24"/>
          <w:szCs w:val="24"/>
          <w:vertAlign w:val="superscript"/>
          <w:lang w:eastAsia="sk-SK"/>
        </w:rPr>
        <w:t>21</w:t>
      </w:r>
      <w:r w:rsidRPr="00A26F61">
        <w:rPr>
          <w:rFonts w:ascii="Times New Roman" w:eastAsia="Times New Roman" w:hAnsi="Times New Roman"/>
          <w:color w:val="000000"/>
          <w:sz w:val="24"/>
          <w:szCs w:val="24"/>
          <w:lang w:eastAsia="sk-SK"/>
        </w:rPr>
        <w:t>) Údaje podľa druhej vety národná implementačná a koordinačná autorita, vykonávateľ a sprostredkovateľ bezodkladne zašlú v elektronickej podobe prostredníctvom elektronickej komunikácie Generálnej prokuratúre Slovenskej republiky na vydanie výpisu z registra trestov.“.</w:t>
      </w:r>
      <w:bookmarkEnd w:id="3"/>
    </w:p>
    <w:p w14:paraId="63152A4D" w14:textId="77777777" w:rsidR="00A26F61" w:rsidRPr="00A26F61" w:rsidRDefault="00A26F61" w:rsidP="00A26F61">
      <w:pPr>
        <w:pStyle w:val="Odsekzoznamu"/>
        <w:spacing w:before="120"/>
        <w:ind w:left="861"/>
        <w:jc w:val="both"/>
        <w:rPr>
          <w:rFonts w:ascii="Times New Roman" w:eastAsia="Times New Roman" w:hAnsi="Times New Roman"/>
          <w:color w:val="000000"/>
          <w:sz w:val="24"/>
          <w:szCs w:val="24"/>
          <w:lang w:eastAsia="sk-SK"/>
        </w:rPr>
      </w:pPr>
    </w:p>
    <w:p w14:paraId="3E04AAE8" w14:textId="77777777" w:rsidR="00A26F61" w:rsidRPr="00A26F61" w:rsidRDefault="00A26F61" w:rsidP="00A26F61">
      <w:pPr>
        <w:pStyle w:val="Odsekzoznamu"/>
        <w:numPr>
          <w:ilvl w:val="0"/>
          <w:numId w:val="14"/>
        </w:numPr>
        <w:spacing w:before="120"/>
        <w:jc w:val="both"/>
        <w:rPr>
          <w:rFonts w:ascii="Times New Roman" w:eastAsia="Times New Roman" w:hAnsi="Times New Roman"/>
          <w:color w:val="000000"/>
          <w:sz w:val="24"/>
          <w:szCs w:val="24"/>
          <w:lang w:eastAsia="sk-SK"/>
        </w:rPr>
      </w:pPr>
      <w:r w:rsidRPr="00A26F61">
        <w:rPr>
          <w:rFonts w:ascii="Times New Roman" w:eastAsia="Times New Roman" w:hAnsi="Times New Roman"/>
          <w:color w:val="000000"/>
          <w:sz w:val="24"/>
          <w:szCs w:val="24"/>
          <w:lang w:eastAsia="sk-SK"/>
        </w:rPr>
        <w:t>V § 15a ods. 4 sa slová „3 až 5“ nahrádzajú slovami „3 až 7“.</w:t>
      </w:r>
    </w:p>
    <w:p w14:paraId="541D6570" w14:textId="77777777" w:rsidR="00A26F61" w:rsidRPr="00A26F61" w:rsidRDefault="00A26F61" w:rsidP="00A26F61">
      <w:pPr>
        <w:pStyle w:val="Odsekzoznamu"/>
        <w:spacing w:before="120"/>
        <w:ind w:left="861"/>
        <w:jc w:val="both"/>
        <w:rPr>
          <w:rFonts w:ascii="Times New Roman" w:eastAsia="Times New Roman" w:hAnsi="Times New Roman"/>
          <w:color w:val="000000"/>
          <w:sz w:val="24"/>
          <w:szCs w:val="24"/>
          <w:lang w:eastAsia="sk-SK"/>
        </w:rPr>
      </w:pPr>
    </w:p>
    <w:p w14:paraId="06C96DC1" w14:textId="77777777" w:rsidR="00A26F61" w:rsidRPr="00A26F61" w:rsidRDefault="00A26F61" w:rsidP="00A26F61">
      <w:pPr>
        <w:pStyle w:val="Odsekzoznamu"/>
        <w:numPr>
          <w:ilvl w:val="0"/>
          <w:numId w:val="14"/>
        </w:numPr>
        <w:spacing w:before="120"/>
        <w:jc w:val="both"/>
        <w:rPr>
          <w:rFonts w:ascii="Times New Roman" w:eastAsia="Times New Roman" w:hAnsi="Times New Roman"/>
          <w:color w:val="000000"/>
          <w:sz w:val="24"/>
          <w:szCs w:val="24"/>
          <w:lang w:eastAsia="sk-SK"/>
        </w:rPr>
      </w:pPr>
      <w:r w:rsidRPr="00A26F61">
        <w:rPr>
          <w:rFonts w:ascii="Times New Roman" w:eastAsia="Times New Roman" w:hAnsi="Times New Roman"/>
          <w:color w:val="000000"/>
          <w:sz w:val="24"/>
          <w:szCs w:val="24"/>
          <w:lang w:eastAsia="sk-SK"/>
        </w:rPr>
        <w:t>V § 16 odsek 3 znie:</w:t>
      </w:r>
    </w:p>
    <w:p w14:paraId="78844673" w14:textId="41CF5A28" w:rsidR="00A26F61" w:rsidRPr="00A26F61" w:rsidRDefault="00A26F61" w:rsidP="0094687C">
      <w:pPr>
        <w:pStyle w:val="Odsekzoznamu"/>
        <w:spacing w:before="120"/>
        <w:ind w:left="709"/>
        <w:jc w:val="both"/>
        <w:rPr>
          <w:rFonts w:ascii="Times New Roman" w:eastAsia="Times New Roman" w:hAnsi="Times New Roman"/>
          <w:color w:val="000000"/>
          <w:sz w:val="24"/>
          <w:szCs w:val="24"/>
          <w:lang w:eastAsia="sk-SK"/>
        </w:rPr>
      </w:pPr>
      <w:r w:rsidRPr="00A26F61">
        <w:rPr>
          <w:rFonts w:ascii="Times New Roman" w:eastAsia="Times New Roman" w:hAnsi="Times New Roman"/>
          <w:color w:val="000000"/>
          <w:sz w:val="24"/>
          <w:szCs w:val="24"/>
          <w:lang w:eastAsia="sk-SK"/>
        </w:rPr>
        <w:t>„(3) Ak žiadosť o prostriedky nie je úplná, vy</w:t>
      </w:r>
      <w:r w:rsidR="003E3086">
        <w:rPr>
          <w:rFonts w:ascii="Times New Roman" w:eastAsia="Times New Roman" w:hAnsi="Times New Roman"/>
          <w:color w:val="000000"/>
          <w:sz w:val="24"/>
          <w:szCs w:val="24"/>
          <w:lang w:eastAsia="sk-SK"/>
        </w:rPr>
        <w:t xml:space="preserve">konávateľ môže vyzvať žiadateľa </w:t>
      </w:r>
      <w:r w:rsidRPr="00A26F61">
        <w:rPr>
          <w:rFonts w:ascii="Times New Roman" w:eastAsia="Times New Roman" w:hAnsi="Times New Roman"/>
          <w:color w:val="000000"/>
          <w:sz w:val="24"/>
          <w:szCs w:val="24"/>
          <w:lang w:eastAsia="sk-SK"/>
        </w:rPr>
        <w:t xml:space="preserve">na </w:t>
      </w:r>
      <w:r w:rsidR="003E3086">
        <w:rPr>
          <w:rFonts w:ascii="Times New Roman" w:eastAsia="Times New Roman" w:hAnsi="Times New Roman"/>
          <w:color w:val="000000"/>
          <w:sz w:val="24"/>
          <w:szCs w:val="24"/>
          <w:lang w:eastAsia="sk-SK"/>
        </w:rPr>
        <w:t> </w:t>
      </w:r>
      <w:r w:rsidRPr="00A26F61">
        <w:rPr>
          <w:rFonts w:ascii="Times New Roman" w:eastAsia="Times New Roman" w:hAnsi="Times New Roman"/>
          <w:color w:val="000000"/>
          <w:sz w:val="24"/>
          <w:szCs w:val="24"/>
          <w:lang w:eastAsia="sk-SK"/>
        </w:rPr>
        <w:t>doplnenie žiadosti o prostriedky. Vykonávateľ môže žiadať vo výzve na doplnenie aj o poskytnutie vysvetlení týkajúcich sa žiadosti o prostriedky.“.</w:t>
      </w:r>
    </w:p>
    <w:p w14:paraId="058F929B" w14:textId="77777777" w:rsidR="00A26F61" w:rsidRPr="00A26F61" w:rsidRDefault="00A26F61" w:rsidP="00A26F61">
      <w:pPr>
        <w:pStyle w:val="Odsekzoznamu"/>
        <w:spacing w:before="120"/>
        <w:ind w:left="861"/>
        <w:jc w:val="both"/>
        <w:rPr>
          <w:rFonts w:ascii="Times New Roman" w:eastAsia="Times New Roman" w:hAnsi="Times New Roman"/>
          <w:color w:val="000000"/>
          <w:sz w:val="24"/>
          <w:szCs w:val="24"/>
          <w:lang w:eastAsia="sk-SK"/>
        </w:rPr>
      </w:pPr>
    </w:p>
    <w:p w14:paraId="6FF7FC47" w14:textId="77777777" w:rsidR="00A26F61" w:rsidRPr="00A26F61" w:rsidRDefault="00A26F61" w:rsidP="00A26F61">
      <w:pPr>
        <w:pStyle w:val="Odsekzoznamu"/>
        <w:numPr>
          <w:ilvl w:val="0"/>
          <w:numId w:val="14"/>
        </w:numPr>
        <w:spacing w:before="120"/>
        <w:jc w:val="both"/>
        <w:rPr>
          <w:rFonts w:ascii="Times New Roman" w:eastAsia="Times New Roman" w:hAnsi="Times New Roman"/>
          <w:color w:val="000000"/>
          <w:sz w:val="24"/>
          <w:szCs w:val="24"/>
          <w:lang w:eastAsia="sk-SK"/>
        </w:rPr>
      </w:pPr>
      <w:r w:rsidRPr="00A26F61">
        <w:rPr>
          <w:rFonts w:ascii="Times New Roman" w:eastAsia="Times New Roman" w:hAnsi="Times New Roman"/>
          <w:color w:val="000000"/>
          <w:sz w:val="24"/>
          <w:szCs w:val="24"/>
          <w:lang w:eastAsia="sk-SK"/>
        </w:rPr>
        <w:t xml:space="preserve">V § </w:t>
      </w:r>
      <w:bookmarkStart w:id="4" w:name="_Hlk151455146"/>
      <w:r w:rsidRPr="00A26F61">
        <w:rPr>
          <w:rFonts w:ascii="Times New Roman" w:eastAsia="Times New Roman" w:hAnsi="Times New Roman"/>
          <w:color w:val="000000"/>
          <w:sz w:val="24"/>
          <w:szCs w:val="24"/>
          <w:lang w:eastAsia="sk-SK"/>
        </w:rPr>
        <w:t>16 odsek 4 znie:</w:t>
      </w:r>
      <w:bookmarkEnd w:id="4"/>
    </w:p>
    <w:p w14:paraId="179623EF" w14:textId="0A9BD5BF" w:rsidR="00A26F61" w:rsidRPr="00A26F61" w:rsidRDefault="00A26F61" w:rsidP="0094687C">
      <w:pPr>
        <w:pStyle w:val="Odsekzoznamu"/>
        <w:spacing w:before="120"/>
        <w:ind w:left="709"/>
        <w:jc w:val="both"/>
        <w:rPr>
          <w:rFonts w:ascii="Times New Roman" w:eastAsia="Times New Roman" w:hAnsi="Times New Roman"/>
          <w:color w:val="000000"/>
          <w:sz w:val="24"/>
          <w:szCs w:val="24"/>
          <w:lang w:eastAsia="sk-SK"/>
        </w:rPr>
      </w:pPr>
      <w:r w:rsidRPr="00A26F61">
        <w:rPr>
          <w:rFonts w:ascii="Times New Roman" w:eastAsia="Times New Roman" w:hAnsi="Times New Roman"/>
          <w:color w:val="000000"/>
          <w:sz w:val="24"/>
          <w:szCs w:val="24"/>
          <w:lang w:eastAsia="sk-SK"/>
        </w:rPr>
        <w:t>„(4) Vykonávateľ posúdi splnenie podmienok poskytnutia prostriedkov mechanizmu určených vo výzve. Vykonávateľ posudzuje žiadosť o prostriedky spôsobom a podľa kritérií určených vo výzve a v závislosti od najlepšie splnených kritérií alebo v závislosti od najskoršie doručenej úplnej žiadosti o prost</w:t>
      </w:r>
      <w:r w:rsidR="003E3086">
        <w:rPr>
          <w:rFonts w:ascii="Times New Roman" w:eastAsia="Times New Roman" w:hAnsi="Times New Roman"/>
          <w:color w:val="000000"/>
          <w:sz w:val="24"/>
          <w:szCs w:val="24"/>
          <w:lang w:eastAsia="sk-SK"/>
        </w:rPr>
        <w:t xml:space="preserve">riedky vytvorí poradie žiadostí </w:t>
      </w:r>
      <w:r w:rsidRPr="00A26F61">
        <w:rPr>
          <w:rFonts w:ascii="Times New Roman" w:eastAsia="Times New Roman" w:hAnsi="Times New Roman"/>
          <w:color w:val="000000"/>
          <w:sz w:val="24"/>
          <w:szCs w:val="24"/>
          <w:lang w:eastAsia="sk-SK"/>
        </w:rPr>
        <w:t xml:space="preserve">o </w:t>
      </w:r>
      <w:r w:rsidR="003E3086">
        <w:rPr>
          <w:rFonts w:ascii="Times New Roman" w:eastAsia="Times New Roman" w:hAnsi="Times New Roman"/>
          <w:color w:val="000000"/>
          <w:sz w:val="24"/>
          <w:szCs w:val="24"/>
          <w:lang w:eastAsia="sk-SK"/>
        </w:rPr>
        <w:t> </w:t>
      </w:r>
      <w:r w:rsidRPr="00A26F61">
        <w:rPr>
          <w:rFonts w:ascii="Times New Roman" w:eastAsia="Times New Roman" w:hAnsi="Times New Roman"/>
          <w:color w:val="000000"/>
          <w:sz w:val="24"/>
          <w:szCs w:val="24"/>
          <w:lang w:eastAsia="sk-SK"/>
        </w:rPr>
        <w:t>prostriedky, ktoré splnili podmienky poskytnutia prostriedkov mechanizmu. Poradie podľa druhej vety nie je vykonávateľ povinný vytvoriť, ak výška prostriedkov mechanizmu určených na výzvu umožňuje u</w:t>
      </w:r>
      <w:r w:rsidR="003E3086">
        <w:rPr>
          <w:rFonts w:ascii="Times New Roman" w:eastAsia="Times New Roman" w:hAnsi="Times New Roman"/>
          <w:color w:val="000000"/>
          <w:sz w:val="24"/>
          <w:szCs w:val="24"/>
          <w:lang w:eastAsia="sk-SK"/>
        </w:rPr>
        <w:t xml:space="preserve">spokojiť všetky podané žiadosti </w:t>
      </w:r>
      <w:r w:rsidRPr="00A26F61">
        <w:rPr>
          <w:rFonts w:ascii="Times New Roman" w:eastAsia="Times New Roman" w:hAnsi="Times New Roman"/>
          <w:color w:val="000000"/>
          <w:sz w:val="24"/>
          <w:szCs w:val="24"/>
          <w:lang w:eastAsia="sk-SK"/>
        </w:rPr>
        <w:t xml:space="preserve">o </w:t>
      </w:r>
      <w:r w:rsidR="003E3086">
        <w:rPr>
          <w:rFonts w:ascii="Times New Roman" w:eastAsia="Times New Roman" w:hAnsi="Times New Roman"/>
          <w:color w:val="000000"/>
          <w:sz w:val="24"/>
          <w:szCs w:val="24"/>
          <w:lang w:eastAsia="sk-SK"/>
        </w:rPr>
        <w:t> </w:t>
      </w:r>
      <w:r w:rsidRPr="00A26F61">
        <w:rPr>
          <w:rFonts w:ascii="Times New Roman" w:eastAsia="Times New Roman" w:hAnsi="Times New Roman"/>
          <w:color w:val="000000"/>
          <w:sz w:val="24"/>
          <w:szCs w:val="24"/>
          <w:lang w:eastAsia="sk-SK"/>
        </w:rPr>
        <w:t>prostriedky.“.</w:t>
      </w:r>
    </w:p>
    <w:p w14:paraId="75ED5047" w14:textId="77777777" w:rsidR="00A26F61" w:rsidRPr="00A26F61" w:rsidRDefault="00A26F61" w:rsidP="00A26F61">
      <w:pPr>
        <w:pStyle w:val="Odsekzoznamu"/>
        <w:spacing w:before="120"/>
        <w:ind w:left="861"/>
        <w:jc w:val="both"/>
        <w:rPr>
          <w:rFonts w:ascii="Times New Roman" w:eastAsia="Times New Roman" w:hAnsi="Times New Roman"/>
          <w:color w:val="000000"/>
          <w:sz w:val="24"/>
          <w:szCs w:val="24"/>
          <w:lang w:eastAsia="sk-SK"/>
        </w:rPr>
      </w:pPr>
    </w:p>
    <w:p w14:paraId="2C2DA66F" w14:textId="77777777" w:rsidR="00A26F61" w:rsidRPr="00A26F61" w:rsidRDefault="00A26F61" w:rsidP="00A26F61">
      <w:pPr>
        <w:pStyle w:val="Odsekzoznamu"/>
        <w:numPr>
          <w:ilvl w:val="0"/>
          <w:numId w:val="14"/>
        </w:numPr>
        <w:jc w:val="both"/>
        <w:rPr>
          <w:rFonts w:ascii="Times New Roman" w:eastAsia="Times New Roman" w:hAnsi="Times New Roman"/>
          <w:color w:val="000000"/>
          <w:sz w:val="24"/>
          <w:szCs w:val="24"/>
          <w:lang w:eastAsia="sk-SK"/>
        </w:rPr>
      </w:pPr>
      <w:r w:rsidRPr="00A26F61">
        <w:rPr>
          <w:rFonts w:ascii="Times New Roman" w:eastAsia="Times New Roman" w:hAnsi="Times New Roman"/>
          <w:color w:val="000000"/>
          <w:sz w:val="24"/>
          <w:szCs w:val="24"/>
          <w:lang w:eastAsia="sk-SK"/>
        </w:rPr>
        <w:t>V § 17 odsek 1 znie:</w:t>
      </w:r>
    </w:p>
    <w:p w14:paraId="6E56C6DD" w14:textId="57FCA7BA" w:rsidR="00A26F61" w:rsidRPr="00A26F61" w:rsidRDefault="00A26F61" w:rsidP="00361F2A">
      <w:pPr>
        <w:pStyle w:val="Odsekzoznamu"/>
        <w:ind w:left="709"/>
        <w:jc w:val="both"/>
        <w:rPr>
          <w:rFonts w:ascii="Times New Roman" w:eastAsia="Times New Roman" w:hAnsi="Times New Roman"/>
          <w:color w:val="000000"/>
          <w:sz w:val="24"/>
          <w:szCs w:val="24"/>
          <w:lang w:eastAsia="sk-SK"/>
        </w:rPr>
      </w:pPr>
      <w:r w:rsidRPr="00A26F61">
        <w:rPr>
          <w:rFonts w:ascii="Times New Roman" w:eastAsia="Times New Roman" w:hAnsi="Times New Roman"/>
          <w:color w:val="000000"/>
          <w:sz w:val="24"/>
          <w:szCs w:val="24"/>
          <w:lang w:eastAsia="sk-SK"/>
        </w:rPr>
        <w:t xml:space="preserve">„(1) Ak vykonávateľ zistí, že námietky podľa § 16 </w:t>
      </w:r>
      <w:r w:rsidR="003E3086">
        <w:rPr>
          <w:rFonts w:ascii="Times New Roman" w:eastAsia="Times New Roman" w:hAnsi="Times New Roman"/>
          <w:color w:val="000000"/>
          <w:sz w:val="24"/>
          <w:szCs w:val="24"/>
          <w:lang w:eastAsia="sk-SK"/>
        </w:rPr>
        <w:t xml:space="preserve">ods. 6 sú opodstatnené, môže im </w:t>
      </w:r>
      <w:r w:rsidRPr="00A26F61">
        <w:rPr>
          <w:rFonts w:ascii="Times New Roman" w:eastAsia="Times New Roman" w:hAnsi="Times New Roman"/>
          <w:color w:val="000000"/>
          <w:sz w:val="24"/>
          <w:szCs w:val="24"/>
          <w:lang w:eastAsia="sk-SK"/>
        </w:rPr>
        <w:t xml:space="preserve">v </w:t>
      </w:r>
      <w:r w:rsidR="003E3086">
        <w:rPr>
          <w:rFonts w:ascii="Times New Roman" w:eastAsia="Times New Roman" w:hAnsi="Times New Roman"/>
          <w:color w:val="000000"/>
          <w:sz w:val="24"/>
          <w:szCs w:val="24"/>
          <w:lang w:eastAsia="sk-SK"/>
        </w:rPr>
        <w:t> </w:t>
      </w:r>
      <w:r w:rsidRPr="00A26F61">
        <w:rPr>
          <w:rFonts w:ascii="Times New Roman" w:eastAsia="Times New Roman" w:hAnsi="Times New Roman"/>
          <w:color w:val="000000"/>
          <w:sz w:val="24"/>
          <w:szCs w:val="24"/>
          <w:lang w:eastAsia="sk-SK"/>
        </w:rPr>
        <w:t>plnom rozsahu vyhovieť; vykonávateľ o tom informuje žiadateľa a postupuje podľa § 16 ods. 4 až 6. Rozhodnutie o námietkach sa v takom prípade nevydáva.“.</w:t>
      </w:r>
    </w:p>
    <w:p w14:paraId="121804A0" w14:textId="77777777" w:rsidR="00A26F61" w:rsidRPr="00A26F61" w:rsidRDefault="00A26F61" w:rsidP="00361F2A">
      <w:pPr>
        <w:pStyle w:val="Odsekzoznamu"/>
        <w:ind w:left="709"/>
        <w:jc w:val="both"/>
        <w:rPr>
          <w:rFonts w:ascii="Times New Roman" w:eastAsia="Times New Roman" w:hAnsi="Times New Roman"/>
          <w:color w:val="000000"/>
          <w:sz w:val="24"/>
          <w:szCs w:val="24"/>
          <w:lang w:eastAsia="sk-SK"/>
        </w:rPr>
      </w:pPr>
    </w:p>
    <w:p w14:paraId="3E7616D0" w14:textId="77777777" w:rsidR="00A26F61" w:rsidRPr="00A26F61" w:rsidRDefault="00A26F61" w:rsidP="00A26F61">
      <w:pPr>
        <w:pStyle w:val="Odsekzoznamu"/>
        <w:numPr>
          <w:ilvl w:val="0"/>
          <w:numId w:val="14"/>
        </w:numPr>
        <w:spacing w:after="0" w:line="240" w:lineRule="auto"/>
        <w:jc w:val="both"/>
        <w:rPr>
          <w:rFonts w:ascii="Times New Roman" w:eastAsia="Times New Roman" w:hAnsi="Times New Roman"/>
          <w:color w:val="000000"/>
          <w:sz w:val="24"/>
          <w:szCs w:val="24"/>
          <w:lang w:eastAsia="sk-SK"/>
        </w:rPr>
      </w:pPr>
      <w:r w:rsidRPr="00A26F61">
        <w:rPr>
          <w:rFonts w:ascii="Times New Roman" w:eastAsia="Times New Roman" w:hAnsi="Times New Roman"/>
          <w:color w:val="000000"/>
          <w:sz w:val="24"/>
          <w:szCs w:val="24"/>
          <w:lang w:eastAsia="sk-SK"/>
        </w:rPr>
        <w:lastRenderedPageBreak/>
        <w:t xml:space="preserve">V § 18 ods. 2 druhá veta znie: </w:t>
      </w:r>
    </w:p>
    <w:p w14:paraId="5355F53D" w14:textId="1D256E4E" w:rsidR="00A26F61" w:rsidRDefault="00A26F61" w:rsidP="0094687C">
      <w:pPr>
        <w:pStyle w:val="Odsekzoznamu"/>
        <w:ind w:left="709"/>
        <w:jc w:val="both"/>
        <w:rPr>
          <w:rFonts w:ascii="Times New Roman" w:eastAsia="Times New Roman" w:hAnsi="Times New Roman"/>
          <w:color w:val="000000"/>
          <w:sz w:val="24"/>
          <w:szCs w:val="24"/>
          <w:lang w:eastAsia="sk-SK"/>
        </w:rPr>
      </w:pPr>
      <w:r w:rsidRPr="00A26F61">
        <w:rPr>
          <w:rFonts w:ascii="Times New Roman" w:eastAsia="Times New Roman" w:hAnsi="Times New Roman"/>
          <w:color w:val="000000"/>
          <w:sz w:val="24"/>
          <w:szCs w:val="24"/>
          <w:lang w:eastAsia="sk-SK"/>
        </w:rPr>
        <w:t xml:space="preserve">„Zmluva podľa § 19 môže byť uzatvorená až po zohľadnení záväzného </w:t>
      </w:r>
      <w:r w:rsidR="00D6095D">
        <w:rPr>
          <w:rFonts w:ascii="Times New Roman" w:eastAsia="Times New Roman" w:hAnsi="Times New Roman"/>
          <w:sz w:val="24"/>
          <w:szCs w:val="24"/>
          <w:lang w:eastAsia="sk-SK"/>
        </w:rPr>
        <w:t xml:space="preserve">stanoviska </w:t>
      </w:r>
      <w:r w:rsidRPr="00A26F61">
        <w:rPr>
          <w:rFonts w:ascii="Times New Roman" w:eastAsia="Times New Roman" w:hAnsi="Times New Roman"/>
          <w:sz w:val="24"/>
          <w:szCs w:val="24"/>
          <w:lang w:eastAsia="sk-SK"/>
        </w:rPr>
        <w:t xml:space="preserve">a </w:t>
      </w:r>
      <w:r w:rsidR="00D6095D">
        <w:rPr>
          <w:rFonts w:ascii="Times New Roman" w:eastAsia="Times New Roman" w:hAnsi="Times New Roman"/>
          <w:sz w:val="24"/>
          <w:szCs w:val="24"/>
          <w:lang w:eastAsia="sk-SK"/>
        </w:rPr>
        <w:t> </w:t>
      </w:r>
      <w:r w:rsidRPr="00A26F61">
        <w:rPr>
          <w:rFonts w:ascii="Times New Roman" w:eastAsia="Times New Roman" w:hAnsi="Times New Roman"/>
          <w:sz w:val="24"/>
          <w:szCs w:val="24"/>
          <w:lang w:eastAsia="sk-SK"/>
        </w:rPr>
        <w:t xml:space="preserve">zapracovaní prípadných pripomienok národnej </w:t>
      </w:r>
      <w:r w:rsidRPr="00A26F61">
        <w:rPr>
          <w:rFonts w:ascii="Times New Roman" w:eastAsia="Times New Roman" w:hAnsi="Times New Roman"/>
          <w:color w:val="000000"/>
          <w:sz w:val="24"/>
          <w:szCs w:val="24"/>
          <w:lang w:eastAsia="sk-SK"/>
        </w:rPr>
        <w:t>implementačnej a koordinačnej autority.“.</w:t>
      </w:r>
    </w:p>
    <w:p w14:paraId="01EEBC70" w14:textId="77777777" w:rsidR="0094687C" w:rsidRPr="00A26F61" w:rsidRDefault="0094687C" w:rsidP="0094687C">
      <w:pPr>
        <w:pStyle w:val="Odsekzoznamu"/>
        <w:ind w:left="709"/>
        <w:jc w:val="both"/>
        <w:rPr>
          <w:rFonts w:ascii="Times New Roman" w:eastAsia="Times New Roman" w:hAnsi="Times New Roman"/>
          <w:color w:val="000000"/>
          <w:sz w:val="24"/>
          <w:szCs w:val="24"/>
          <w:lang w:eastAsia="sk-SK"/>
        </w:rPr>
      </w:pPr>
    </w:p>
    <w:p w14:paraId="67BD1668" w14:textId="7AD9EAE4" w:rsidR="00A26F61" w:rsidRPr="00A26F61" w:rsidRDefault="00A26F61" w:rsidP="00A26F61">
      <w:pPr>
        <w:pStyle w:val="Odsekzoznamu"/>
        <w:numPr>
          <w:ilvl w:val="0"/>
          <w:numId w:val="14"/>
        </w:numPr>
        <w:spacing w:before="120" w:line="240" w:lineRule="auto"/>
        <w:jc w:val="both"/>
        <w:rPr>
          <w:rFonts w:ascii="Times New Roman" w:eastAsia="Times New Roman" w:hAnsi="Times New Roman"/>
          <w:color w:val="000000"/>
          <w:sz w:val="24"/>
          <w:szCs w:val="24"/>
          <w:lang w:eastAsia="sk-SK"/>
        </w:rPr>
      </w:pPr>
      <w:r w:rsidRPr="00A26F61">
        <w:rPr>
          <w:rFonts w:ascii="Times New Roman" w:eastAsia="Times New Roman" w:hAnsi="Times New Roman"/>
          <w:color w:val="000000"/>
          <w:sz w:val="24"/>
          <w:szCs w:val="24"/>
          <w:lang w:eastAsia="sk-SK"/>
        </w:rPr>
        <w:t xml:space="preserve">V § 23 ods. 6 prvá veta znie: „Ak prijímateľ zistí nezrovnalosť z </w:t>
      </w:r>
      <w:r w:rsidR="00D6095D">
        <w:rPr>
          <w:rFonts w:ascii="Times New Roman" w:eastAsia="Times New Roman" w:hAnsi="Times New Roman"/>
          <w:color w:val="000000"/>
          <w:sz w:val="24"/>
          <w:szCs w:val="24"/>
          <w:lang w:eastAsia="sk-SK"/>
        </w:rPr>
        <w:t xml:space="preserve">vlastného podnetu, </w:t>
      </w:r>
      <w:bookmarkStart w:id="5" w:name="_GoBack"/>
      <w:bookmarkEnd w:id="5"/>
      <w:r w:rsidRPr="00A26F61">
        <w:rPr>
          <w:rFonts w:ascii="Times New Roman" w:eastAsia="Times New Roman" w:hAnsi="Times New Roman"/>
          <w:color w:val="000000"/>
          <w:sz w:val="24"/>
          <w:szCs w:val="24"/>
          <w:lang w:eastAsia="sk-SK"/>
        </w:rPr>
        <w:t xml:space="preserve">z </w:t>
      </w:r>
      <w:r w:rsidR="00D6095D">
        <w:rPr>
          <w:rFonts w:ascii="Times New Roman" w:eastAsia="Times New Roman" w:hAnsi="Times New Roman"/>
          <w:color w:val="000000"/>
          <w:sz w:val="24"/>
          <w:szCs w:val="24"/>
          <w:lang w:eastAsia="sk-SK"/>
        </w:rPr>
        <w:t> </w:t>
      </w:r>
      <w:r w:rsidRPr="00A26F61">
        <w:rPr>
          <w:rFonts w:ascii="Times New Roman" w:eastAsia="Times New Roman" w:hAnsi="Times New Roman"/>
          <w:color w:val="000000"/>
          <w:sz w:val="24"/>
          <w:szCs w:val="24"/>
          <w:lang w:eastAsia="sk-SK"/>
        </w:rPr>
        <w:t>podnetu partnera, dodávateľa, subdodávateľa alebo z iného podnetu, je povinný túto skutočnosť bezodkladne oznámiť vykonávateľovi, sprostredkovateľovi, osobe vykonávajúcej finančné nástroje alebo finančnému sprostredkovateľovi.“.“.</w:t>
      </w:r>
    </w:p>
    <w:p w14:paraId="5C118E4A" w14:textId="77777777" w:rsidR="00A26F61" w:rsidRPr="00A26F61" w:rsidRDefault="00A26F61" w:rsidP="00A26F61">
      <w:r w:rsidRPr="00A26F61">
        <w:t xml:space="preserve">V súvislosti s vložením nového článku sa primerane upraví názov zákona. </w:t>
      </w:r>
    </w:p>
    <w:p w14:paraId="288C860D" w14:textId="77777777" w:rsidR="00A26F61" w:rsidRPr="00A26F61" w:rsidRDefault="00A26F61" w:rsidP="00A26F61">
      <w:pPr>
        <w:pStyle w:val="Odvodnenie"/>
      </w:pPr>
    </w:p>
    <w:p w14:paraId="31FF5A0B" w14:textId="77777777" w:rsidR="00A26F61" w:rsidRPr="00A26F61" w:rsidRDefault="00A26F61" w:rsidP="00A26F61">
      <w:pPr>
        <w:spacing w:line="264" w:lineRule="auto"/>
      </w:pPr>
      <w:r w:rsidRPr="00A26F61">
        <w:t>Doterajší článok II sa primerane preznačí.</w:t>
      </w:r>
    </w:p>
    <w:p w14:paraId="2C2E301D" w14:textId="77777777" w:rsidR="00A26F61" w:rsidRPr="00A26F61" w:rsidRDefault="00A26F61" w:rsidP="00A26F61">
      <w:pPr>
        <w:pStyle w:val="Odvodnenie"/>
        <w:ind w:left="0"/>
      </w:pPr>
    </w:p>
    <w:p w14:paraId="198A301F" w14:textId="77777777" w:rsidR="00A26F61" w:rsidRPr="00A26F61" w:rsidRDefault="00A26F61" w:rsidP="00A26F61">
      <w:pPr>
        <w:ind w:left="2268"/>
        <w:jc w:val="both"/>
        <w:rPr>
          <w:bCs/>
          <w:u w:val="single"/>
        </w:rPr>
      </w:pPr>
      <w:r w:rsidRPr="00A26F61">
        <w:rPr>
          <w:bCs/>
          <w:u w:val="single"/>
        </w:rPr>
        <w:t xml:space="preserve">K bodu 1 </w:t>
      </w:r>
    </w:p>
    <w:p w14:paraId="6564D5EC" w14:textId="77777777" w:rsidR="00A26F61" w:rsidRPr="00A26F61" w:rsidRDefault="00A26F61" w:rsidP="00A26F61">
      <w:pPr>
        <w:ind w:left="2268" w:firstLine="564"/>
        <w:jc w:val="both"/>
        <w:rPr>
          <w:bCs/>
        </w:rPr>
      </w:pPr>
      <w:r w:rsidRPr="00A26F61">
        <w:rPr>
          <w:bCs/>
        </w:rPr>
        <w:t xml:space="preserve">Úprava v súvislosti s doplnením oprávnenia vlády Slovenskej republiky podľa zákona č. 368/2021 Z. z. o mechanizme na podporu obnovy a odolnosti a o zmene a doplnení niektorých zákonov v znení neskorších predpisov (ďalej len „zákon“) podľa bodu 5. </w:t>
      </w:r>
    </w:p>
    <w:p w14:paraId="686FB592" w14:textId="77777777" w:rsidR="00A26F61" w:rsidRPr="00A26F61" w:rsidRDefault="00A26F61" w:rsidP="00A26F61">
      <w:pPr>
        <w:ind w:left="2268"/>
        <w:jc w:val="both"/>
        <w:rPr>
          <w:bCs/>
          <w:u w:val="single"/>
        </w:rPr>
      </w:pPr>
      <w:r w:rsidRPr="00A26F61">
        <w:rPr>
          <w:bCs/>
          <w:u w:val="single"/>
        </w:rPr>
        <w:t>K bodu 2, 3 a 12</w:t>
      </w:r>
    </w:p>
    <w:p w14:paraId="20957F07" w14:textId="77777777" w:rsidR="00A26F61" w:rsidRPr="00A26F61" w:rsidRDefault="00A26F61" w:rsidP="00A26F61">
      <w:pPr>
        <w:ind w:left="2268" w:firstLine="564"/>
        <w:jc w:val="both"/>
        <w:rPr>
          <w:bCs/>
        </w:rPr>
      </w:pPr>
      <w:r w:rsidRPr="00A26F61">
        <w:rPr>
          <w:bCs/>
        </w:rPr>
        <w:t>Na základe aplikačnej praxe sa právna úprava pri posudzovaní zmluvy podľa § 19 zákona zo strany národnej implementačnej a koordinačnej autority zosúlaďuje s právnou úpravou posudzovania výzvy, výzvy na predkladanie projektových zámerov a priameho vyzvania (viď. § 15 ods. 2,  15a ods. 2 a § 13 ods. 1 zákona).</w:t>
      </w:r>
    </w:p>
    <w:p w14:paraId="2236F2FB" w14:textId="77777777" w:rsidR="00A26F61" w:rsidRPr="00A26F61" w:rsidRDefault="00A26F61" w:rsidP="00A26F61">
      <w:pPr>
        <w:ind w:left="2268"/>
        <w:jc w:val="both"/>
        <w:rPr>
          <w:bCs/>
          <w:u w:val="single"/>
        </w:rPr>
      </w:pPr>
      <w:r w:rsidRPr="00A26F61">
        <w:rPr>
          <w:bCs/>
          <w:u w:val="single"/>
        </w:rPr>
        <w:t>K bodu 4</w:t>
      </w:r>
    </w:p>
    <w:p w14:paraId="31144CF1" w14:textId="77777777" w:rsidR="00A26F61" w:rsidRPr="00A26F61" w:rsidRDefault="00A26F61" w:rsidP="00A26F61">
      <w:pPr>
        <w:ind w:left="2268" w:firstLine="567"/>
        <w:jc w:val="both"/>
      </w:pPr>
      <w:r w:rsidRPr="00A26F61">
        <w:t>Vypúšťa sa obmedzenie, že prostriedky mechanizmu je potrebné vyčerpať do 31.12.2026, pretože takéto obmedzenie nie je relevantné pre všetky reformy alebo investície. Obmedzenie sa neuplatňuje najmä vtedy, ak míľnik alebo cieľ, ktorý má byť splnený do 30.06.2026, nepredstavuje konečný stav reformy alebo investície a na základe zmluvy o poskytnutí prostriedkov mechanizmu dochádza k poskytovaniu prostriedkov mechanizmu za účelom jej finalizácie.</w:t>
      </w:r>
    </w:p>
    <w:p w14:paraId="72D89782" w14:textId="77777777" w:rsidR="00A26F61" w:rsidRPr="00A26F61" w:rsidRDefault="00A26F61" w:rsidP="00A26F61">
      <w:pPr>
        <w:ind w:left="2268"/>
        <w:jc w:val="both"/>
        <w:rPr>
          <w:bCs/>
          <w:u w:val="single"/>
        </w:rPr>
      </w:pPr>
      <w:r w:rsidRPr="00A26F61">
        <w:rPr>
          <w:bCs/>
          <w:u w:val="single"/>
        </w:rPr>
        <w:t xml:space="preserve">K bodu 5 </w:t>
      </w:r>
    </w:p>
    <w:p w14:paraId="7A394DE2" w14:textId="77777777" w:rsidR="00A26F61" w:rsidRPr="00A26F61" w:rsidRDefault="00A26F61" w:rsidP="00A26F61">
      <w:pPr>
        <w:ind w:left="2268" w:firstLine="567"/>
        <w:jc w:val="both"/>
      </w:pPr>
      <w:r w:rsidRPr="00A26F61">
        <w:t>Dopĺňa sa explicitné oprávnenie vlády Slovenskej republiky rozhodovať o spôsobe vysporiadania záväzkov podľa § 9 ods. 6 zákona v prípade, ak tieto nie je možné vysporiadať predvídaným spôsobom zo samostatného účtu uvedeného v § 4 ods. 4 písm. c) zákona z dôvodu nedostatku prostriedkov na samostatnom účte.</w:t>
      </w:r>
    </w:p>
    <w:p w14:paraId="036DDA74" w14:textId="77777777" w:rsidR="00A26F61" w:rsidRPr="00A26F61" w:rsidRDefault="00A26F61" w:rsidP="00A26F61">
      <w:pPr>
        <w:ind w:left="2268"/>
        <w:jc w:val="both"/>
        <w:rPr>
          <w:bCs/>
          <w:u w:val="single"/>
        </w:rPr>
      </w:pPr>
      <w:r w:rsidRPr="00A26F61">
        <w:rPr>
          <w:bCs/>
          <w:u w:val="single"/>
        </w:rPr>
        <w:t>K bodu 6</w:t>
      </w:r>
    </w:p>
    <w:p w14:paraId="286257A7" w14:textId="77777777" w:rsidR="00A26F61" w:rsidRPr="00A26F61" w:rsidRDefault="00A26F61" w:rsidP="00A26F61">
      <w:pPr>
        <w:ind w:left="2268" w:firstLine="567"/>
        <w:jc w:val="both"/>
      </w:pPr>
      <w:r w:rsidRPr="00A26F61">
        <w:t>Vykonávateľ môže poskytnúť prostriedky mechanizmu priamo určenému prijímateľovi aj vtedy, ak ide o prijímateľa, ktorý vykonáva úlohy, na ktoré sa poskytujú prostriedky mechanizmu na účely dosahovania míľnikov a cieľov plánu obnovy, a ak sa uspokoja potreby všetkých potenciálnych prijímateľov, ktorí sú určení transparentne a nediskriminačne. Uplatnenie súťažného princípu výzvy z uvedeného dôvodu nie je potrebné.</w:t>
      </w:r>
    </w:p>
    <w:p w14:paraId="5FC96E65" w14:textId="77777777" w:rsidR="00A26F61" w:rsidRPr="00A26F61" w:rsidRDefault="00A26F61" w:rsidP="00A26F61">
      <w:pPr>
        <w:ind w:left="2268"/>
        <w:jc w:val="both"/>
        <w:rPr>
          <w:bCs/>
          <w:u w:val="single"/>
        </w:rPr>
      </w:pPr>
      <w:r w:rsidRPr="00A26F61">
        <w:rPr>
          <w:bCs/>
          <w:u w:val="single"/>
        </w:rPr>
        <w:t>K bodu 7</w:t>
      </w:r>
    </w:p>
    <w:p w14:paraId="4D9CF288" w14:textId="77777777" w:rsidR="00A26F61" w:rsidRPr="00A26F61" w:rsidRDefault="00A26F61" w:rsidP="00A26F61">
      <w:pPr>
        <w:ind w:left="2268" w:firstLine="567"/>
        <w:jc w:val="both"/>
      </w:pPr>
      <w:r w:rsidRPr="00A26F61">
        <w:t xml:space="preserve">V súlade s § 11 ods. 1 zákona sa upravuje oprávnenie spracúvať dotknuté osobné údaje národnou implementačnou a koordinačnou </w:t>
      </w:r>
      <w:r w:rsidRPr="00A26F61">
        <w:lastRenderedPageBreak/>
        <w:t>autoritou ako správcom informačného a monitorovacieho systému Plánu obnovy na účely vyžiadania výpisu z registra trestov, ktorý vydáva Generálna prokuratúra SR.</w:t>
      </w:r>
      <w:r w:rsidRPr="00A26F61">
        <w:tab/>
      </w:r>
    </w:p>
    <w:p w14:paraId="19111D15" w14:textId="77777777" w:rsidR="00A26F61" w:rsidRPr="00A26F61" w:rsidRDefault="00A26F61" w:rsidP="00A26F61">
      <w:pPr>
        <w:ind w:left="2268"/>
        <w:jc w:val="both"/>
        <w:rPr>
          <w:bCs/>
          <w:u w:val="single"/>
        </w:rPr>
      </w:pPr>
      <w:r w:rsidRPr="00A26F61">
        <w:rPr>
          <w:bCs/>
          <w:u w:val="single"/>
        </w:rPr>
        <w:t>K bodu 8</w:t>
      </w:r>
    </w:p>
    <w:p w14:paraId="409561A8" w14:textId="77777777" w:rsidR="00A26F61" w:rsidRPr="00A26F61" w:rsidRDefault="00A26F61" w:rsidP="00A26F61">
      <w:pPr>
        <w:ind w:left="2268" w:firstLine="567"/>
        <w:jc w:val="both"/>
        <w:rPr>
          <w:bCs/>
        </w:rPr>
      </w:pPr>
      <w:r w:rsidRPr="00A26F61">
        <w:rPr>
          <w:bCs/>
        </w:rPr>
        <w:t>Legislatívno-technická zmena.</w:t>
      </w:r>
    </w:p>
    <w:p w14:paraId="780B07BA" w14:textId="77777777" w:rsidR="00A26F61" w:rsidRPr="00A26F61" w:rsidRDefault="00A26F61" w:rsidP="00A26F61">
      <w:pPr>
        <w:ind w:left="2268"/>
        <w:jc w:val="both"/>
        <w:rPr>
          <w:bCs/>
          <w:u w:val="single"/>
        </w:rPr>
      </w:pPr>
      <w:r w:rsidRPr="00A26F61">
        <w:rPr>
          <w:bCs/>
          <w:u w:val="single"/>
        </w:rPr>
        <w:t>K bodu 9</w:t>
      </w:r>
    </w:p>
    <w:p w14:paraId="5A345CE9" w14:textId="77777777" w:rsidR="00A26F61" w:rsidRPr="00A26F61" w:rsidRDefault="00A26F61" w:rsidP="00A26F61">
      <w:pPr>
        <w:ind w:left="2268" w:firstLine="567"/>
        <w:jc w:val="both"/>
        <w:rPr>
          <w:bCs/>
        </w:rPr>
      </w:pPr>
      <w:r w:rsidRPr="00A26F61">
        <w:rPr>
          <w:bCs/>
        </w:rPr>
        <w:t>Podľa doteraz účinného znenia zákona mal vykonávateľ povinnosť vyzvať žiadateľa na doplnenie žiadosti o prostriedky v prípade, ak žiadosť nebola úplná. Za účelom zrýchlenia implementačného procesu je podľa návrhu zákona vykonávateľ pri súčasnom dodržaní princípov podľa § 2 ods. 2 zákona, oprávnený posúdiť neúplnú žiadosť o prostriedky ako žiadosť o prostriedky, ktorá nespĺňa podmienky poskytnutia prostriedkov mechanizmu. Z princípov podľa § 2 ods. 2 zákona je potrebné v tomto prípade zdôrazniť princíp primeranosti. Vykonávateľ by mal zvoliť svoj postup tak, aby bol primeraný výške prostriedkov mechanizmu poskytovaných na základe žiadosti, rozsahu, v akom je žiadosť neúplná, celkovému počtu žiadostí o prostriedky a tiež počtu neúplných žiadostí o prostriedky z celkového počtu žiadostí o prostriedky predložených na základe výzvy.</w:t>
      </w:r>
    </w:p>
    <w:p w14:paraId="25DD37AE" w14:textId="77777777" w:rsidR="00A26F61" w:rsidRPr="00A26F61" w:rsidRDefault="00A26F61" w:rsidP="00A26F61">
      <w:pPr>
        <w:keepNext/>
        <w:ind w:left="2268"/>
        <w:jc w:val="both"/>
        <w:rPr>
          <w:bCs/>
          <w:u w:val="single"/>
        </w:rPr>
      </w:pPr>
      <w:r w:rsidRPr="00A26F61">
        <w:rPr>
          <w:bCs/>
          <w:u w:val="single"/>
        </w:rPr>
        <w:t xml:space="preserve">K bodu 10 </w:t>
      </w:r>
    </w:p>
    <w:p w14:paraId="32ADCA4E" w14:textId="77777777" w:rsidR="00A26F61" w:rsidRPr="00A26F61" w:rsidRDefault="00A26F61" w:rsidP="00A26F61">
      <w:pPr>
        <w:ind w:left="2268" w:firstLine="567"/>
        <w:jc w:val="both"/>
        <w:rPr>
          <w:lang w:eastAsia="cs-CZ"/>
        </w:rPr>
      </w:pPr>
      <w:r w:rsidRPr="00A26F61">
        <w:rPr>
          <w:lang w:eastAsia="cs-CZ"/>
        </w:rPr>
        <w:t>Dopĺňa sa možnosť nevytvárať poradie žiadostí o prostriedky v prípade, ak finančná alokácia určená na výzvu prevyšuje sumu prostriedkov mechanizmu, ktorá je požadovaná žiadateľmi, ktorí predložili žiadosti o prostriedky.</w:t>
      </w:r>
    </w:p>
    <w:p w14:paraId="5036DFBC" w14:textId="77777777" w:rsidR="00A26F61" w:rsidRPr="00A26F61" w:rsidRDefault="00A26F61" w:rsidP="00A26F61">
      <w:pPr>
        <w:ind w:left="2268"/>
        <w:jc w:val="both"/>
        <w:rPr>
          <w:bCs/>
          <w:u w:val="single"/>
        </w:rPr>
      </w:pPr>
      <w:r w:rsidRPr="00A26F61">
        <w:rPr>
          <w:bCs/>
          <w:u w:val="single"/>
        </w:rPr>
        <w:t>K bodu 11</w:t>
      </w:r>
    </w:p>
    <w:p w14:paraId="6432217C" w14:textId="77777777" w:rsidR="00A26F61" w:rsidRPr="00A26F61" w:rsidRDefault="00A26F61" w:rsidP="00A26F61">
      <w:pPr>
        <w:ind w:left="2268" w:firstLine="567"/>
        <w:jc w:val="both"/>
        <w:rPr>
          <w:lang w:eastAsia="cs-CZ"/>
        </w:rPr>
      </w:pPr>
      <w:r w:rsidRPr="00A26F61">
        <w:rPr>
          <w:lang w:eastAsia="cs-CZ"/>
        </w:rPr>
        <w:t>Na základe podnetov z aplikačnej praxe sa precizuje znenie odseku 1 spôsobom, aby vykonávateľ v prípade vyhovenia námietkam v plnom rozsahu nevydával osobitné rozhodnutie o námietkach, ale postupoval v súlade s § 16 ods. 4 až 6 zákona, a teda posúdil splnenie podmienok poskytnutia prostriedkov mechanizmu určených vo výzve a na základe výsledku posúdenia žiadateľovi oznámil, že žiadosť spĺňa podmienky poskytnutia prostriedkov mechanizmu alebo nespĺňa podmienky poskytnutia prostriedkov mechanizmu (iné ako podmienky poskytnutia dotknuté námietkami, ktorým vykonávateľ vyhovel).</w:t>
      </w:r>
    </w:p>
    <w:p w14:paraId="723B8B5A" w14:textId="77777777" w:rsidR="00A26F61" w:rsidRPr="00A26F61" w:rsidRDefault="00A26F61" w:rsidP="00A26F61">
      <w:pPr>
        <w:ind w:left="2268"/>
        <w:jc w:val="both"/>
        <w:rPr>
          <w:bCs/>
          <w:u w:val="single"/>
        </w:rPr>
      </w:pPr>
      <w:r w:rsidRPr="00A26F61">
        <w:rPr>
          <w:bCs/>
          <w:u w:val="single"/>
        </w:rPr>
        <w:t xml:space="preserve">K bodu 13 </w:t>
      </w:r>
    </w:p>
    <w:p w14:paraId="715DFED1" w14:textId="77777777" w:rsidR="00A26F61" w:rsidRPr="00A26F61" w:rsidRDefault="00A26F61" w:rsidP="00A26F61">
      <w:pPr>
        <w:ind w:left="2268" w:firstLine="567"/>
        <w:jc w:val="both"/>
        <w:rPr>
          <w:bCs/>
        </w:rPr>
      </w:pPr>
      <w:r w:rsidRPr="00A26F61">
        <w:rPr>
          <w:bCs/>
        </w:rPr>
        <w:t>Upravuje sa mechanizmus oznamovania nezrovnalosti v prípade poskytovania prostriedkov mechanizmu prostredníctvom finančných nástrojov a v prípade zapojenia sprostredkovateľa.</w:t>
      </w:r>
    </w:p>
    <w:p w14:paraId="3E059355" w14:textId="77777777" w:rsidR="00A26F61" w:rsidRPr="00A26F61" w:rsidRDefault="00A26F61" w:rsidP="00A26F61">
      <w:pPr>
        <w:jc w:val="both"/>
        <w:rPr>
          <w:bCs/>
        </w:rPr>
      </w:pPr>
    </w:p>
    <w:p w14:paraId="76F20402" w14:textId="77777777" w:rsidR="00A26F61" w:rsidRPr="00A26F61" w:rsidRDefault="00A26F61" w:rsidP="00A26F61">
      <w:pPr>
        <w:jc w:val="both"/>
      </w:pPr>
    </w:p>
    <w:p w14:paraId="4D81FDCD" w14:textId="07492CE6" w:rsidR="006454C5" w:rsidRPr="00A26F61" w:rsidRDefault="006454C5" w:rsidP="00A26F61">
      <w:pPr>
        <w:pStyle w:val="Odsekzoznamu"/>
        <w:numPr>
          <w:ilvl w:val="0"/>
          <w:numId w:val="15"/>
        </w:numPr>
        <w:spacing w:line="360" w:lineRule="auto"/>
        <w:ind w:left="284" w:hanging="284"/>
        <w:jc w:val="both"/>
        <w:rPr>
          <w:rFonts w:ascii="Times New Roman" w:hAnsi="Times New Roman"/>
          <w:sz w:val="24"/>
          <w:szCs w:val="24"/>
        </w:rPr>
      </w:pPr>
      <w:r w:rsidRPr="00A26F61">
        <w:rPr>
          <w:rFonts w:ascii="Times New Roman" w:hAnsi="Times New Roman"/>
          <w:sz w:val="24"/>
          <w:szCs w:val="24"/>
        </w:rPr>
        <w:t xml:space="preserve">V čl. II sa slová „1. marca“ nahrádzajú slovami „15. mája“. </w:t>
      </w:r>
    </w:p>
    <w:p w14:paraId="06FBA30A" w14:textId="77777777" w:rsidR="006454C5" w:rsidRPr="00A26F61" w:rsidRDefault="006454C5" w:rsidP="00A26F61">
      <w:pPr>
        <w:ind w:left="2268"/>
        <w:jc w:val="both"/>
      </w:pPr>
      <w:r w:rsidRPr="00A26F61">
        <w:t>Zmena</w:t>
      </w:r>
      <w:r w:rsidRPr="00A26F61">
        <w:rPr>
          <w:spacing w:val="182"/>
        </w:rPr>
        <w:t xml:space="preserve"> </w:t>
      </w:r>
      <w:r w:rsidRPr="00A26F61">
        <w:t>účinnosti</w:t>
      </w:r>
      <w:r w:rsidRPr="00A26F61">
        <w:rPr>
          <w:spacing w:val="182"/>
        </w:rPr>
        <w:t xml:space="preserve"> </w:t>
      </w:r>
      <w:r w:rsidRPr="00A26F61">
        <w:t>sa</w:t>
      </w:r>
      <w:r w:rsidRPr="00A26F61">
        <w:rPr>
          <w:spacing w:val="182"/>
        </w:rPr>
        <w:t xml:space="preserve"> </w:t>
      </w:r>
      <w:r w:rsidRPr="00A26F61">
        <w:t>navrhuje</w:t>
      </w:r>
      <w:r w:rsidRPr="00A26F61">
        <w:rPr>
          <w:spacing w:val="182"/>
        </w:rPr>
        <w:t xml:space="preserve"> </w:t>
      </w:r>
      <w:r w:rsidRPr="00A26F61">
        <w:t>z</w:t>
      </w:r>
      <w:r w:rsidRPr="00A26F61">
        <w:rPr>
          <w:spacing w:val="182"/>
        </w:rPr>
        <w:t xml:space="preserve"> </w:t>
      </w:r>
      <w:r w:rsidRPr="00A26F61">
        <w:t>dôvodu</w:t>
      </w:r>
      <w:r w:rsidRPr="00A26F61">
        <w:rPr>
          <w:spacing w:val="182"/>
        </w:rPr>
        <w:t xml:space="preserve"> </w:t>
      </w:r>
      <w:r w:rsidRPr="00A26F61">
        <w:t>trvania legislatívneho</w:t>
      </w:r>
      <w:r w:rsidRPr="00A26F61">
        <w:rPr>
          <w:spacing w:val="-15"/>
        </w:rPr>
        <w:t xml:space="preserve"> </w:t>
      </w:r>
      <w:r w:rsidRPr="00A26F61">
        <w:t>procesu.</w:t>
      </w:r>
      <w:r w:rsidRPr="00A26F61">
        <w:rPr>
          <w:spacing w:val="-15"/>
        </w:rPr>
        <w:t xml:space="preserve"> </w:t>
      </w:r>
      <w:r w:rsidRPr="00A26F61">
        <w:t>Z</w:t>
      </w:r>
      <w:r w:rsidRPr="00A26F61">
        <w:rPr>
          <w:spacing w:val="-15"/>
        </w:rPr>
        <w:t xml:space="preserve"> </w:t>
      </w:r>
      <w:r w:rsidRPr="00A26F61">
        <w:t>tohto</w:t>
      </w:r>
      <w:r w:rsidRPr="00A26F61">
        <w:rPr>
          <w:spacing w:val="-15"/>
        </w:rPr>
        <w:t xml:space="preserve"> </w:t>
      </w:r>
      <w:r w:rsidRPr="00A26F61">
        <w:t>dôvodu</w:t>
      </w:r>
      <w:r w:rsidRPr="00A26F61">
        <w:rPr>
          <w:spacing w:val="-15"/>
        </w:rPr>
        <w:t xml:space="preserve"> </w:t>
      </w:r>
      <w:r w:rsidRPr="00A26F61">
        <w:t>je</w:t>
      </w:r>
      <w:r w:rsidRPr="00A26F61">
        <w:rPr>
          <w:spacing w:val="-15"/>
        </w:rPr>
        <w:t xml:space="preserve"> </w:t>
      </w:r>
      <w:r w:rsidRPr="00A26F61">
        <w:t>potrebné</w:t>
      </w:r>
      <w:r w:rsidRPr="00A26F61">
        <w:rPr>
          <w:spacing w:val="-15"/>
        </w:rPr>
        <w:t xml:space="preserve"> </w:t>
      </w:r>
      <w:r w:rsidRPr="00A26F61">
        <w:t>zmeniť účinnosť</w:t>
      </w:r>
      <w:r w:rsidRPr="00A26F61">
        <w:rPr>
          <w:spacing w:val="45"/>
        </w:rPr>
        <w:t xml:space="preserve"> </w:t>
      </w:r>
      <w:r w:rsidRPr="00A26F61">
        <w:t>zákona</w:t>
      </w:r>
      <w:r w:rsidRPr="00A26F61">
        <w:rPr>
          <w:spacing w:val="45"/>
        </w:rPr>
        <w:t xml:space="preserve"> </w:t>
      </w:r>
      <w:r w:rsidRPr="00A26F61">
        <w:t>tak,</w:t>
      </w:r>
      <w:r w:rsidRPr="00A26F61">
        <w:rPr>
          <w:spacing w:val="45"/>
        </w:rPr>
        <w:t xml:space="preserve"> </w:t>
      </w:r>
      <w:r w:rsidRPr="00A26F61">
        <w:t>aby</w:t>
      </w:r>
      <w:r w:rsidRPr="00A26F61">
        <w:rPr>
          <w:spacing w:val="45"/>
        </w:rPr>
        <w:t xml:space="preserve"> </w:t>
      </w:r>
      <w:r w:rsidRPr="00A26F61">
        <w:t>boli dodržané</w:t>
      </w:r>
      <w:r w:rsidRPr="00A26F61">
        <w:rPr>
          <w:spacing w:val="45"/>
        </w:rPr>
        <w:t xml:space="preserve"> </w:t>
      </w:r>
      <w:r w:rsidRPr="00A26F61">
        <w:t>požiadavky</w:t>
      </w:r>
      <w:r w:rsidRPr="00A26F61">
        <w:rPr>
          <w:spacing w:val="45"/>
        </w:rPr>
        <w:t xml:space="preserve"> </w:t>
      </w:r>
      <w:r w:rsidRPr="00A26F61">
        <w:t>a lehoty</w:t>
      </w:r>
      <w:r w:rsidRPr="00A26F61">
        <w:rPr>
          <w:spacing w:val="48"/>
        </w:rPr>
        <w:t xml:space="preserve"> </w:t>
      </w:r>
      <w:r w:rsidRPr="00A26F61">
        <w:t>stanovené</w:t>
      </w:r>
      <w:r w:rsidRPr="00A26F61">
        <w:rPr>
          <w:spacing w:val="48"/>
        </w:rPr>
        <w:t xml:space="preserve"> </w:t>
      </w:r>
      <w:r w:rsidRPr="00A26F61">
        <w:t>Ústavou</w:t>
      </w:r>
      <w:r w:rsidRPr="00A26F61">
        <w:rPr>
          <w:spacing w:val="48"/>
        </w:rPr>
        <w:t xml:space="preserve"> </w:t>
      </w:r>
      <w:r w:rsidRPr="00A26F61">
        <w:t>Slovenskej</w:t>
      </w:r>
      <w:r w:rsidRPr="00A26F61">
        <w:rPr>
          <w:spacing w:val="48"/>
        </w:rPr>
        <w:t xml:space="preserve"> </w:t>
      </w:r>
      <w:r w:rsidRPr="00A26F61">
        <w:t>republiky</w:t>
      </w:r>
      <w:r w:rsidRPr="00A26F61">
        <w:rPr>
          <w:spacing w:val="48"/>
        </w:rPr>
        <w:t xml:space="preserve"> </w:t>
      </w:r>
      <w:r w:rsidRPr="00A26F61">
        <w:t>[čl.</w:t>
      </w:r>
      <w:r w:rsidRPr="00A26F61">
        <w:rPr>
          <w:spacing w:val="48"/>
        </w:rPr>
        <w:t xml:space="preserve"> </w:t>
      </w:r>
      <w:r w:rsidRPr="00A26F61">
        <w:t>87 ods. 2 až 4 a čl. 102 ods. 1 písm. o)].</w:t>
      </w:r>
    </w:p>
    <w:p w14:paraId="7EAA792A" w14:textId="77777777" w:rsidR="006454C5" w:rsidRPr="00A26F61" w:rsidRDefault="006454C5" w:rsidP="00A26F61">
      <w:pPr>
        <w:spacing w:line="360" w:lineRule="auto"/>
        <w:ind w:left="2268"/>
        <w:jc w:val="both"/>
      </w:pPr>
    </w:p>
    <w:p w14:paraId="047BDAAD" w14:textId="77777777" w:rsidR="006454C5" w:rsidRPr="00A26F61" w:rsidRDefault="006454C5" w:rsidP="00013802">
      <w:pPr>
        <w:pStyle w:val="Zarkazkladnhotextu"/>
        <w:tabs>
          <w:tab w:val="left" w:pos="0"/>
        </w:tabs>
        <w:spacing w:after="0"/>
        <w:ind w:left="0"/>
        <w:jc w:val="both"/>
        <w:rPr>
          <w:b/>
          <w:bCs/>
          <w:szCs w:val="24"/>
        </w:rPr>
      </w:pPr>
    </w:p>
    <w:sectPr w:rsidR="006454C5" w:rsidRPr="00A26F61" w:rsidSect="00D97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ABF"/>
    <w:multiLevelType w:val="hybridMultilevel"/>
    <w:tmpl w:val="940C25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CFB28D6"/>
    <w:multiLevelType w:val="hybridMultilevel"/>
    <w:tmpl w:val="3E42B56C"/>
    <w:lvl w:ilvl="0" w:tplc="82E2AD1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0F71071"/>
    <w:multiLevelType w:val="hybridMultilevel"/>
    <w:tmpl w:val="AC443084"/>
    <w:lvl w:ilvl="0" w:tplc="1C5C6EDC">
      <w:start w:val="1"/>
      <w:numFmt w:val="decimal"/>
      <w:lvlText w:val="%1."/>
      <w:lvlJc w:val="left"/>
      <w:pPr>
        <w:ind w:left="1637" w:hanging="360"/>
      </w:pPr>
      <w:rPr>
        <w:rFonts w:hint="default"/>
        <w:b w:val="0"/>
        <w:color w:val="333333"/>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C765C2D"/>
    <w:multiLevelType w:val="hybridMultilevel"/>
    <w:tmpl w:val="F8DCA7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695D5B61"/>
    <w:multiLevelType w:val="hybridMultilevel"/>
    <w:tmpl w:val="6C1E5DF2"/>
    <w:lvl w:ilvl="0" w:tplc="A7C4A73A">
      <w:start w:val="1"/>
      <w:numFmt w:val="decimal"/>
      <w:lvlText w:val="%1."/>
      <w:lvlJc w:val="left"/>
      <w:pPr>
        <w:ind w:left="603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3A669C7"/>
    <w:multiLevelType w:val="hybridMultilevel"/>
    <w:tmpl w:val="231E9A54"/>
    <w:lvl w:ilvl="0" w:tplc="EFD20602">
      <w:start w:val="1"/>
      <w:numFmt w:val="decimal"/>
      <w:lvlText w:val="%1."/>
      <w:lvlJc w:val="left"/>
      <w:pPr>
        <w:ind w:left="1428" w:hanging="360"/>
      </w:pPr>
      <w:rPr>
        <w:rFonts w:hint="default"/>
        <w:b w:val="0"/>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7FCA323D"/>
    <w:multiLevelType w:val="hybridMultilevel"/>
    <w:tmpl w:val="6D48EE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3"/>
  </w:num>
  <w:num w:numId="3">
    <w:abstractNumId w:val="6"/>
  </w:num>
  <w:num w:numId="4">
    <w:abstractNumId w:val="7"/>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2"/>
  </w:num>
  <w:num w:numId="11">
    <w:abstractNumId w:val="12"/>
  </w:num>
  <w:num w:numId="12">
    <w:abstractNumId w:val="5"/>
  </w:num>
  <w:num w:numId="13">
    <w:abstractNumId w:val="13"/>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5"/>
    <w:rsid w:val="00013802"/>
    <w:rsid w:val="000148AC"/>
    <w:rsid w:val="00026256"/>
    <w:rsid w:val="00026947"/>
    <w:rsid w:val="00032D35"/>
    <w:rsid w:val="00036654"/>
    <w:rsid w:val="00057EDA"/>
    <w:rsid w:val="000A0E0D"/>
    <w:rsid w:val="000A6016"/>
    <w:rsid w:val="000B62F4"/>
    <w:rsid w:val="000C3393"/>
    <w:rsid w:val="000D0351"/>
    <w:rsid w:val="000D505C"/>
    <w:rsid w:val="000E174A"/>
    <w:rsid w:val="001208BB"/>
    <w:rsid w:val="00124DE6"/>
    <w:rsid w:val="001445DD"/>
    <w:rsid w:val="00162D22"/>
    <w:rsid w:val="00174CEE"/>
    <w:rsid w:val="0018239E"/>
    <w:rsid w:val="00182632"/>
    <w:rsid w:val="00194D0C"/>
    <w:rsid w:val="001A0FB2"/>
    <w:rsid w:val="001A5EDA"/>
    <w:rsid w:val="001A6FD1"/>
    <w:rsid w:val="001B0A2E"/>
    <w:rsid w:val="001B3AED"/>
    <w:rsid w:val="001C2596"/>
    <w:rsid w:val="001C650A"/>
    <w:rsid w:val="001D141C"/>
    <w:rsid w:val="001D7A2B"/>
    <w:rsid w:val="00204229"/>
    <w:rsid w:val="002058EF"/>
    <w:rsid w:val="00206A1C"/>
    <w:rsid w:val="00212AB6"/>
    <w:rsid w:val="00217078"/>
    <w:rsid w:val="00221877"/>
    <w:rsid w:val="00222CF3"/>
    <w:rsid w:val="0023028F"/>
    <w:rsid w:val="0023411B"/>
    <w:rsid w:val="00242832"/>
    <w:rsid w:val="0024454D"/>
    <w:rsid w:val="00246D4B"/>
    <w:rsid w:val="002600D3"/>
    <w:rsid w:val="00267972"/>
    <w:rsid w:val="002736DE"/>
    <w:rsid w:val="00280C01"/>
    <w:rsid w:val="00295FD4"/>
    <w:rsid w:val="0029766F"/>
    <w:rsid w:val="002A0165"/>
    <w:rsid w:val="002A0AB6"/>
    <w:rsid w:val="002A5B9D"/>
    <w:rsid w:val="002A61CE"/>
    <w:rsid w:val="002B76E5"/>
    <w:rsid w:val="002C3C2F"/>
    <w:rsid w:val="003028AD"/>
    <w:rsid w:val="00361F2A"/>
    <w:rsid w:val="0038595A"/>
    <w:rsid w:val="00390FCA"/>
    <w:rsid w:val="003A4822"/>
    <w:rsid w:val="003B1AA7"/>
    <w:rsid w:val="003B6412"/>
    <w:rsid w:val="003D363E"/>
    <w:rsid w:val="003D53DC"/>
    <w:rsid w:val="003E2F0F"/>
    <w:rsid w:val="003E3086"/>
    <w:rsid w:val="003F475E"/>
    <w:rsid w:val="003F70FA"/>
    <w:rsid w:val="00406F4A"/>
    <w:rsid w:val="00425116"/>
    <w:rsid w:val="00426966"/>
    <w:rsid w:val="00435CBB"/>
    <w:rsid w:val="004533F7"/>
    <w:rsid w:val="00485DEB"/>
    <w:rsid w:val="004B476C"/>
    <w:rsid w:val="004C4F94"/>
    <w:rsid w:val="004C6382"/>
    <w:rsid w:val="004E6345"/>
    <w:rsid w:val="004F572F"/>
    <w:rsid w:val="00522BC4"/>
    <w:rsid w:val="005247F5"/>
    <w:rsid w:val="0054340C"/>
    <w:rsid w:val="005512EC"/>
    <w:rsid w:val="00551A91"/>
    <w:rsid w:val="00553129"/>
    <w:rsid w:val="00565A2A"/>
    <w:rsid w:val="00571F87"/>
    <w:rsid w:val="0058230A"/>
    <w:rsid w:val="005969D0"/>
    <w:rsid w:val="005A1F00"/>
    <w:rsid w:val="005B4684"/>
    <w:rsid w:val="005E547E"/>
    <w:rsid w:val="005F296F"/>
    <w:rsid w:val="005F7531"/>
    <w:rsid w:val="00601F04"/>
    <w:rsid w:val="00611225"/>
    <w:rsid w:val="00612762"/>
    <w:rsid w:val="006454C5"/>
    <w:rsid w:val="00647C69"/>
    <w:rsid w:val="00654F58"/>
    <w:rsid w:val="00664898"/>
    <w:rsid w:val="006678BC"/>
    <w:rsid w:val="00690E26"/>
    <w:rsid w:val="00693B36"/>
    <w:rsid w:val="006B0C5F"/>
    <w:rsid w:val="006C0F18"/>
    <w:rsid w:val="006C376D"/>
    <w:rsid w:val="006E5D4E"/>
    <w:rsid w:val="006F07F9"/>
    <w:rsid w:val="006F73EA"/>
    <w:rsid w:val="00722FED"/>
    <w:rsid w:val="0072422D"/>
    <w:rsid w:val="007262C0"/>
    <w:rsid w:val="00733BAE"/>
    <w:rsid w:val="007449A7"/>
    <w:rsid w:val="00747312"/>
    <w:rsid w:val="0075072F"/>
    <w:rsid w:val="007852C2"/>
    <w:rsid w:val="007914DD"/>
    <w:rsid w:val="007C23A2"/>
    <w:rsid w:val="007D0E04"/>
    <w:rsid w:val="007D2BE9"/>
    <w:rsid w:val="007E610C"/>
    <w:rsid w:val="00801592"/>
    <w:rsid w:val="008321DB"/>
    <w:rsid w:val="008417F5"/>
    <w:rsid w:val="008455A7"/>
    <w:rsid w:val="00852247"/>
    <w:rsid w:val="00872EDE"/>
    <w:rsid w:val="00877427"/>
    <w:rsid w:val="00880FB3"/>
    <w:rsid w:val="00881083"/>
    <w:rsid w:val="008815FC"/>
    <w:rsid w:val="008C1D92"/>
    <w:rsid w:val="008D249C"/>
    <w:rsid w:val="008D7E05"/>
    <w:rsid w:val="008F7799"/>
    <w:rsid w:val="008F7FE2"/>
    <w:rsid w:val="00910948"/>
    <w:rsid w:val="00940C0D"/>
    <w:rsid w:val="00945F50"/>
    <w:rsid w:val="0094687C"/>
    <w:rsid w:val="0095696D"/>
    <w:rsid w:val="00957BE3"/>
    <w:rsid w:val="009632E3"/>
    <w:rsid w:val="00992714"/>
    <w:rsid w:val="009B44D0"/>
    <w:rsid w:val="009E0869"/>
    <w:rsid w:val="009E4DFB"/>
    <w:rsid w:val="009E7903"/>
    <w:rsid w:val="009F4003"/>
    <w:rsid w:val="009F4197"/>
    <w:rsid w:val="00A05EFD"/>
    <w:rsid w:val="00A26D2A"/>
    <w:rsid w:val="00A26F61"/>
    <w:rsid w:val="00A31C26"/>
    <w:rsid w:val="00A43989"/>
    <w:rsid w:val="00A44CB4"/>
    <w:rsid w:val="00A755AD"/>
    <w:rsid w:val="00A851D3"/>
    <w:rsid w:val="00AA3E6B"/>
    <w:rsid w:val="00AB1A71"/>
    <w:rsid w:val="00AB6420"/>
    <w:rsid w:val="00AB6969"/>
    <w:rsid w:val="00AC34B0"/>
    <w:rsid w:val="00AD59C6"/>
    <w:rsid w:val="00AD7B22"/>
    <w:rsid w:val="00AF57C3"/>
    <w:rsid w:val="00B04B24"/>
    <w:rsid w:val="00B05279"/>
    <w:rsid w:val="00B2232D"/>
    <w:rsid w:val="00B30B03"/>
    <w:rsid w:val="00B32539"/>
    <w:rsid w:val="00B86C2B"/>
    <w:rsid w:val="00B908DF"/>
    <w:rsid w:val="00B92945"/>
    <w:rsid w:val="00BA5D0A"/>
    <w:rsid w:val="00BB29B3"/>
    <w:rsid w:val="00BB4EDF"/>
    <w:rsid w:val="00BC1C98"/>
    <w:rsid w:val="00BD5E48"/>
    <w:rsid w:val="00BE0D8A"/>
    <w:rsid w:val="00BF65C1"/>
    <w:rsid w:val="00C10EEA"/>
    <w:rsid w:val="00C4621B"/>
    <w:rsid w:val="00C539CE"/>
    <w:rsid w:val="00C56A7B"/>
    <w:rsid w:val="00C621A5"/>
    <w:rsid w:val="00C82487"/>
    <w:rsid w:val="00CC0A94"/>
    <w:rsid w:val="00CD23B7"/>
    <w:rsid w:val="00CD76B2"/>
    <w:rsid w:val="00CF53B8"/>
    <w:rsid w:val="00D04258"/>
    <w:rsid w:val="00D07A2D"/>
    <w:rsid w:val="00D21A79"/>
    <w:rsid w:val="00D22BDF"/>
    <w:rsid w:val="00D24ED8"/>
    <w:rsid w:val="00D26C98"/>
    <w:rsid w:val="00D3302C"/>
    <w:rsid w:val="00D371D4"/>
    <w:rsid w:val="00D47ADF"/>
    <w:rsid w:val="00D6095D"/>
    <w:rsid w:val="00D65C26"/>
    <w:rsid w:val="00D737BD"/>
    <w:rsid w:val="00D81A3C"/>
    <w:rsid w:val="00D9721A"/>
    <w:rsid w:val="00DA21A5"/>
    <w:rsid w:val="00DB1AA1"/>
    <w:rsid w:val="00DB3702"/>
    <w:rsid w:val="00DB4E77"/>
    <w:rsid w:val="00DB7AD2"/>
    <w:rsid w:val="00DC788B"/>
    <w:rsid w:val="00DE6504"/>
    <w:rsid w:val="00DF278D"/>
    <w:rsid w:val="00DF27BB"/>
    <w:rsid w:val="00E0027B"/>
    <w:rsid w:val="00E03E59"/>
    <w:rsid w:val="00E06B05"/>
    <w:rsid w:val="00E075CA"/>
    <w:rsid w:val="00E12F77"/>
    <w:rsid w:val="00E15552"/>
    <w:rsid w:val="00E22843"/>
    <w:rsid w:val="00E26F44"/>
    <w:rsid w:val="00E315CA"/>
    <w:rsid w:val="00E33FB1"/>
    <w:rsid w:val="00E557D4"/>
    <w:rsid w:val="00E66CB2"/>
    <w:rsid w:val="00E70738"/>
    <w:rsid w:val="00E736F9"/>
    <w:rsid w:val="00E84F94"/>
    <w:rsid w:val="00E90D10"/>
    <w:rsid w:val="00EA1420"/>
    <w:rsid w:val="00EA2062"/>
    <w:rsid w:val="00EE1BE4"/>
    <w:rsid w:val="00EF1207"/>
    <w:rsid w:val="00EF2687"/>
    <w:rsid w:val="00EF3835"/>
    <w:rsid w:val="00F052B0"/>
    <w:rsid w:val="00F31B94"/>
    <w:rsid w:val="00F65FB3"/>
    <w:rsid w:val="00F67AF7"/>
    <w:rsid w:val="00F77BDC"/>
    <w:rsid w:val="00F77F33"/>
    <w:rsid w:val="00F97029"/>
    <w:rsid w:val="00FB2E3C"/>
    <w:rsid w:val="00FC1C78"/>
    <w:rsid w:val="00FF4DC6"/>
    <w:rsid w:val="00FF68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A40"/>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basedOn w:val="Predvolenpsmoodseku"/>
    <w:link w:val="Odsekzoznamu"/>
    <w:uiPriority w:val="34"/>
    <w:qFormat/>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FF68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837"/>
    <w:rPr>
      <w:rFonts w:ascii="Segoe UI" w:eastAsia="Times New Roman" w:hAnsi="Segoe UI" w:cs="Segoe UI"/>
      <w:sz w:val="18"/>
      <w:szCs w:val="18"/>
      <w:lang w:eastAsia="sk-SK"/>
    </w:rPr>
  </w:style>
  <w:style w:type="paragraph" w:customStyle="1" w:styleId="Odvodnenie">
    <w:name w:val="Odôvodnenie"/>
    <w:basedOn w:val="Normlny"/>
    <w:next w:val="Odvodnenietext"/>
    <w:qFormat/>
    <w:rsid w:val="00A26F61"/>
    <w:pPr>
      <w:ind w:left="3119"/>
      <w:jc w:val="both"/>
    </w:pPr>
    <w:rPr>
      <w:rFonts w:eastAsiaTheme="minorHAnsi"/>
      <w:u w:val="single"/>
      <w:lang w:eastAsia="en-US"/>
    </w:rPr>
  </w:style>
  <w:style w:type="paragraph" w:customStyle="1" w:styleId="Odvodnenietext">
    <w:name w:val="Odôvodnenie_text"/>
    <w:basedOn w:val="Odvodnenie"/>
    <w:qFormat/>
    <w:rsid w:val="00A26F61"/>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444271414">
      <w:bodyDiv w:val="1"/>
      <w:marLeft w:val="0"/>
      <w:marRight w:val="0"/>
      <w:marTop w:val="0"/>
      <w:marBottom w:val="0"/>
      <w:divBdr>
        <w:top w:val="none" w:sz="0" w:space="0" w:color="auto"/>
        <w:left w:val="none" w:sz="0" w:space="0" w:color="auto"/>
        <w:bottom w:val="none" w:sz="0" w:space="0" w:color="auto"/>
        <w:right w:val="none" w:sz="0" w:space="0" w:color="auto"/>
      </w:divBdr>
      <w:divsChild>
        <w:div w:id="218900689">
          <w:marLeft w:val="0"/>
          <w:marRight w:val="0"/>
          <w:marTop w:val="0"/>
          <w:marBottom w:val="0"/>
          <w:divBdr>
            <w:top w:val="none" w:sz="0" w:space="0" w:color="auto"/>
            <w:left w:val="none" w:sz="0" w:space="0" w:color="auto"/>
            <w:bottom w:val="none" w:sz="0" w:space="0" w:color="auto"/>
            <w:right w:val="none" w:sz="0" w:space="0" w:color="auto"/>
          </w:divBdr>
        </w:div>
        <w:div w:id="1943760866">
          <w:marLeft w:val="0"/>
          <w:marRight w:val="0"/>
          <w:marTop w:val="0"/>
          <w:marBottom w:val="0"/>
          <w:divBdr>
            <w:top w:val="none" w:sz="0" w:space="0" w:color="auto"/>
            <w:left w:val="none" w:sz="0" w:space="0" w:color="auto"/>
            <w:bottom w:val="none" w:sz="0" w:space="0" w:color="auto"/>
            <w:right w:val="none" w:sz="0" w:space="0" w:color="auto"/>
          </w:divBdr>
        </w:div>
        <w:div w:id="1365597040">
          <w:marLeft w:val="0"/>
          <w:marRight w:val="0"/>
          <w:marTop w:val="0"/>
          <w:marBottom w:val="0"/>
          <w:divBdr>
            <w:top w:val="none" w:sz="0" w:space="0" w:color="auto"/>
            <w:left w:val="none" w:sz="0" w:space="0" w:color="auto"/>
            <w:bottom w:val="none" w:sz="0" w:space="0" w:color="auto"/>
            <w:right w:val="none" w:sz="0" w:space="0" w:color="auto"/>
          </w:divBdr>
        </w:div>
        <w:div w:id="187179630">
          <w:marLeft w:val="0"/>
          <w:marRight w:val="0"/>
          <w:marTop w:val="0"/>
          <w:marBottom w:val="0"/>
          <w:divBdr>
            <w:top w:val="none" w:sz="0" w:space="0" w:color="auto"/>
            <w:left w:val="none" w:sz="0" w:space="0" w:color="auto"/>
            <w:bottom w:val="none" w:sz="0" w:space="0" w:color="auto"/>
            <w:right w:val="none" w:sz="0" w:space="0" w:color="auto"/>
          </w:divBdr>
        </w:div>
        <w:div w:id="1637367504">
          <w:marLeft w:val="0"/>
          <w:marRight w:val="0"/>
          <w:marTop w:val="0"/>
          <w:marBottom w:val="0"/>
          <w:divBdr>
            <w:top w:val="none" w:sz="0" w:space="0" w:color="auto"/>
            <w:left w:val="none" w:sz="0" w:space="0" w:color="auto"/>
            <w:bottom w:val="none" w:sz="0" w:space="0" w:color="auto"/>
            <w:right w:val="none" w:sz="0" w:space="0" w:color="auto"/>
          </w:divBdr>
        </w:div>
        <w:div w:id="1331762112">
          <w:marLeft w:val="0"/>
          <w:marRight w:val="0"/>
          <w:marTop w:val="0"/>
          <w:marBottom w:val="0"/>
          <w:divBdr>
            <w:top w:val="none" w:sz="0" w:space="0" w:color="auto"/>
            <w:left w:val="none" w:sz="0" w:space="0" w:color="auto"/>
            <w:bottom w:val="none" w:sz="0" w:space="0" w:color="auto"/>
            <w:right w:val="none" w:sz="0" w:space="0" w:color="auto"/>
          </w:divBdr>
        </w:div>
      </w:divsChild>
    </w:div>
    <w:div w:id="938634479">
      <w:bodyDiv w:val="1"/>
      <w:marLeft w:val="0"/>
      <w:marRight w:val="0"/>
      <w:marTop w:val="0"/>
      <w:marBottom w:val="0"/>
      <w:divBdr>
        <w:top w:val="none" w:sz="0" w:space="0" w:color="auto"/>
        <w:left w:val="none" w:sz="0" w:space="0" w:color="auto"/>
        <w:bottom w:val="none" w:sz="0" w:space="0" w:color="auto"/>
        <w:right w:val="none" w:sz="0" w:space="0" w:color="auto"/>
      </w:divBdr>
      <w:divsChild>
        <w:div w:id="2034378419">
          <w:marLeft w:val="0"/>
          <w:marRight w:val="0"/>
          <w:marTop w:val="0"/>
          <w:marBottom w:val="0"/>
          <w:divBdr>
            <w:top w:val="none" w:sz="0" w:space="0" w:color="auto"/>
            <w:left w:val="none" w:sz="0" w:space="0" w:color="auto"/>
            <w:bottom w:val="none" w:sz="0" w:space="0" w:color="auto"/>
            <w:right w:val="none" w:sz="0" w:space="0" w:color="auto"/>
          </w:divBdr>
        </w:div>
        <w:div w:id="889000458">
          <w:marLeft w:val="0"/>
          <w:marRight w:val="0"/>
          <w:marTop w:val="0"/>
          <w:marBottom w:val="0"/>
          <w:divBdr>
            <w:top w:val="none" w:sz="0" w:space="0" w:color="auto"/>
            <w:left w:val="none" w:sz="0" w:space="0" w:color="auto"/>
            <w:bottom w:val="none" w:sz="0" w:space="0" w:color="auto"/>
            <w:right w:val="none" w:sz="0" w:space="0" w:color="auto"/>
          </w:divBdr>
        </w:div>
        <w:div w:id="419984394">
          <w:marLeft w:val="0"/>
          <w:marRight w:val="0"/>
          <w:marTop w:val="0"/>
          <w:marBottom w:val="0"/>
          <w:divBdr>
            <w:top w:val="none" w:sz="0" w:space="0" w:color="auto"/>
            <w:left w:val="none" w:sz="0" w:space="0" w:color="auto"/>
            <w:bottom w:val="none" w:sz="0" w:space="0" w:color="auto"/>
            <w:right w:val="none" w:sz="0" w:space="0" w:color="auto"/>
          </w:divBdr>
        </w:div>
        <w:div w:id="1365836353">
          <w:marLeft w:val="0"/>
          <w:marRight w:val="0"/>
          <w:marTop w:val="0"/>
          <w:marBottom w:val="0"/>
          <w:divBdr>
            <w:top w:val="none" w:sz="0" w:space="0" w:color="auto"/>
            <w:left w:val="none" w:sz="0" w:space="0" w:color="auto"/>
            <w:bottom w:val="none" w:sz="0" w:space="0" w:color="auto"/>
            <w:right w:val="none" w:sz="0" w:space="0" w:color="auto"/>
          </w:divBdr>
        </w:div>
        <w:div w:id="1913273354">
          <w:marLeft w:val="0"/>
          <w:marRight w:val="0"/>
          <w:marTop w:val="0"/>
          <w:marBottom w:val="0"/>
          <w:divBdr>
            <w:top w:val="none" w:sz="0" w:space="0" w:color="auto"/>
            <w:left w:val="none" w:sz="0" w:space="0" w:color="auto"/>
            <w:bottom w:val="none" w:sz="0" w:space="0" w:color="auto"/>
            <w:right w:val="none" w:sz="0" w:space="0" w:color="auto"/>
          </w:divBdr>
        </w:div>
        <w:div w:id="1407536017">
          <w:marLeft w:val="0"/>
          <w:marRight w:val="0"/>
          <w:marTop w:val="0"/>
          <w:marBottom w:val="0"/>
          <w:divBdr>
            <w:top w:val="none" w:sz="0" w:space="0" w:color="auto"/>
            <w:left w:val="none" w:sz="0" w:space="0" w:color="auto"/>
            <w:bottom w:val="none" w:sz="0" w:space="0" w:color="auto"/>
            <w:right w:val="none" w:sz="0" w:space="0" w:color="auto"/>
          </w:divBdr>
        </w:div>
      </w:divsChild>
    </w:div>
    <w:div w:id="1110392590">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 w:id="1631787914">
      <w:bodyDiv w:val="1"/>
      <w:marLeft w:val="0"/>
      <w:marRight w:val="0"/>
      <w:marTop w:val="0"/>
      <w:marBottom w:val="0"/>
      <w:divBdr>
        <w:top w:val="none" w:sz="0" w:space="0" w:color="auto"/>
        <w:left w:val="none" w:sz="0" w:space="0" w:color="auto"/>
        <w:bottom w:val="none" w:sz="0" w:space="0" w:color="auto"/>
        <w:right w:val="none" w:sz="0" w:space="0" w:color="auto"/>
      </w:divBdr>
    </w:div>
    <w:div w:id="21064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1538</Words>
  <Characters>8768</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Ebringerová, Viera</cp:lastModifiedBy>
  <cp:revision>77</cp:revision>
  <cp:lastPrinted>2024-04-04T07:31:00Z</cp:lastPrinted>
  <dcterms:created xsi:type="dcterms:W3CDTF">2023-03-28T09:22:00Z</dcterms:created>
  <dcterms:modified xsi:type="dcterms:W3CDTF">2024-04-10T12:35:00Z</dcterms:modified>
</cp:coreProperties>
</file>