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4170E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3945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2D77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4E23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="0084170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2D77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7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2D778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359E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54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D778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D778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3D0CFF" w:rsidP="0020097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84170E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170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84170E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170E" w:rsidR="0084170E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>vládny návrh zákona, ktorým sa mení a dopĺňa zákon č. 431/2002 Z. z. o účtovníctve v znení neskorších predpisov a ktorým sa menia a dopĺňajú niektoré zákony</w:t>
      </w:r>
      <w:r w:rsidRPr="0084170E" w:rsidR="0084170E">
        <w:rPr>
          <w:rStyle w:val="Strong"/>
          <w:rFonts w:ascii="Times New Roman" w:eastAsia="Times New Roman" w:hAnsi="Times New Roman"/>
          <w:color w:val="000000"/>
          <w:sz w:val="24"/>
          <w:szCs w:val="24"/>
          <w:lang w:val="sk-SK" w:eastAsia="sk-SK" w:bidi="ar-SA"/>
        </w:rPr>
        <w:t xml:space="preserve"> (tlač 132) </w:t>
      </w:r>
      <w:r w:rsidRPr="0084170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78C" w:rsidRPr="002D778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ED462C" w:rsidP="00F27DB2">
      <w:pPr>
        <w:numPr>
          <w:numId w:val="1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778C" w:rsidP="0084170E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84170E" w:rsidR="0084170E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>vládny</w:t>
      </w:r>
      <w:r w:rsidR="0084170E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>m</w:t>
      </w:r>
      <w:r w:rsidRPr="0084170E" w:rsidR="0084170E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 xml:space="preserve"> návrh</w:t>
      </w:r>
      <w:r w:rsidR="0084170E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>om</w:t>
      </w:r>
      <w:r w:rsidRPr="0084170E" w:rsidR="0084170E">
        <w:rPr>
          <w:rStyle w:val="Strong"/>
          <w:rFonts w:ascii="Times New Roman" w:eastAsia="Times New Roman" w:hAnsi="Times New Roman"/>
          <w:b w:val="0"/>
          <w:color w:val="000000"/>
          <w:sz w:val="24"/>
          <w:szCs w:val="24"/>
          <w:lang w:val="sk-SK" w:eastAsia="sk-SK" w:bidi="ar-SA"/>
        </w:rPr>
        <w:t xml:space="preserve"> zákona, ktorým sa mení a dopĺňa zákon č. 431/2002 Z. z. o účtovníctve v znení neskorších predpisov a ktorým sa menia a dopĺňajú niektoré zákony</w:t>
      </w:r>
      <w:r w:rsidRPr="0084170E" w:rsidR="0084170E">
        <w:rPr>
          <w:rStyle w:val="Strong"/>
          <w:rFonts w:ascii="Times New Roman" w:eastAsia="Times New Roman" w:hAnsi="Times New Roman"/>
          <w:color w:val="000000"/>
          <w:sz w:val="24"/>
          <w:szCs w:val="24"/>
          <w:lang w:val="sk-SK" w:eastAsia="sk-SK" w:bidi="ar-SA"/>
        </w:rPr>
        <w:t xml:space="preserve"> (tlač 132) </w:t>
      </w:r>
    </w:p>
    <w:p w:rsidR="00394527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170E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170E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F27DB2">
      <w:pPr>
        <w:keepNext/>
        <w:numPr>
          <w:numId w:val="1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527" w:rsidRPr="00F9720F" w:rsidP="00394527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vlá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dny ná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vrh zá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kona, ktorý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m sa mení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a dopĺň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a zá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kon č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. 431/2002 Z. z. o úč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tovní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ctve v znení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neskorší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ch predpisov a ktorý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m sa menia a dopĺň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ajú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niektoré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 xml:space="preserve"> zá</w:t>
      </w:r>
      <w:r w:rsidRPr="0084170E" w:rsidR="0084170E">
        <w:rPr>
          <w:rStyle w:val="Strong"/>
          <w:rFonts w:ascii="Times New Roman" w:eastAsia="Times New Roman" w:hAnsi="Times New Roman" w:hint="default"/>
          <w:b w:val="0"/>
          <w:color w:val="000000"/>
          <w:sz w:val="24"/>
          <w:szCs w:val="24"/>
          <w:lang w:val="sk-SK" w:eastAsia="sk-SK" w:bidi="ar-SA"/>
        </w:rPr>
        <w:t>kony</w:t>
      </w:r>
      <w:r w:rsidRPr="0084170E" w:rsidR="0084170E">
        <w:rPr>
          <w:rStyle w:val="Strong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(tlač</w:t>
      </w:r>
      <w:r w:rsidRPr="0084170E" w:rsidR="0084170E">
        <w:rPr>
          <w:rStyle w:val="Strong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132)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tak, ako 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é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tohto uznesenia;</w:t>
      </w:r>
    </w:p>
    <w:p w:rsidR="00B5475F" w:rsidP="00394527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b/>
          <w:bCs/>
          <w:sz w:val="24"/>
          <w:szCs w:val="24"/>
        </w:rPr>
      </w:pPr>
    </w:p>
    <w:p w:rsidR="002D778C" w:rsidRPr="002D778C" w:rsidP="002D778C">
      <w:pPr>
        <w:bidi w:val="0"/>
        <w:jc w:val="left"/>
        <w:rPr>
          <w:rFonts w:eastAsia="Times New Roman"/>
        </w:rPr>
      </w:pPr>
    </w:p>
    <w:p w:rsidR="008817DD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F27DB2">
      <w:pPr>
        <w:pStyle w:val="Heading5"/>
        <w:keepLines w:val="0"/>
        <w:numPr>
          <w:numId w:val="1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3D0CFF" w:rsidRPr="00781422" w:rsidP="003D0CFF">
      <w:pPr>
        <w:bidi w:val="0"/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pStyle w:val="BodyTextIndent3"/>
        <w:bidi w:val="0"/>
        <w:spacing w:after="0" w:line="240" w:lineRule="auto"/>
        <w:ind w:left="1416" w:firstLine="708"/>
        <w:jc w:val="both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A205EC" w:rsidP="00394527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A205EC" w:rsidP="00394527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394527" w:rsidRPr="00A205EC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  <w:tab/>
        <w:tab/>
        <w:tab/>
        <w:tab/>
        <w:tab/>
        <w:tab/>
        <w:tab/>
        <w:t xml:space="preserve">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94527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170E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170E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170E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4527" w:rsidRPr="00733808" w:rsidP="00394527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394527" w:rsidRPr="00733808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394527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č.</w:t>
      </w:r>
      <w:r w:rsidR="006359E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54</w:t>
      </w: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2D77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733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394527" w:rsidRPr="00733808" w:rsidP="003945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527" w:rsidRPr="002B344C" w:rsidP="003945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</w:t>
      </w:r>
      <w:r w:rsidR="008C59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ce</w:t>
      </w: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8C59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8C59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y</w:t>
      </w:r>
    </w:p>
    <w:p w:rsidR="006359E7" w:rsidP="0084170E">
      <w:pPr>
        <w:pBdr>
          <w:bottom w:val="single" w:sz="6" w:space="1" w:color="auto"/>
        </w:pBdr>
        <w:tabs>
          <w:tab w:val="center" w:pos="4536"/>
          <w:tab w:val="left" w:pos="6410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6DF7" w:rsidR="0039452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 </w:t>
      </w:r>
      <w:r w:rsidR="002D778C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170E" w:rsidR="0084170E">
        <w:rPr>
          <w:rStyle w:val="Strong"/>
          <w:rFonts w:ascii="Times New Roman" w:eastAsia="Times New Roman" w:hAnsi="Times New Roman"/>
          <w:color w:val="000000"/>
          <w:sz w:val="24"/>
          <w:szCs w:val="24"/>
          <w:lang w:val="sk-SK" w:eastAsia="sk-SK" w:bidi="ar-SA"/>
        </w:rPr>
        <w:t>vládnemu návrhu zákona, ktorým sa mení a dopĺňa zákon č. 431/2002 Z. z. o účtovníctve v znení neskorších predpisov a ktorým sa menia a dopĺňajú niektoré zákony (tlač 132) </w:t>
      </w: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 bod 13 (Poznámka pod čiarou k odkazu 27)</w:t>
      </w:r>
    </w:p>
    <w:p w:rsidR="006359E7" w:rsidP="006359E7">
      <w:pPr>
        <w:bidi w:val="0"/>
        <w:spacing w:after="0" w:line="240" w:lineRule="auto"/>
        <w:ind w:left="3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 bod 13 znie:</w:t>
      </w:r>
    </w:p>
    <w:p w:rsidR="006359E7" w:rsidRPr="000C0F50" w:rsidP="006359E7">
      <w:pPr>
        <w:bidi w:val="0"/>
        <w:spacing w:after="0" w:line="240" w:lineRule="auto"/>
        <w:ind w:left="3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„13. </w:t>
      </w:r>
      <w:r w:rsidRPr="000C0F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27 znie:</w:t>
      </w:r>
    </w:p>
    <w:p w:rsidR="006359E7" w:rsidRPr="000C0F50" w:rsidP="006359E7">
      <w:pPr>
        <w:bidi w:val="0"/>
        <w:spacing w:after="0" w:line="240" w:lineRule="auto"/>
        <w:ind w:left="3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0C0F50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27</w:t>
      </w:r>
      <w:r w:rsidRPr="000C0F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Napríklad § 39 zákona Národnej rady Slovenskej republiky č. 566/1992 Zb. v znení neskorších predpisov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§ 9 ods. 13 </w:t>
      </w:r>
      <w:r w:rsidRPr="00EC42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č. 396/2012 Z. z. o Fonde na podporu vzdelávania 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EC42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znení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175/2022 Z. z.“.</w:t>
      </w:r>
      <w:r w:rsidRPr="000C0F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6359E7" w:rsidP="006359E7">
      <w:pPr>
        <w:bidi w:val="0"/>
        <w:spacing w:after="0" w:line="240" w:lineRule="auto"/>
        <w:ind w:left="3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Zosúladenie textu s počtom citovaných právnych predpisov. </w:t>
      </w:r>
    </w:p>
    <w:p w:rsidR="006359E7" w:rsidP="006359E7">
      <w:pPr>
        <w:tabs>
          <w:tab w:val="left" w:pos="5295"/>
        </w:tabs>
        <w:bidi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 bod 23 (§ 20c ods. 19)</w:t>
      </w:r>
    </w:p>
    <w:p w:rsidR="006359E7" w:rsidRPr="00C85C0C" w:rsidP="006359E7">
      <w:pPr>
        <w:pStyle w:val="ListParagraph"/>
        <w:bidi w:val="0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85C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23 § 20c ods. 19 sa slová „môže uplatniť aj“ nahrádzajú slovami „sa uplatňuje aj na“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  <w:r w:rsidRPr="00C85C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6359E7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C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Znenie sa zosúlaďuje s čl. 19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C85C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ods. 10 smernice 2013/34/EÚ v platnom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znení, ktoré priznáva výnimku aj pre vybrané subjekty.</w:t>
      </w:r>
    </w:p>
    <w:p w:rsidR="006359E7" w:rsidRPr="00FC4EB0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 bod 29 [§ 22a ods. 6 písm. a)]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29 § 22a ods. 6 písm. a) sa slovo „kapitole“ nahrádza slovami „správcovi kapitoly“.</w:t>
      </w:r>
    </w:p>
    <w:p w:rsidR="006359E7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Upresňuje sa, že subjektom, ktorému má byť v zmysle navrhovaného ustanovenia umožnený vstup do softvéru na vedenie účtovníctva, je správca kapitoly. </w:t>
      </w:r>
    </w:p>
    <w:p w:rsidR="006359E7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 bod 31 [§ 23 ods. 2 písm. n)]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31 § 23 ods. 2 písmeno n) znie: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„n) správy o udržateľnosti a dokumenty s </w:t>
      </w:r>
      <w:r w:rsidRPr="00B879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názorom týkajúcim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uistenia uvedené v § 20d ods. 6,“.</w:t>
      </w:r>
    </w:p>
    <w:p w:rsidR="006359E7" w:rsidP="006359E7">
      <w:pPr>
        <w:bidi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Dopĺňa sa, že obsahom registra účtovných závierok je v nadväznosti na správu o udržateľnosti aj dokument s názorom týkajúcim sa uistenia v oblasti vykazovania </w:t>
      </w:r>
      <w:r w:rsidRPr="00B8795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informácií o udržateľnosti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k tejto správe.</w:t>
      </w:r>
    </w:p>
    <w:p w:rsidR="006359E7" w:rsidRPr="001171C6" w:rsidP="006359E7">
      <w:pPr>
        <w:bidi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59E7" w:rsidP="006359E7">
      <w:pPr>
        <w:pStyle w:val="ListParagraph"/>
        <w:bidi w:val="0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 bod 37 (§ 23a ods. 3 druhá veta)</w:t>
      </w:r>
    </w:p>
    <w:p w:rsidR="006359E7" w:rsidP="006359E7">
      <w:pPr>
        <w:pStyle w:val="ListParagraph"/>
        <w:bidi w:val="0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bode 37 § 23a ods. 3 druhej vete sa na konci bodka nahrádza čiarkou a pripájajú sa tieto slová: „za ktoré sa zostavuje riadna konsolidovaná účtovná závierka alebo mimoriadna konsolidovaná účtovná závierka.“.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359E7" w:rsidRPr="00CB1BD7" w:rsidP="006359E7">
      <w:pPr>
        <w:bidi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BD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Precizuje sa účtovné obdobie,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 </w:t>
      </w:r>
      <w:r w:rsidRPr="000663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ktorého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skončenia sa účtovné dokumenty ukladajú do registra účtovných závierok. </w:t>
      </w:r>
    </w:p>
    <w:p w:rsidR="006359E7" w:rsidP="006359E7">
      <w:pPr>
        <w:tabs>
          <w:tab w:val="left" w:pos="5295"/>
        </w:tabs>
        <w:bidi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P="006359E7">
      <w:pPr>
        <w:tabs>
          <w:tab w:val="left" w:pos="5295"/>
        </w:tabs>
        <w:bidi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6359E7" w:rsidP="006359E7">
      <w:pPr>
        <w:pStyle w:val="ListParagraph"/>
        <w:numPr>
          <w:numId w:val="10"/>
        </w:numPr>
        <w:bidi w:val="0"/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bode 38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23a ods. 8 sa slovo „aj“ nahrádza slovom „ani“.</w:t>
      </w:r>
    </w:p>
    <w:p w:rsidR="006359E7" w:rsidRPr="00A34CCA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použitie spojky, ktorá zodpovedá kontextu novelizovaného ustanovenia.</w:t>
      </w:r>
    </w:p>
    <w:p w:rsidR="006359E7" w:rsidRPr="006359E7" w:rsidP="006359E7">
      <w:pPr>
        <w:pStyle w:val="ListParagraph"/>
        <w:numPr>
          <w:numId w:val="10"/>
        </w:numPr>
        <w:bidi w:val="0"/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bode 40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23a ods. 14 sa vypúšťa slovo „jej“.</w:t>
      </w:r>
    </w:p>
    <w:p w:rsidR="006359E7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vypustenie nadbytočného slova, ktoré v podobnom kontexte nie je obsiahnuté ani v navrhovaných odsekoch 12 a 13 predmetného paragrafu.</w:t>
      </w:r>
    </w:p>
    <w:p w:rsidR="006359E7" w:rsidRPr="00A34CCA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 čl. I  bod 61 (§ 39zc)</w:t>
      </w:r>
    </w:p>
    <w:p w:rsidR="006359E7" w:rsidP="006359E7">
      <w:pPr>
        <w:bidi w:val="0"/>
        <w:spacing w:after="0" w:line="240" w:lineRule="auto"/>
        <w:ind w:left="364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1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b</w:t>
      </w:r>
      <w:r w:rsidRPr="00D771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61</w:t>
      </w:r>
      <w:r w:rsidRPr="00D771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39zc sa za odsek 11 vkladá nový odsek 12, ktorý znie: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„(12) Na výročnú správu, ktorá sa vyhotovuje za účtovné obdobie, ktorým je hospodársky rok končiaci v priebehu roka 2024, sa uplatnia ustanovenia </w:t>
      </w:r>
      <w:r w:rsidRPr="00B269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§ 20 ods.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3, </w:t>
      </w:r>
      <w:r w:rsidRPr="00B269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9 až 13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 16 a § 22 ods. 2 </w:t>
      </w:r>
      <w:r w:rsidRPr="00B269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znení účinnom do 31. mája 2024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.“.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odseky 12 až 14 sa označujú ako odseky 13 až 15.</w:t>
      </w:r>
    </w:p>
    <w:p w:rsidR="006359E7" w:rsidRPr="00A8765E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P="006359E7">
      <w:pPr>
        <w:pStyle w:val="vymenovanie"/>
        <w:numPr>
          <w:ilvl w:val="0"/>
          <w:numId w:val="0"/>
        </w:numPr>
        <w:tabs>
          <w:tab w:val="clear" w:pos="1051"/>
        </w:tabs>
        <w:bidi w:val="0"/>
        <w:ind w:left="2126" w:firstLine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Precizuje sa úč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tovné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obdobie, za ktoré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sa uvá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dzajú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nefinanč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informá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cie v individuá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lnej vý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roč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nej sprá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ve a 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konsolidovanej vý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roč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nej sprá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ve úč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tovný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jednotiek, ktorý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úč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tovné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obdobie je hospodá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rsky rok konč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iaci v priebe</w:t>
      </w:r>
      <w:r>
        <w:rPr>
          <w:rFonts w:ascii="Times New Roman" w:eastAsia="SimSu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hu roka 2024. </w:t>
      </w:r>
    </w:p>
    <w:p w:rsidR="006359E7" w:rsidRPr="00A34CCA" w:rsidP="006359E7">
      <w:pPr>
        <w:bidi w:val="0"/>
        <w:spacing w:after="12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6359E7" w:rsidP="006359E7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V bode 21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3 ods. 14 sa slová „slovo „audítora““ nahrádzajú slovami „slová „štatutárneho audítora““.</w:t>
      </w:r>
    </w:p>
    <w:p w:rsidR="006359E7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A34CCA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legislatívno-technické spresnenie, nakoľko slovo „audítora“ sa v novelizovanom ustanovení nachádza dvakrát a z kontextu vyplýva, kde sa má navrhovaná čiarka vložiť.</w:t>
      </w:r>
    </w:p>
    <w:p w:rsidR="006359E7" w:rsidP="006359E7">
      <w:pPr>
        <w:bidi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V bod 40 (§ 9 ods. 3)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E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CE7E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bode 40 § 9 ods. 3 sa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slovo „rovnako“ nahrádza slovom „primerane“.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Upresnenie textu v nadväznosti na úpravu v § 9 ods. 4. </w:t>
      </w:r>
    </w:p>
    <w:p w:rsidR="006359E7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V bod 42 [§ 9 ods. 7 písm. a)]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8A1F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čl. V bod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8A1F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42 § 9 ods. 7 písm. a) sa za slovo „majú“ vkladá slovo „pozastavenú“.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736CCD" w:rsidP="006359E7">
      <w:pPr>
        <w:bidi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CC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Precizovanie textu v nadväznosti na samostatný proces pozastavenia licencie pre oblasť udržateľnosti.</w:t>
      </w:r>
    </w:p>
    <w:p w:rsidR="006359E7" w:rsidRPr="001E3F2C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359E7" w:rsidRPr="006359E7" w:rsidP="006359E7">
      <w:pPr>
        <w:pStyle w:val="ListParagraph"/>
        <w:widowControl w:val="0"/>
        <w:numPr>
          <w:numId w:val="10"/>
        </w:numPr>
        <w:suppressAutoHyphens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V bode 47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9 ods. 13 sa slová „a slovo „jeho“ sa nahrádza“ nahrádzajú slovami „a slová „a jeho“ sa nahrádzajú“.</w:t>
      </w:r>
    </w:p>
    <w:p w:rsidR="006359E7" w:rsidRPr="00A34CCA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legislatívno-technické a gramatické úpravy: z gramatického hľadiska je potrebné nahrádzať slová „a jeho“, nielen slovo „jeho“.</w:t>
      </w:r>
    </w:p>
    <w:p w:rsidR="006359E7" w:rsidRPr="00A34CCA" w:rsidP="006359E7">
      <w:pPr>
        <w:bidi w:val="0"/>
        <w:spacing w:after="12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6359E7" w:rsidP="006359E7">
      <w:pPr>
        <w:pStyle w:val="ListParagraph"/>
        <w:numPr>
          <w:numId w:val="10"/>
        </w:numPr>
        <w:bidi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 čl. V bode 65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16a ods. 5 sa slovo „platí“ nahrádza slovom „platia“ a slová „v sume“ sa nahrádzajú slovami „vo výške“.</w:t>
      </w:r>
    </w:p>
    <w:p w:rsidR="006359E7" w:rsidP="006359E7">
      <w:pPr>
        <w:bidi w:val="0"/>
        <w:spacing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A34CCA" w:rsidP="006359E7">
      <w:pPr>
        <w:bidi w:val="0"/>
        <w:spacing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gramatickú úpravu a o použitie terminológie, ktorá je v rámci daného novelizačného bodu v rovnakom kontexte už použitá (§ 15a ods. 6) a v danom kontexte je použitá aj v platnom znení zákona (§ 15 ods. 7). </w:t>
      </w:r>
    </w:p>
    <w:p w:rsidR="006359E7" w:rsidRPr="00A34CCA" w:rsidP="006359E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6359E7" w:rsidP="006359E7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V bode 66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17 ods. 1 úvodnej vete sa vypúšťajú slová „podrobnosti o“ a v písmenách a) a b) sa na úvod vkladajú slová „podrobnosti o“.</w:t>
      </w:r>
    </w:p>
    <w:p w:rsidR="006359E7" w:rsidP="006359E7">
      <w:pPr>
        <w:bidi w:val="0"/>
        <w:spacing w:after="12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A34CCA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úpravy gramatického charakteru, nakoľko časť textu v písmenách a) a b) nekorešponduje s navrhovanou úvodnou vetou („výšku poplatkov, počet členov ...).</w:t>
      </w:r>
    </w:p>
    <w:p w:rsidR="006359E7" w:rsidP="006359E7">
      <w:pPr>
        <w:bidi w:val="0"/>
        <w:spacing w:after="12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V bod 81 (§ 27 ods. 5 prvá veta)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C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736C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sa vypúšťa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36C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bod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81</w:t>
      </w:r>
      <w:r w:rsidRPr="00736C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Doterajšie body sa primerane prečíslujú.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359E7" w:rsidP="006359E7">
      <w:pPr>
        <w:pStyle w:val="ListParagraph"/>
        <w:bidi w:val="0"/>
        <w:spacing w:after="0" w:line="240" w:lineRule="auto"/>
        <w:ind w:left="21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Cieľom úpravy je poskytnutie väčšej ochrany štatutárnemu audítorovi tak, ako bolo v doterajšej právnej úprave. 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6359E7" w:rsidRPr="006359E7" w:rsidP="006359E7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 čl. V bode 96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31 ods. 4 sa slová „slovo „vzdelávanie““ nahrádza slovami „slová „cyklus sústavné vzdelávanie““.</w:t>
      </w:r>
    </w:p>
    <w:p w:rsidR="006359E7" w:rsidP="006359E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A34CCA" w:rsidP="006359E7">
      <w:pPr>
        <w:bidi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legislatívno-technické spresnenie, nakoľko slovo „vzdelávanie“ sa v novelizovanom ustanovení nachádza dvakrát a z kontextu vyplýva, kde sa má navrhovaný text vložiť. </w:t>
      </w:r>
    </w:p>
    <w:p w:rsidR="006359E7" w:rsidRPr="00A34CCA" w:rsidP="006359E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6359E7" w:rsidP="006359E7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V bode 98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32 ods. 3 sa za slovom „úrad,“ vypúšťa slovo „alebo“.</w:t>
      </w:r>
    </w:p>
    <w:p w:rsidR="006359E7" w:rsidP="006359E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A34CCA" w:rsidP="006359E7">
      <w:pPr>
        <w:bidi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vypustenie nadbytočnej spojky „alebo“.</w:t>
      </w:r>
    </w:p>
    <w:p w:rsidR="006359E7" w:rsidRPr="00A34CCA" w:rsidP="006359E7">
      <w:pPr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6359E7" w:rsidP="006359E7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5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 čl. V bode 117</w:t>
      </w:r>
      <w:r w:rsidRPr="00635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§ 34b ods. 2 písm. b) sa za slovo „meno“ vkladajú slová „a priezvisko“.</w:t>
      </w:r>
    </w:p>
    <w:p w:rsidR="006359E7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A34CCA" w:rsidP="006359E7">
      <w:pPr>
        <w:bidi w:val="0"/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doplnenie údaja o kľúčovom partnerovi v oblasti udržateľnosti v súlade s inými ustanoveniami návrhu zákona (napr. § 34c ods. 3 toho istého novelizačného bodu).</w:t>
      </w:r>
    </w:p>
    <w:p w:rsidR="006359E7" w:rsidRPr="00A34CCA" w:rsidP="006359E7">
      <w:pPr>
        <w:bidi w:val="0"/>
        <w:spacing w:after="12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V doterajší bod 117 (§ 34c ods. 5 prvá veta)</w:t>
      </w:r>
    </w:p>
    <w:p w:rsidR="006359E7" w:rsidRPr="009C3EB8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EB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doterajšom bode 117 § 34c ods. 5 prvá veta znie: „</w:t>
      </w:r>
      <w:r w:rsidRPr="005004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Údaje o štatutárnom audítorovi podľa odseku 3 výnimočne nemusia byť sprístupnené verejnosti, ak by ich zverejnenie mohlo viesť k ohrozeniu bezpečnosti akejkoľvek osoby.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6359E7" w:rsidP="006359E7">
      <w:pPr>
        <w:bidi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6359E7" w:rsidP="006359E7">
      <w:pPr>
        <w:pStyle w:val="ListParagraph"/>
        <w:bidi w:val="0"/>
        <w:spacing w:after="0" w:line="240" w:lineRule="auto"/>
        <w:ind w:left="21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Cieľom úpravy je</w:t>
      </w:r>
      <w:r w:rsidRPr="005214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súlade s doterajšou právnou úpravou poskytnúť štatutárnemu audítorovi rovnakú ochranu aj pri zverejňovaní správy o uistení v oblasti vykazovania informácií o udržateľnosti. 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V nový bod 130 (§ 37 ods. 7 úvodná veta)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V sa za doterajší bod 129 vkladá nový bod 130, ktorý znie: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„130. V § 37 ods. 7 úvodnej vete sa za slovo „previerkach“ vkladá slovo „zabezpečenia“.“.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Doterajšie body sa primerane prečíslujú.</w:t>
      </w:r>
    </w:p>
    <w:p w:rsidR="006359E7" w:rsidP="006359E7">
      <w:pPr>
        <w:pStyle w:val="ListParagraph"/>
        <w:bidi w:val="0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359E7" w:rsidP="006359E7">
      <w:pPr>
        <w:bidi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z dôvodu upresnenia textu.</w:t>
      </w:r>
    </w:p>
    <w:p w:rsidR="006359E7" w:rsidRPr="00FC4EB0" w:rsidP="006359E7">
      <w:pPr>
        <w:bidi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V doterajší bod 136 (§ 49 ods. 1 písm. a) prvý bod a písm. b) druhý bod)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1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doterajšom </w:t>
      </w:r>
      <w:r w:rsidRPr="00D771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D771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136 § 49 ods. 1 písm. a) prvom bode a písm. b) druhom bode sa slová „6, 7 a 9“ nahrádzajú slovami „6 až 9“.</w:t>
      </w:r>
    </w:p>
    <w:p w:rsidR="006359E7" w:rsidP="006359E7">
      <w:pPr>
        <w:bidi w:val="0"/>
        <w:spacing w:after="0" w:line="240" w:lineRule="auto"/>
        <w:ind w:left="363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Upresnenie textu v nadväznosti na úpravy v § 30 ods. 6 až 9. </w:t>
      </w:r>
    </w:p>
    <w:p w:rsidR="006359E7" w:rsidP="006359E7">
      <w:pPr>
        <w:bidi w:val="0"/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9E7" w:rsidRPr="00FC4EB0" w:rsidP="006359E7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EB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V doterajší bod 180 (§ 73b ods. 5)</w:t>
      </w:r>
    </w:p>
    <w:p w:rsidR="006359E7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177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V doterajšom bode 180 § 73b ods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  <w:r w:rsidRPr="003177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5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pred doterajšiu vetu vkladá nová prvá veta, ktorá</w:t>
      </w:r>
      <w:r w:rsidRPr="003177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znie:</w:t>
      </w:r>
      <w:r w:rsidRPr="009170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„Ustanovenia § 3 ods. 1 písm. d), ods. 2, 4 a 7 písm. c) a § 30 ods. 7  v znení účinnom od 1. júna 2024 sa prvýkrát uplatnia v súvislosti s písomnou žiadosťou </w:t>
      </w:r>
      <w:r w:rsidRPr="00F415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 vykonanie audítorskej skúšky, ktorá sa koná po 31. decembri 2024.“.</w:t>
      </w:r>
    </w:p>
    <w:p w:rsidR="006359E7" w:rsidRPr="00F415AF" w:rsidP="006359E7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359E7" w:rsidP="006359E7">
      <w:pPr>
        <w:bidi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Vzhľadom na možnosť podať písomnú žiadosť o vykonanie audítorskej skúšky, ktorá sa koná každý rok v októbri, do konca júna príslušného roka, sa upresňuje prvé uplatnenie novej podmienky uvedenej v § 3 </w:t>
        <w:br/>
        <w:t>ods. 1 písm. d) a súvisiacich ustanovení.</w:t>
      </w:r>
    </w:p>
    <w:p w:rsidR="006359E7" w:rsidP="006359E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9E7" w:rsidRPr="006359E7" w:rsidP="006359E7">
      <w:pPr>
        <w:tabs>
          <w:tab w:val="left" w:pos="5295"/>
        </w:tabs>
        <w:bidi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|||||||||||||||ˇ¦|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@SimSun">
    <w:panose1 w:val="02010600030101010101"/>
    <w:charset w:val="86"/>
    <w:family w:val="auto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Arial Narrow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|||||||||||||||ˇ¦|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Arial Narrow Cyr">
    <w:charset w:val="CC"/>
    <w:family w:val="swiss"/>
    <w:pitch w:val="variable"/>
  </w:font>
  <w:font w:name="Arial Narrow Greek">
    <w:charset w:val="A1"/>
    <w:family w:val="swiss"/>
    <w:pitch w:val="variable"/>
  </w:font>
  <w:font w:name="Arial Narrow Tur">
    <w:charset w:val="A2"/>
    <w:family w:val="swiss"/>
    <w:pitch w:val="variable"/>
  </w:font>
  <w:font w:name="Arial Narrow Baltic">
    <w:charset w:val="BA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066"/>
    <w:multiLevelType w:val="hybridMultilevel"/>
    <w:tmpl w:val="F5E4F6C2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1">
    <w:nsid w:val="18E00649"/>
    <w:multiLevelType w:val="hybridMultilevel"/>
    <w:tmpl w:val="40C6394E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3">
    <w:nsid w:val="2A955662"/>
    <w:multiLevelType w:val="hybridMultilevel"/>
    <w:tmpl w:val="A5F88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4">
    <w:nsid w:val="338C4D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50D6081"/>
    <w:multiLevelType w:val="hybridMultilevel"/>
    <w:tmpl w:val="9D1E1C7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6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49713164"/>
    <w:multiLevelType w:val="hybridMultilevel"/>
    <w:tmpl w:val="58B6A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57802036"/>
    <w:multiLevelType w:val="multilevel"/>
    <w:tmpl w:val="66BE1286"/>
    <w:lvl w:ilvl="0">
      <w:start w:val="1"/>
      <w:numFmt w:val="decimal"/>
      <w:lvlText w:val="(%1)"/>
      <w:lvlJc w:val="left"/>
      <w:pPr>
        <w:tabs>
          <w:tab w:val="num" w:pos="720"/>
        </w:tabs>
        <w:ind w:left="-320" w:firstLine="680"/>
      </w:pPr>
      <w:rPr>
        <w:rFonts w:cs="Times New Roman" w:hint="cs"/>
        <w:rtl w:val="0"/>
        <w:cs w:val="0"/>
      </w:rPr>
    </w:lvl>
    <w:lvl w:ilvl="1">
      <w:start w:val="1"/>
      <w:numFmt w:val="lowerLetter"/>
      <w:lvlRestart w:val="0"/>
      <w:pStyle w:val="vymenovanie"/>
      <w:lvlText w:val="%2)"/>
      <w:lvlJc w:val="left"/>
      <w:pPr>
        <w:tabs>
          <w:tab w:val="num" w:pos="1051"/>
        </w:tabs>
        <w:ind w:left="1050" w:hanging="340"/>
      </w:pPr>
      <w:rPr>
        <w:rFonts w:ascii="Times New Roman" w:eastAsia="Times New Roman" w:hAnsi="Times New Roman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:rtl w:val="0"/>
        <w:cs w:val="0"/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cs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0" w:hanging="340"/>
      </w:pPr>
      <w:rPr>
        <w:rFonts w:ascii="Times New Roman" w:hAnsi="Times New Roman" w:cs="Times New Roman" w:hint="cs"/>
        <w:b w:val="0"/>
        <w:i w:val="0"/>
        <w:sz w:val="24"/>
        <w:szCs w:val="24"/>
        <w:vertAlign w:val="baseline"/>
        <w:rtl w:val="0"/>
        <w:cs w:val="0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cs"/>
        <w:rtl w:val="0"/>
        <w:cs w:val="0"/>
      </w:rPr>
    </w:lvl>
  </w:abstractNum>
  <w:abstractNum w:abstractNumId="9">
    <w:nsid w:val="5AB3555E"/>
    <w:multiLevelType w:val="hybridMultilevel"/>
    <w:tmpl w:val="D6367404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10">
    <w:nsid w:val="755642E9"/>
    <w:multiLevelType w:val="hybridMultilevel"/>
    <w:tmpl w:val="088E9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List Paragraph1 Char,Nad Char,ODRAZKY PRVA UROVEN Char,Odsek Char,Odsek zoznamu1 Char,Odsek zoznamu2 Char,Odstavec_muj Char,Seznam - odrážky Char,_Odstavec se seznamem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List Paragraph1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  <w:style w:type="paragraph" w:styleId="NoSpacing">
    <w:name w:val="No Spacing"/>
    <w:link w:val="BezriadkovaniaChar"/>
    <w:uiPriority w:val="1"/>
    <w:qFormat/>
    <w:rsid w:val="00874F0A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874F0A"/>
    <w:rPr>
      <w:rFonts w:ascii="Calibri" w:eastAsia="SimSun" w:hAnsi="Calibri" w:hint="eastAsia"/>
      <w:kern w:val="3"/>
    </w:rPr>
  </w:style>
  <w:style w:type="character" w:styleId="Hyperlink">
    <w:name w:val="Hyperlink"/>
    <w:basedOn w:val="DefaultParagraphFont"/>
    <w:uiPriority w:val="99"/>
    <w:unhideWhenUsed/>
    <w:rsid w:val="0077680D"/>
    <w:rPr>
      <w:rFonts w:cs="Times New Roman" w:hint="cs"/>
      <w:color w:val="0000FF"/>
      <w:u w:val="single"/>
      <w:rtl w:val="0"/>
      <w:cs w:val="0"/>
    </w:rPr>
  </w:style>
  <w:style w:type="paragraph" w:customStyle="1" w:styleId="vymenovanie">
    <w:name w:val="vymenovanie"/>
    <w:basedOn w:val="Normal"/>
    <w:rsid w:val="006359E7"/>
    <w:pPr>
      <w:numPr>
        <w:ilvl w:val="1"/>
        <w:numId w:val="11"/>
      </w:numPr>
      <w:tabs>
        <w:tab w:val="num" w:pos="1051"/>
      </w:tabs>
      <w:spacing w:after="0" w:line="240" w:lineRule="auto"/>
      <w:ind w:left="1050" w:hanging="340"/>
      <w:jc w:val="both"/>
    </w:pPr>
    <w:rPr>
      <w:rFonts w:ascii="Arial Narrow" w:eastAsia="SimSun" w:hAnsi="Arial Narrow" w:cs="Times New Roman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306</TotalTime>
  <Pages>5</Pages>
  <Words>1272</Words>
  <Characters>7255</Characters>
  <Application>Microsoft Office Word</Application>
  <DocSecurity>0</DocSecurity>
  <Lines>0</Lines>
  <Paragraphs>0</Paragraphs>
  <ScaleCrop>false</ScaleCrop>
  <Company>Kancelaria NRSR</Company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139</cp:revision>
  <cp:lastPrinted>2021-11-04T10:03:00Z</cp:lastPrinted>
  <dcterms:created xsi:type="dcterms:W3CDTF">2017-11-07T09:36:00Z</dcterms:created>
  <dcterms:modified xsi:type="dcterms:W3CDTF">2024-04-09T16:13:00Z</dcterms:modified>
</cp:coreProperties>
</file>