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594ED7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594ED7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5DC2" w:rsidRPr="00594ED7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594ED7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594ED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594ED7" w:rsidR="0004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594ED7" w:rsidR="00F81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schôdza výboru</w:t>
      </w:r>
    </w:p>
    <w:p w:rsidR="00AD3B5D" w:rsidRPr="00594ED7" w:rsidP="00731CD6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594ED7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594ED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594ED7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594ED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594ED7" w:rsidR="00657B9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–</w:t>
      </w:r>
      <w:r w:rsidRPr="00594ED7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94ED7" w:rsidR="00AB582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94ED7" w:rsidR="00F73E3F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2362/2023</w:t>
      </w:r>
      <w:r w:rsidRPr="00594ED7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C3442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C3442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594ED7" w:rsidR="00655F26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32</w:t>
      </w:r>
    </w:p>
    <w:p w:rsidR="00EA5DC2" w:rsidRPr="00594ED7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594ED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655F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594ED7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04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594ED7" w:rsidR="007B39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F73E3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</w:p>
    <w:p w:rsidR="00BB64E2" w:rsidRPr="00594ED7" w:rsidP="00AD3B5D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594ED7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594ED7" w:rsidR="00C3442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zákona </w:t>
      </w:r>
      <w:r w:rsidRPr="00594ED7" w:rsidR="00F73E3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o ochrane spotrebiteľa a o zmene a doplnení niektorých zákonov </w:t>
      </w:r>
      <w:r w:rsidRPr="00594ED7" w:rsidR="00F73E3F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53)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;</w:t>
      </w:r>
    </w:p>
    <w:p w:rsidR="003F7A68" w:rsidRPr="00594ED7" w:rsidP="00BB64E2">
      <w:pPr>
        <w:framePr w:wrap="auto"/>
        <w:widowControl/>
        <w:autoSpaceDE/>
        <w:autoSpaceDN/>
        <w:bidi w:val="0"/>
        <w:adjustRightInd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242C8" w:rsidRPr="00594ED7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594ED7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594ED7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594ED7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594ED7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594ED7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594ED7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594ED7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AD3B5D" w:rsidRPr="00594ED7" w:rsidP="00AD3B5D">
      <w:pPr>
        <w:framePr w:wrap="auto"/>
        <w:widowControl/>
        <w:autoSpaceDE/>
        <w:autoSpaceDN/>
        <w:bidi w:val="0"/>
        <w:adjustRightInd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5242C8" w:rsidRPr="00594ED7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cs-CZ" w:eastAsia="sk-SK" w:bidi="ar-SA"/>
        </w:rPr>
      </w:pPr>
      <w:r w:rsidRPr="00594ED7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594ED7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594ED7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v</w:t>
      </w:r>
      <w:r w:rsidRPr="00594ED7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ládnym návrhom zákona </w:t>
      </w:r>
      <w:r w:rsidRPr="00594ED7" w:rsidR="0046484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o ochrane spotrebiteľa a o zmene a doplnení niektorých zákonov </w:t>
      </w:r>
      <w:r w:rsidRPr="00594ED7" w:rsidR="00464841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53</w:t>
      </w:r>
      <w:r w:rsidRPr="00594ED7" w:rsidR="00CD3401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)</w:t>
      </w:r>
      <w:r w:rsidRPr="00594ED7" w:rsidR="00B70D4C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594ED7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594ED7" w:rsidP="00AD3B5D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spacing w:after="120"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594ED7" w:rsidP="00AD3B5D">
      <w:pPr>
        <w:keepNext/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DB0808" w:rsidRPr="00594ED7" w:rsidP="00B625F8">
      <w:pPr>
        <w:framePr w:wrap="auto"/>
        <w:widowControl/>
        <w:autoSpaceDE/>
        <w:autoSpaceDN/>
        <w:bidi w:val="0"/>
        <w:adjustRightInd/>
        <w:spacing w:after="120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bCs/>
          <w:color w:val="auto"/>
          <w:szCs w:val="20"/>
          <w:rtl w:val="0"/>
          <w:cs w:val="0"/>
          <w:lang w:val="cs-CZ" w:eastAsia="sk-SK" w:bidi="ar-SA"/>
        </w:rPr>
      </w:pPr>
      <w:r w:rsidRPr="00594ED7" w:rsidR="00CD3401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zákona </w:t>
      </w:r>
      <w:r w:rsidRPr="00594ED7" w:rsidR="004B103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o ochrane spotrebiteľa a o zmene a doplnení niektorých zákonov </w:t>
      </w:r>
      <w:r w:rsidRPr="00594ED7" w:rsidR="004B1033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53)</w:t>
      </w:r>
      <w:r w:rsidRPr="00594ED7" w:rsidR="004B1033">
        <w:rPr>
          <w:rFonts w:ascii="Times New Roman" w:eastAsia="Times New Roman" w:hAnsi="Times New Roman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594ED7" w:rsidR="00B625F8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594ED7" w:rsidR="00B625F8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594ED7" w:rsidR="00B625F8">
        <w:rPr>
          <w:rFonts w:ascii="Times New Roman" w:eastAsia="Times New Roman" w:hAnsi="Times New Roman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 xml:space="preserve"> s pozmeňujúcimi a doplňujúcimi návrhmi uvedenými v prílohe;</w:t>
      </w:r>
    </w:p>
    <w:p w:rsidR="005242C8" w:rsidRPr="00594ED7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594ED7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AD3B5D" w:rsidRPr="00594ED7" w:rsidP="00731CD6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594ED7"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594ED7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594ED7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Pr="00594ED7" w:rsidR="001F56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3F7A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  <w:r w:rsidRPr="00594ED7" w:rsidR="00655F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594ED7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94ED7" w:rsidR="0004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594ED7" w:rsidR="00B625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4B10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 správy výborov v súlade s § 79 ods. 1 </w:t>
      </w:r>
      <w:r w:rsidRPr="00594ED7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850C30" w:rsidRPr="00594ED7" w:rsidP="00731CD6">
      <w:pPr>
        <w:framePr w:wrap="auto"/>
        <w:widowControl/>
        <w:numPr>
          <w:numId w:val="2"/>
        </w:numPr>
        <w:tabs>
          <w:tab w:val="left" w:pos="709"/>
          <w:tab w:val="clear" w:pos="720"/>
        </w:tabs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594ED7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594ED7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594ED7" w:rsidR="00781C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594ED7" w:rsidR="00731CD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94ED7" w:rsidR="00781C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Šimka</w:t>
      </w:r>
      <w:r w:rsidRPr="00594ED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594ED7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594ED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594ED7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594ED7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Pr="00594ED7" w:rsidR="00731CD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594ED7"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8B705B" w:rsidRPr="00594ED7" w:rsidP="00E52E62">
      <w:pPr>
        <w:framePr w:wrap="auto"/>
        <w:widowControl/>
        <w:autoSpaceDE/>
        <w:autoSpaceDN/>
        <w:bidi w:val="0"/>
        <w:adjustRightInd/>
        <w:spacing w:after="120"/>
        <w:ind w:left="714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    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            predseda výboru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4B1033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C73D60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73D60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73D60" w:rsidRPr="00594ED7" w:rsidP="004B1033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31CD6" w:rsidRPr="00594ED7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Pr="00594ED7" w:rsidR="00DE08D9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</w:r>
    </w:p>
    <w:p w:rsidR="00DE08D9" w:rsidRPr="00594ED7" w:rsidP="00DE08D9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 w:rsidRPr="00594ED7" w:rsidR="00731CD6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Pr="00594ED7"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 w:rsidR="000D5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94ED7" w:rsidR="0004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594ED7" w:rsidR="00DD140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uzneseniu č. </w:t>
      </w:r>
      <w:r w:rsidRPr="00594ED7" w:rsidR="00655F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915F96" w:rsidRPr="00594ED7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E08D9" w:rsidRPr="00594ED7" w:rsidP="00DE08D9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DE08D9" w:rsidRPr="00594ED7" w:rsidP="00DE08D9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08D9" w:rsidRPr="00594ED7" w:rsidP="00DE08D9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Arial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594ED7" w:rsidR="000D5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 </w:t>
      </w:r>
      <w:r w:rsidRPr="00594ED7" w:rsidR="00432C7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 ochrane spotrebiteľa a o zmene a doplnení niektorých zákonov </w:t>
      </w:r>
      <w:r w:rsidRPr="00594ED7" w:rsidR="00432C7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53)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7 ods. 2 písm. a) sa vypúšťajú slová „nie kratšom ako“.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Navrhuje sa spresnenie vymedzenia pojmu „predchádzajúca cena tovaru“ s cieľom predchádzať interpretačným nejasnostiam a odlišným výkladom v aplikačnej praxi. Aby boli spotrebitelia transparentne informovaní o rozsahu zľavy, pri uvádzaní predchádzajúcej ceny sa má uvádzať najnižšia cena, za ktorú obchodník predával zľavnený tovar za posledných 30 dní pred znížením ceny.</w:t>
      </w:r>
    </w:p>
    <w:p w:rsidR="00BB15EE" w:rsidRPr="00594ED7" w:rsidP="00BB15EE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after="160"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 § 10 ods. 2 písm. c) sa slová „ak tovary majú“ nahrádzajú slovami „hoci tovar má“ a slovo „tovarov“ sa nahrádza slovom „tovaru“.</w:t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navrhovaný právny text precizuje v súlade čl. 6 smernice 2005/29 a súčasne s bodom 3 Prílohy č. 2 k Legislatívnym pravidlám tvorby zákonov („pri tvorbe zákona sa používa jednotné číslo“) a s navrhovaným textom v § 10 ods. 2 písm. c), v ktorom sa používa jednotné číslo.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§ 14 ods. 6 písm. k) sa slová „zmluvu o hazardných hrách“ nahrádzajú slovami „prevádzkovanie hazardných hier“.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úprava, ktorou sa zosúlaďuje terminológia normatívneho textu s. čl. I, § 5 ods. 6 písm. j).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  <w:tab/>
        <w:tab/>
        <w:tab/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poznámke pod čiarou k odkazu 73 sa vypúšťa čiarka a citácia „§ 29 zákona č. 170/2018 Z. z.“.</w:t>
      </w:r>
    </w:p>
    <w:p w:rsidR="000269C8" w:rsidRPr="00594ED7" w:rsidP="00E30D30">
      <w:pPr>
        <w:framePr w:wrap="auto"/>
        <w:widowControl/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nadväznosti na čl. XV zákona č. 7/2024 Z. z., ktorým sa mení a dopĺňa zákon č. 575/2001 Z. z. o organizácii činnosti vlády a organizácii ústrednej štátnej správy v znení neskorších predpisov a ktorým sa menia a dopĺňajú niektoré zákony, sa vypúšťa citácia § 29 zákona č. 170/2018 Z. z., keďže v § 29 ods. 1 a 2 kompetencia Ministerstva hospodárstva Slovenskej republiky ako kontaktného miesta Slovenskej republiky v rámci siete kontaktných miest členských štátov Európskej únie od 1. februára 2024 zanikla 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 v § 25 ods. 5 sa slová „Ministerstvo spravodlivosti Slovenskej republiky“ nahrádzajú slovami „ministerstvo hospodárstva“.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Cieľom pozmeňujúceho návrhu je presunúť gesciu nad fungovaním Komisie na posudzovanie podmienok v spotrebiteľských zmluvách a nekalých obchodných praktík obchodníkov z Ministerstva spravodlivosti Slovenskej republiky na Ministerstvo hospodárstva Slovenskej republiky. Na tento účel sa navrhuje zmena splnomocňujúceho ustanovenia v § 25 ods. 5 návrhu zákona. Do vydania novej vyhlášky Ministerstva hospodárstva Slovenskej republiky bude platiť doterajšia vykonávacia vyhláška vydaná Ministerstvom spravodlivosti Slovenskej republiky, čo vyplýva z prechodného ustanovenia v § 53 ods. 5.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I, § 43 ods. 1 písm. b)  sa slová „(Ú. v. EÚ L 46, 17. 2. 2004)“, „(Ú. v. EÚ L 204, 26. 7. 2006)“, „(prepracované znenie) (Ú. v. EÚ L 293, 31. 10. 2008)“, „(Ú. v. EÚ L 334, 17. 12. 2010)“, „(Ú. v. EÚ L 55, 28. 2. 2011)“, „(Ú. v. EÚ L 272, 18. 10. 2011)“, „(Ú. v. EÚ L 165, 18.6.2013)“, „(Ú. v. EÚ L 168, 30. 6. 2017)“ a „(Ú. v. EÚ L 60I, 2. 3. 2018)“ vypúšťajú.</w:t>
      </w: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 w:line="259" w:lineRule="auto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Legislatívno-technickú úprava, ktorou sa v navrhovanom, normatívnom texte zákona vypúšťajú slová – odkazy na Úradný vestník Európskej únie, v ktorom sú publikované príslušné právne záväzné akty Európskej únie. V normatívnom texte sa publikačný zdroj (Úradný vestník) neuvádza, iba v poznámke pod čiarou ako informácia pre adresáta právnej normy.</w:t>
      </w: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53 sa vypúšťa odsek 6.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S ohľadom na navrhované posunutie účinnosti celého zákona sa navrhuje vypustenie prechodného ustanovenia, ktorým sa osobitne upravoval dátum, odkedy je obchodník povinný splniť povinnosť stanovenú v čl. I § 7. Primeraná legisvakačná doba na splnenie uvedenej povinnosti sa zabezpečuje posunutím účinnosti celého zákona na 1. júla 2024.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prílohe č. 4 k zákonu 6. bode sa slová „v znení delegovaného nariadenia Komisie (EÚ) 2021/1444 zo 17. júna 2021 (Ú. v. EÚ L 313, 6.9.2021)“ vypúšťajú.</w:t>
      </w: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 w:line="259" w:lineRule="auto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úprava, ktorou sa vypúšťa odkaz na delegované nariadenia Komisie (EÚ) 2021/1444 zo 17. júna 2021, vzhľadom na skutočnosť, že smernica Európskeho parlamentu a Rady 2014/94/EÚ z 22. októbra 2014 nebola zmenená a doplnená delegovaným nariadením Komisie (EÚ) 2021/1444 zo 17. júna 2021. Podľa Úradného vestníka Európskej únie, zverejnenom na portáli EUR-Lex, smernica Európskeho parlamentu a Rady 2014/94/EÚ z 22. októbra 2014 o zavádzaní infraštruktúry pre alternatívne palivá bola zmenená a doplnená  1. delegovaným  nariadením Komisie (EÚ) 2018/674 zo 17. novembra 2017 a 2. delegovaným  nariadením Komisie (EÚ) 2019/1745 z 13. augusta 2019, pričom delegované nariadenie Komisie (EÚ) 2018/674 bolo zrušené a nahradené delegovaným  nariadením Komisie (EÚ) 2019/1745 z 13. augusta 2019.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II, 20. bode § 626 ods. 1 sa slová „alebo predávajúci môžu poskytnúť“ nahrádzajú slovami „alebo predávajúci môže poskytnúť“.</w:t>
      </w: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 w:line="252" w:lineRule="auto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(množné číslo sa nahrádza jednotným číslom).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V, 4. a</w:t>
      </w:r>
      <w:r w:rsidRPr="00594ED7" w:rsidR="00BB15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5</w:t>
      </w:r>
      <w:r w:rsidRPr="00594ED7" w:rsidR="00BB15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bod znejú: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„4. V § 91 sa odsek 4 dopĺňa písmenom ag), ktoré znie: 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„ag) orgánu dohľadu v rozsahu nevyhnutnom na zistenie majiteľa účtu, ak je to potrebné  pri výkone dohľadu podľa osobitného predpisu.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86dqb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Poznámka pod čiarou k odkazu 86dqb znie: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86dqb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28 ods. 6 zákona č. .../2024 Z. z.“.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  <w:t>5. V § 91 ods. 5 sa slová „s), w) a af)” nahrádzajú slovami „s), w), af) a ag)“.“.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v nadväznosti na zákon č. 508/2023 Z. z., ktorým sa menia a dopĺňajú niektoré zákony v súvislosti s pomocou so splácaním úverov na bývanie (čl. II) a zákon č. 526/2023 Z. z. o pomoci pri splácaní úveru na bývanie a o zmene a doplnení niektorých zákonov (čl. II), je potrebné preznačiť v § 91 ods. 4 písmeno af) na písmeno ag) a taktiež je potrebné preznačiť odkaz 86doa na odkaz 86dqb. V nadväznosti na navrhovanú úpravu, sa upraví úvodná veta k poznámke pod čiarou a označenie poznámky pod čiarou.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after="160"/>
        <w:ind w:left="4253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V, 6. bode § 93d ods. 1 sa slová „Banka a pobočka zahraničnej banky zodpovedá“ nahrádzajú slovami „Banka a pobočka zahraničnej banky zodpovedajú“ a slová „Banka a pobočka zahraničnej banky je povinná“ sa nahrádzajú slovami „Banka a pobočka zahraničnej banky sú povinné“.</w:t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 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V, 6. bode § 93d ods. 2 a ods. 6 sa slová „Banka a pobočka zahraničnej banky je povinná“ nahrádzajú slovami „Banka a pobočka zahraničnej banky sú povinné“ a slová „je banka a pobočka zahraničnej banky povinná“ sa nahrádzajú slovami „sú banka a pobočka zahraničnej banky povinné“.</w:t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čl. V, 6. bode § 93d ods. 3 a ods. 4 sa slová „Banka a pobočka zahraničnej banky je povinná“ nahrádzajú slovami „Banka a pobočka zahraničnej banky sú povinné“.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čl. V, 6. bode § 93d ods. 5 sa slová „Banka a pobočka zahraničnej banky rozhodne“ nahrádzajú slovami „Banka a pobočka zahraničnej banky rozhodnú“.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left="283" w:right="0" w:hanging="357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V, 6. bode § 93d ods. 8 sa slová „Banka a pobočka zahraničnej banky je povinná“ nahrádzajú slovami „Banka a pobočka zahraničnej banky sú povinné“ a slová „banka a pobočka zahraničnej banky je povinná“ sa nahrádzajú slovami „banka a pobočka zahraničnej banky sú povinné“.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284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úprava, ktorou sa gramaticky upravuje text v súlade s prílohou č. 2 k Legislatívnym pravidlám tvorby zákonov.</w:t>
      </w:r>
    </w:p>
    <w:p w:rsidR="00BB15EE" w:rsidRPr="00594ED7" w:rsidP="00BB15EE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strike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VI, 17. bode (§ 5 ods. 13) sa slová „vypúšťajú slová“ nahrádzajú slovami „sa vypúšťa čiarka a slová“.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úprava, spresnenie znenia pozmeňujúceho návrhu.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VII sa doterajší text za úvodnou vetou označuje ako 1. bod a dopĺňa sa 2. bod, ktorý znie: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„2. Poznámka pod čiarou k odkazu 13c sa vypúšťa.“.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z dôvodu, že poznámka pod čiarou k odkazu 13c obsahuje odkaz na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"aspi://module='ASPI'&amp;link='250/2007%20Z.z.%25237-9'&amp;ucin-k-dni='30.12.9999'"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7 až 9 zákona č. 250/2007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 ochrane spotrebiteľa, ktorý sa v čl. I návrhu zákona zrušuje a v normatívnom texte zákona sa predmetný odkaz 13c neuvádza.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720" w:right="0"/>
        <w:contextualSpacing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XIII, 1. bod znie: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„1. V § 1 ods. 5 sa za slovo „20e,“ vkladajú slová „§ 20f,“.“.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XIII sa za 8. bod vkladá nový 9. bod, ktorý znie: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„9. V § 24 ods. 4 sa za slová „§ 20e“ dopĺňajú slová „a § 20f“.“.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Nasledujúci bod sa primerane preznačí.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53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vzhľadom na to, že v legislatívnom procese je súbežne predložená aj tlač 140, ktorá v čl. V novelizuje zákon č. 129/2010 Z. z. a v 5. bode rovnako vkladá § 20f, je potrebné vzhľadom na rôznu účinnosť zákonov z dôvodu predídenia vecnej kolízie vykonať navrhovanú legislatívnu úpravu.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27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XV sa za bod 4 vkladá nový bod 5, ktorý znie: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„5. V prílohe č. 5 sa slová „zákon č. 250/2007 Z. z. o ochrane spotrebiteľa a o zmene zákona Slovenskej národnej rady č. 372/1990 Zb. o priestupkoch v znení neskorších predpisov v znení neskorších predpisov“ nahrádzajú slovami „zákon č. .../2024 Z. z. o ochrane spotrebiteľa a o zmene a doplnení niektorých zákonov“.“.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Príloha č. 5 k zákonu č. 161/2011 Z. z. o ochrane spotrebiteľa pri poskytovaní niektorých služieb cestovného ruchu a o zmene a doplnení niektorých zákonov v znení neskorších predpisov odkazuje na zákon č. 250/2007 Z. z. o ochrane spotrebiteľa a o zmene zákona Slovenskej národnej rady č. 372/1990 Zb. o priestupkoch v znení neskorších predpisov v znení neskorších predpisov, ktorý sa v zmysle čl. I § 55 návrhu zákona zrušuje. V nadväznosti na uvedené je potrebné túto citáciu nahradiť citáciou návrhu zákona.</w:t>
      </w:r>
    </w:p>
    <w:p w:rsidR="00BB15EE" w:rsidRPr="00594ED7" w:rsidP="00BB15EE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after="160" w:line="360" w:lineRule="auto"/>
        <w:ind w:left="36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8. bode sa na konci pripája veta, ktorá znie: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„Poznámka pod čiarou k odkazu 37 sa vypúšťa.“.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z dôvodu, že v 8. bode sa vypúšťa odsek 13, ktorý obsahuje odkaz 37, pričom tento odkaz sa ďalej v normatívnej časti zákona neuvádza a poznámka pod čiarou k tomuto odkazu obsahuje odkaz na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"aspi://module='ASPI'&amp;link='250/2007%20Z.z.%252318'&amp;ucin-k-dni='30.12.9999'"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18 zákona č. 250/2007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"aspi://module='ASPI'&amp;link='397/2008%20Z.z.'&amp;ucin-k-dni='30.12.9999'"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397/2008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ktorý sa v čl. I návrhu zákona zrušuje.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1, 2 a ods. 4 v prvej a druhej vete, ods. 5 v tretej vete a ods. 7 sa slová „je povinný“ nahrádzajú slovami „sú povinní“.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3 v prvej vete sa slová „je povinný“ nahrádzajú slovami „sú povinní“ a v tretej vete sa slová „je zároveň povinný“ sa nahrádzajú slovami „sú zároveň povinní“.</w:t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5 v prvej vete sa slovo „rozhodne“ nahrádza slovom „rozhodnú“.</w:t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XVIII, 14. bode § 17a ods. 6 sa slová „je dodávateľ elektriny, dodávateľ plynu, agregátor, prevádzkovateľ distribučnej sústavy a prevádzkovateľ distribučnej siete povinný“ nahrádzajú slovami „sú dodávateľ elektriny, dodávateľ plynu, agregátor, prevádzkovateľ distribučnej sústavy a prevádzkovateľ distribučnej siete povinní“.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567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 legislatívno-technickú úpravu, ktorou sa gramaticky upravuje text v súlade s prílohou č. 2 k Legislatívnym pravidlám tvorby zákonov (pri vyjadrení kumulatívneho vzťahu sa používa množné číslo.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15. bode sa vypúšťajú slová „a § 96 ods. 7“.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 ods. 7 je skonzumované prechodné ustanovenie a nemožno v ňom vykonať navrhovanú právnu úpravu. 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16. bode sa vypúšťajú slová „a § 96g ods. 1“.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96g ods. 1 je skonzumované prechodné ustanovenie a nemožno v ňom vykonať navrhovanú právnu úpravu.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17. bode sa vypúšťa čiarka a slová „§ 96g ods. 2 a § 96j“.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Spresnenie ustanovenia z dôvodu, že § 96g ods. 2 a § 96j sú skonzumované prechodné ustanovenia a nemožno v ňom vykonať navrhovanú právnu úpravu. 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 sa za 21. bod vkladá nový 22. bod, ktorý znie: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„22. Poznámka pod čiarou k odkazu 68 sa vypúšťa.“.“.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Nasledujúci bod sa primerane preznačí.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vypúšťa sa neaktuálna poznámka pod čiarou k odkazu 68, ktorá obsahuje zákon č.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"aspi://module='ASPI'&amp;link='250/2007%20Z.z.'&amp;ucin-k-dni='30.12.9999'"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250/2007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 ochrane spotrebiteľa. K uvedenej poznámke pod čiarou sa v normatívnom texte odkaz 68 neuvádza.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XVIII, 22. bode sa slová „Za § 96m sa vkladá § 96n“ nahrádzajú slovami „Za 96l sa vkladá § 96la“, a zároveň označenie § 96n sa nahrádza označením § 96la.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  <w:tab/>
        <w:tab/>
        <w:tab/>
        <w:tab/>
        <w:tab/>
      </w: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2836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Legislatívno-technická úprava; chronologické usporiadanie prechodných ustanovení v nadväznosti na čl. LI zákona č. 205/2023 Z. z. </w:t>
      </w:r>
      <w:r w:rsidRPr="00594ED7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 xml:space="preserve">o zmene a doplnení niektorých zákonov v súvislosti s reformou stavebnej legislatívy a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čl. IX zákona z 13. februára, ktorým sa mení a dopĺňa zákon č. 50/1976 Zb. o územnom plánovaní a stavebnom poriadku (stavebný zákon) v znení neskorších predpisov a ktorým sa menia a dopĺňajú niektoré zákony, ktorým sa novelizuje 38. bod čl. LI (zákon č. 251/2012 Z. z. o energetike) zákona č. 205/2023 Z. z. o zmene a doplnení niektorých zákonov v súvislosti s reformou stavebnej legislatívy.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424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XXII, 2. bod znie: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„2. V § 1 ods. 1 písm. a) sa nad slovo „spotrebiteľom“ umiestňuje odkaz 1 a nad slovo „obchodníkom“ sa umiestňuje odkaz 1a.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567" w:right="0" w:firstLine="42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567" w:right="0" w:firstLine="425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Poznámky pod čiarou k odkazom 1 a 1a znejú: 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52 ods. 4 Občianskeho zákonníka.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line="360" w:lineRule="auto"/>
        <w:ind w:left="99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1a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52 ods. 3 Občianskeho zákonníka.“.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993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141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Doterajší odkaz 1 sa označuje ako odkaz 1b a doterajšia poznámka pod čiarou k odkazu 1 sa označuje ako poznámka pod čiarou k odkazu 1b.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1418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E30D30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545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 v súlade s 34. bodom Prílohy č. 2, Legislatívno-technické pokyny, Legislatívnych pravidiel tvorby zákonov (č. 19/1997 Z. z.).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XXII, 3. bode (§ 1 ods. 4) sa odkazy na poznámky pod čiarou 9b, 9a a 9c označujú ako odkazy na poznámky pod čiarou 2a, 2b a 2c a na konci sa pripájajú vety, ktoré znejú: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„Poznámky pod čiarou k odkazom 2a až 2c znejú:</w:t>
      </w:r>
    </w:p>
    <w:p w:rsidR="000269C8" w:rsidRPr="00594ED7" w:rsidP="000269C8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2a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"aspi://module='ASPI'&amp;link='492/2009%20Z.z.%252344d'&amp;ucin-k-dni='30.12.9999'"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44d zákona č. 492/2009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o platobných službách a o zmene a doplnení niektorých zákonov v znení zákona č.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"aspi://module='ASPI'&amp;link='405/2015%20Z.z.'&amp;ucin-k-dni='30.12.9999'"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405/2015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</w:p>
    <w:p w:rsidR="000269C8" w:rsidRPr="00594ED7" w:rsidP="000269C8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2b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"aspi://module='ASPI'&amp;link='492/2009%20Z.z.%252390'&amp;ucin-k-dni='30.12.9999'"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90 ods. 1 zákona č. 492/2009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"aspi://module='ASPI'&amp;link='373/2018%20Z.z.'&amp;ucin-k-dni='30.12.9999'"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373/2018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0269C8" w:rsidRPr="00594ED7" w:rsidP="000269C8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2c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)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"aspi://module='ASPI'&amp;link='492/2009%20Z.z.%252344d'&amp;ucin-k-dni='30.12.9999'"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§ 44d ods. 5 zákona č. 492/2009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v znení zákona č. 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begin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instrText xml:space="preserve"> HYPERLINK "aspi://module='ASPI'&amp;link='405/2015%20Z.z.'&amp;ucin-k-dni='30.12.9999'" </w:instrTex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separate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405/2015 Z. z.</w:t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fldChar w:fldCharType="end"/>
      </w: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“.“. </w:t>
      </w:r>
    </w:p>
    <w:p w:rsidR="000269C8" w:rsidRPr="00594ED7" w:rsidP="000269C8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Zároveň v čl. XXII, 5. bode sa slová „8 a 9“ nahrádzajú slovami „8 až 9c“.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0269C8" w:rsidP="00E30D30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úprava; preznačenie odkazov a poznámok pod čiarou z dôvodu zachovania ich chronologického číslovania. </w:t>
      </w:r>
    </w:p>
    <w:p w:rsidR="00F706AC" w:rsidRPr="00594ED7" w:rsidP="00E30D30">
      <w:pPr>
        <w:framePr w:wrap="auto"/>
        <w:widowControl/>
        <w:autoSpaceDE/>
        <w:autoSpaceDN/>
        <w:bidi w:val="0"/>
        <w:adjustRightInd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269C8" w:rsidRPr="00594ED7" w:rsidP="00BB15EE">
      <w:pPr>
        <w:framePr w:wrap="auto"/>
        <w:widowControl/>
        <w:numPr>
          <w:numId w:val="34"/>
        </w:numPr>
        <w:tabs>
          <w:tab w:val="left" w:pos="284"/>
          <w:tab w:val="left" w:pos="567"/>
        </w:tabs>
        <w:autoSpaceDE/>
        <w:autoSpaceDN/>
        <w:bidi w:val="0"/>
        <w:adjustRightInd/>
        <w:spacing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XXII, 22. bod znie:</w:t>
      </w:r>
    </w:p>
    <w:p w:rsidR="000269C8" w:rsidRPr="00594ED7" w:rsidP="000269C8">
      <w:pPr>
        <w:framePr w:wrap="auto"/>
        <w:widowControl/>
        <w:tabs>
          <w:tab w:val="left" w:pos="284"/>
        </w:tabs>
        <w:autoSpaceDE/>
        <w:autoSpaceDN/>
        <w:bidi w:val="0"/>
        <w:adjustRightInd/>
        <w:spacing w:line="360" w:lineRule="auto"/>
        <w:ind w:left="851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„22. V § 9 ods. 2 sa za slovom „ministerstvu“ vypúšťa čiarka a slová „ktoré poverenú fyzickú osobu zo zoznamu vyčiarkne“.“.</w:t>
      </w:r>
    </w:p>
    <w:p w:rsidR="000269C8" w:rsidRPr="00594ED7" w:rsidP="00E30D30">
      <w:pPr>
        <w:framePr w:wrap="auto"/>
        <w:widowControl/>
        <w:autoSpaceDE/>
        <w:autoSpaceDN/>
        <w:bidi w:val="0"/>
        <w:adjustRightInd/>
        <w:spacing w:after="160"/>
        <w:ind w:left="2836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úprava; spresnenie znenia ustanovenia.</w:t>
      </w:r>
    </w:p>
    <w:p w:rsidR="000269C8" w:rsidRPr="00594ED7" w:rsidP="000269C8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XXIII bod 3 znie: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„3. V § 31 odsek 1 znie: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„(1) Orgánom dohľadu je Slovenská obchodná inšpekcia. Na výkon dohľadu, na konanie o porušení povinnosti podľa tohto zákona a na uloženie sankcie za jej porušenie sa vzťahuje osobitný predpis.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25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)“.“.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Poznámka pod čiarou k odkazu 25 znie: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25</w:t>
      </w: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Štvrtá a piata časť zákona č. .../2024 Z. z. o ochrane spotrebiteľa a o zmene a doplnení niektorých zákonov.“.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Navrhuje sa úprava formulácie v nadväznosti na skôr zavedenú legislatívnu skratku „orgán dohľadu“ v § 6 ods. 3 platného znenia zákona s cieľom odstrániť vzniknutú duplicitu.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XXV sa slová „1. marca 2024“ nahrádzajú slovami „1. júla 2024“.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nadväznosti na navrhovaný posun účinnosti zákona sa vykonajú nasledovné úpravy: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53 ods. 1 až 4 sa slová „29. februára 2024“ vo všetkých tvaroch nahrádzajú slovami „30. júna 2024“ v príslušnom tvare a slová „1. marcom 2024“ sa nahrádzajú slovami „1. júlom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II bode 30 nadpise dvadsiatej šiestej hlavy sa slová „1. marca 2024“ nahrádzajú slovami „1. júla 2024“ a v celom texte § 879x sa slová „29. februára 2024“ vo všetkých tvaroch nahrádzajú slovami „30. júna 2024“ v príslušnom tvare a slová „1. marcom 2024“ sa nahrádzajú slovami „1. júlom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III bode 3 nadpise § 43h sa slová „1. marca 2024“ nahrádzajú slovami                                           „1. júla 2024“ a v celom texte § 43h sa slová „1. marcom 2024“ nahrádzajú slovami „1. júlom 2024“ a 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IV bode 8 nadpise § 11c sa slová „1. marca 2024“ nahrádzajú slovami                                             „1. júla 2024“ a v celom texte § 11c sa slová „1. marcom 2024“ nahrádzajú slovami „1. júlom 2024“ a slová „29. februára 2024“ sa nahrádzajú slovami „30. júna 2024“.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 bode 7 nadpise § 122yg sa slová „1. marca 2024“ nahrádzajú slovami                                         „1. júla 2024“ a v celom texte § 122yg sa slová „1. marcom 2024“ nahrádzajú slovami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VI bode 23 nadpise § 14aa sa slová „1. marca 2024“ nahrádzajú slovami                                           „1. júla 2024“ a v celom texte § 14aa sa slová „1. marcom 2024“ nahrádzajú slovami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VIII bode 4 nadpise § 8b sa slová „1. marca 2024“ nahrádzajú slovami                                                „1. júla 2024“ a v celom texte § 8b sa slová „1. marcom 2024“ nahrádzajú slovami                          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IX bode 2  nadpise § 123bib sa slová „1. marca 2024“ nahrádzajú slovami                                                „1. júla 2024“ a v celom texte § 123bib sa slová „1. marcom 2024“ nahrádzajú slovami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 bode 2 nadpise § 87t sa slová „1. marca 2024“ nahrádzajú slovami                                                „1. júla 2024“ a v celom texte § 87t sa slová „1. marcom 2024“ nahrádzajú slovami                          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XII bode 21 nadpise § 45i sa slová „1. marca 2024“ nahrádzajú slovami                                                „1. júla 2024“ a v celom texte § 45i sa slová „1. marca 2024“ vo všetkých tvaroch nahrádzajú slovami „1. júla 2024“ v príslušnom tvare a slová „29. februára 2024“                                              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XIII bode 9 nadpise § 25l sa slová „1. marca 2024“ nahrádzajú slovami                                           „1. júla 2024“ a v celom texte § 25l sa slová „1. marcom 2024“ nahrádzajú slovami                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XIV bode 2 nadpise § 20a sa slová „1. marca 2024“ nahrádzajú slovami                                         „1. júla 2024“ a v celom texte § 20a sa slová „1. marcom 2024“ nahrádzajú slovami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 bode 4 nadpise § 9b sa slová „1. marca 2024“ nahrádzajú slovami                                         „1. júla 2024“ a v celom texte § 9b sa slová „1. marcom 2024“ nahrádzajú slovami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XVI bode 2 nadpise § 220f sa slová „1. marca 2024“ nahrádzajú slovami                                         „1. júla 2024“ a v celom texte § 220f sa slová „1. marcom 2024“ nahrádzajú slovami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XVIII bode 22 nadpise § 96n sa slová „1. marca 2024“ nahrádzajú slovami                                         „1. júla 2024“ a v celom texte § 96n sa slová „1. marcom 2024“ nahrádzajú slovami 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tabs>
          <w:tab w:val="left" w:pos="3119"/>
        </w:tabs>
        <w:autoSpaceDE/>
        <w:autoSpaceDN/>
        <w:bidi w:val="0"/>
        <w:adjustRightInd/>
        <w:ind w:left="36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XXII bode 79 nadpise § 29a sa slová „1. marca 2024“ nahrádzajú slovami                                         „1. júla 2024“ a v celom texte § 29a sa slová „1. marca 2024“ vo všetkých tvaroch nahrádzajú slovami „1. júla 2024“ v príslušnom tvare a slová „29. februára 2024“                                               sa nahrádzajú slovami „30. júna 2024“. 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numPr>
          <w:numId w:val="35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XXIII bode 9 nadpise § 33c sa slová „1. marca 2024“ nahrádzajú slovami                                         „1. júla 2024“ a v celom texte § 33c sa slová „1. marcom 2024“ nahrádzajú slovami „1. júlom 2024“ a slová „29. februára 2024“ sa nahrádzajú slovami „30. júna 2024“.</w:t>
      </w: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BB15EE" w:rsidRPr="00594ED7" w:rsidP="00BB15EE">
      <w:pPr>
        <w:framePr w:wrap="auto"/>
        <w:widowControl/>
        <w:autoSpaceDE/>
        <w:autoSpaceDN/>
        <w:bidi w:val="0"/>
        <w:adjustRightInd/>
        <w:ind w:left="3119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594ED7"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>Navrhuje sa posunutie účinnosti zákona vrátane ustanovení súvisiacich s účinnosťou zákona s cieľom zabezpečiť primeranú legisvakančnú dobu.</w:t>
      </w:r>
    </w:p>
    <w:p w:rsidR="000269C8" w:rsidRPr="00594ED7" w:rsidP="00A31275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Helvetica">
    <w:panose1 w:val="020B0604020202020204"/>
    <w:charset w:val="EE"/>
    <w:family w:val="swiss"/>
    <w:pitch w:val="variable"/>
  </w:font>
  <w:font w:name="Wingdings">
    <w:altName w:val="Symbol"/>
    <w:panose1 w:val="05000000000000000000"/>
    <w:charset w:val="02"/>
    <w:family w:val="auto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0000000000000000000"/>
    <w:charset w:val="EE"/>
    <w:family w:val="roman"/>
    <w:pitch w:val="variable"/>
  </w:font>
  <w:font w:name="@SimSun">
    <w:panose1 w:val="02010600030101010101"/>
    <w:charset w:val="86"/>
    <w:family w:val="auto"/>
    <w:pitch w:val="variable"/>
  </w:font>
  <w:font w:name="Lucida Sans">
    <w:panose1 w:val="020B0602030504020204"/>
    <w:charset w:val="00"/>
    <w:family w:val="swiss"/>
    <w:pitch w:val="variable"/>
  </w:font>
  <w:font w:name="@MS Gothic">
    <w:panose1 w:val="020B0609070205080204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F706AC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11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EBA"/>
    <w:multiLevelType w:val="hybridMultilevel"/>
    <w:tmpl w:val="6EEE3C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467C47"/>
    <w:multiLevelType w:val="hybridMultilevel"/>
    <w:tmpl w:val="D4D235D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4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4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8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4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A6346B5"/>
    <w:multiLevelType w:val="hybridMultilevel"/>
    <w:tmpl w:val="07F82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587471A"/>
    <w:multiLevelType w:val="hybridMultilevel"/>
    <w:tmpl w:val="3618B39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7F8B46DC"/>
    <w:multiLevelType w:val="hybridMultilevel"/>
    <w:tmpl w:val="3A0E8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30"/>
  </w:num>
  <w:num w:numId="4">
    <w:abstractNumId w:val="28"/>
  </w:num>
  <w:num w:numId="5">
    <w:abstractNumId w:val="22"/>
  </w:num>
  <w:num w:numId="6">
    <w:abstractNumId w:val="2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1"/>
  </w:num>
  <w:num w:numId="10">
    <w:abstractNumId w:val="2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</w:num>
  <w:num w:numId="15">
    <w:abstractNumId w:val="1"/>
  </w:num>
  <w:num w:numId="16">
    <w:abstractNumId w:val="8"/>
  </w:num>
  <w:num w:numId="17">
    <w:abstractNumId w:val="23"/>
  </w:num>
  <w:num w:numId="18">
    <w:abstractNumId w:val="21"/>
  </w:num>
  <w:num w:numId="19">
    <w:abstractNumId w:val="12"/>
  </w:num>
  <w:num w:numId="20">
    <w:abstractNumId w:val="32"/>
  </w:num>
  <w:num w:numId="21">
    <w:abstractNumId w:val="9"/>
  </w:num>
  <w:num w:numId="22">
    <w:abstractNumId w:val="18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5"/>
  </w:num>
  <w:num w:numId="30">
    <w:abstractNumId w:val="25"/>
  </w:num>
  <w:num w:numId="31">
    <w:abstractNumId w:val="15"/>
  </w:num>
  <w:num w:numId="32">
    <w:abstractNumId w:val="33"/>
  </w:num>
  <w:num w:numId="33">
    <w:abstractNumId w:val="3"/>
  </w:num>
  <w:num w:numId="34">
    <w:abstractNumId w:val="17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11</Pages>
  <Words>3672</Words>
  <Characters>20936</Characters>
  <Application>Microsoft Office Word</Application>
  <DocSecurity>0</DocSecurity>
  <Lines>0</Lines>
  <Paragraphs>0</Paragraphs>
  <ScaleCrop>false</ScaleCrop>
  <Company>Kancelaria NR SR</Company>
  <LinksUpToDate>false</LinksUpToDate>
  <CharactersWithSpaces>24559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32</cp:revision>
  <cp:lastPrinted>2024-04-08T15:43:00Z</cp:lastPrinted>
  <dcterms:created xsi:type="dcterms:W3CDTF">2022-03-01T10:08:00Z</dcterms:created>
  <dcterms:modified xsi:type="dcterms:W3CDTF">2024-04-09T15:23:00Z</dcterms:modified>
</cp:coreProperties>
</file>