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D8" w:rsidRPr="00902CB2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:rsidR="000812D8" w:rsidRPr="00902CB2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902CB2">
        <w:rPr>
          <w:rFonts w:ascii="Times New Roman" w:hAnsi="Times New Roman" w:cs="Times New Roman"/>
          <w:b/>
          <w:sz w:val="24"/>
          <w:szCs w:val="24"/>
        </w:rPr>
        <w:t>. volebné obdobie</w:t>
      </w:r>
    </w:p>
    <w:p w:rsidR="000812D8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0812D8" w:rsidRPr="002A3223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D8" w:rsidRPr="00D5560A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0A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0812D8" w:rsidRDefault="000812D8" w:rsidP="000812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12D8" w:rsidRDefault="000812D8" w:rsidP="00081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0812D8" w:rsidRDefault="000812D8" w:rsidP="000812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0812D8" w:rsidRPr="003F160D" w:rsidRDefault="000812D8" w:rsidP="00081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F16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 ... 2024, 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1" w:name="_Hlk91057140"/>
      <w:r w:rsidRPr="00241704">
        <w:rPr>
          <w:b/>
          <w:bCs/>
        </w:rPr>
        <w:t xml:space="preserve">ktorým sa mení a dopĺňa zákon č. 131/2002 Z. z. o vysokých školách a o zmene a doplnení niektorých zákonov v znení neskorších predpisov </w:t>
      </w:r>
    </w:p>
    <w:bookmarkEnd w:id="1"/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both"/>
      </w:pPr>
      <w:r w:rsidRPr="00241704">
        <w:t xml:space="preserve">Národná rada Slovenskej republiky sa uzniesla na tomto zákone: 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both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  <w:r w:rsidRPr="00241704">
        <w:t>Čl. I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both"/>
      </w:pPr>
      <w:r w:rsidRPr="00241704"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 zákona č. 410/2020 Z. z., zákona č. 426/2020 Z. z.</w:t>
      </w:r>
      <w:r>
        <w:t>,</w:t>
      </w:r>
      <w:r w:rsidRPr="00241704">
        <w:t> zákona č. 345/2021 Z. z.</w:t>
      </w:r>
      <w:r>
        <w:t>, zákona č. 415/2021 Z. z.,</w:t>
      </w:r>
      <w:r w:rsidRPr="009B2A7E">
        <w:t xml:space="preserve"> zákona č. 92/2022 Z. z., zákona č. 101/2022 Z. z.,</w:t>
      </w:r>
      <w:r>
        <w:t xml:space="preserve"> zákona č. 137/2022 Z. z., zákona č. 175/2022 Z. z. a zákona č. 412/2022 Z. z. </w:t>
      </w:r>
      <w:r w:rsidRPr="00241704">
        <w:t>sa mení a dopĺňa takto: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both"/>
      </w:pPr>
    </w:p>
    <w:p w:rsidR="000812D8" w:rsidRPr="00241704" w:rsidRDefault="000812D8" w:rsidP="000812D8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12D8" w:rsidRPr="00EA74CE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14:numForm w14:val="lining"/>
        </w:rPr>
      </w:pPr>
      <w:r w:rsidRPr="00C87E0E">
        <w:rPr>
          <w:rFonts w:ascii="Times New Roman" w:hAnsi="Times New Roman"/>
          <w:sz w:val="24"/>
          <w:szCs w:val="24"/>
          <w14:numForm w14:val="lining"/>
        </w:rPr>
        <w:t>V § 60 ods</w:t>
      </w:r>
      <w:r>
        <w:rPr>
          <w:rFonts w:ascii="Times New Roman" w:hAnsi="Times New Roman"/>
          <w:sz w:val="24"/>
          <w:szCs w:val="24"/>
          <w14:numForm w14:val="lining"/>
        </w:rPr>
        <w:t>ek</w:t>
      </w:r>
      <w:r w:rsidRPr="00C87E0E">
        <w:rPr>
          <w:rFonts w:ascii="Times New Roman" w:hAnsi="Times New Roman"/>
          <w:sz w:val="24"/>
          <w:szCs w:val="24"/>
          <w14:numForm w14:val="lining"/>
        </w:rPr>
        <w:t xml:space="preserve"> 3 </w:t>
      </w:r>
      <w:r>
        <w:rPr>
          <w:rFonts w:ascii="Times New Roman" w:hAnsi="Times New Roman"/>
          <w:sz w:val="24"/>
          <w:szCs w:val="24"/>
          <w14:numForm w14:val="lining"/>
        </w:rPr>
        <w:t>znie:</w:t>
      </w:r>
    </w:p>
    <w:p w:rsidR="000812D8" w:rsidRDefault="000812D8" w:rsidP="000812D8">
      <w:pPr>
        <w:pStyle w:val="Odsekzoznamu"/>
        <w:ind w:left="426"/>
        <w:jc w:val="both"/>
        <w:rPr>
          <w:rFonts w:ascii="Times New Roman" w:hAnsi="Times New Roman"/>
          <w:sz w:val="24"/>
          <w:szCs w:val="24"/>
          <w14:numForm w14:val="lining"/>
        </w:rPr>
      </w:pPr>
      <w:r>
        <w:rPr>
          <w:rFonts w:ascii="Times New Roman" w:hAnsi="Times New Roman"/>
          <w:sz w:val="24"/>
          <w:szCs w:val="24"/>
          <w14:numForm w14:val="lining"/>
        </w:rPr>
        <w:t xml:space="preserve">„(3) </w:t>
      </w:r>
      <w:r w:rsidRPr="00EA74CE">
        <w:rPr>
          <w:rFonts w:ascii="Times New Roman" w:hAnsi="Times New Roman"/>
          <w:sz w:val="24"/>
          <w:szCs w:val="24"/>
          <w14:numForm w14:val="lining"/>
        </w:rPr>
        <w:t xml:space="preserve">Externá forma štúdia je organizovaná tak, že štúdium podľa odporúčaného študijného plánu zodpovedá v závislosti od študijného programu z hľadiska časovej náročnosti práci študenta v rozsahu </w:t>
      </w:r>
    </w:p>
    <w:p w:rsidR="000812D8" w:rsidRDefault="000812D8" w:rsidP="000812D8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14:numForm w14:val="lining"/>
        </w:rPr>
      </w:pPr>
      <w:r>
        <w:rPr>
          <w:rFonts w:ascii="Times New Roman" w:hAnsi="Times New Roman"/>
          <w:sz w:val="24"/>
          <w:szCs w:val="24"/>
          <w14:numForm w14:val="lining"/>
        </w:rPr>
        <w:t xml:space="preserve">1500 až 1800 hodín </w:t>
      </w:r>
      <w:r w:rsidRPr="00EA74CE">
        <w:rPr>
          <w:rFonts w:ascii="Times New Roman" w:hAnsi="Times New Roman"/>
          <w:sz w:val="24"/>
          <w:szCs w:val="24"/>
          <w14:numForm w14:val="lining"/>
        </w:rPr>
        <w:t>za akademický rok vrátane samostatného štúdia a samostatnej tvorivej činnosti</w:t>
      </w:r>
      <w:r>
        <w:rPr>
          <w:rFonts w:ascii="Times New Roman" w:hAnsi="Times New Roman"/>
          <w:sz w:val="24"/>
          <w:szCs w:val="24"/>
          <w14:numForm w14:val="lining"/>
        </w:rPr>
        <w:t xml:space="preserve">, ak ide o </w:t>
      </w:r>
      <w:r w:rsidRPr="00C85ADB">
        <w:rPr>
          <w:rFonts w:ascii="Times New Roman" w:hAnsi="Times New Roman"/>
          <w:sz w:val="24"/>
          <w:szCs w:val="24"/>
          <w14:numForm w14:val="lining"/>
        </w:rPr>
        <w:t>študijn</w:t>
      </w:r>
      <w:r>
        <w:rPr>
          <w:rFonts w:ascii="Times New Roman" w:hAnsi="Times New Roman"/>
          <w:sz w:val="24"/>
          <w:szCs w:val="24"/>
          <w14:numForm w14:val="lining"/>
        </w:rPr>
        <w:t>ý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 program prvého stupňa, študijn</w:t>
      </w:r>
      <w:r>
        <w:rPr>
          <w:rFonts w:ascii="Times New Roman" w:hAnsi="Times New Roman"/>
          <w:sz w:val="24"/>
          <w:szCs w:val="24"/>
          <w14:numForm w14:val="lining"/>
        </w:rPr>
        <w:t>ý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 program</w:t>
      </w:r>
      <w:r>
        <w:rPr>
          <w:rFonts w:ascii="Times New Roman" w:hAnsi="Times New Roman"/>
          <w:sz w:val="24"/>
          <w:szCs w:val="24"/>
          <w14:numForm w14:val="lining"/>
        </w:rPr>
        <w:t xml:space="preserve"> 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druhého stupňa </w:t>
      </w:r>
      <w:r>
        <w:rPr>
          <w:rFonts w:ascii="Times New Roman" w:hAnsi="Times New Roman"/>
          <w:sz w:val="24"/>
          <w:szCs w:val="24"/>
          <w14:numForm w14:val="lining"/>
        </w:rPr>
        <w:t>alebo o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 študijn</w:t>
      </w:r>
      <w:r>
        <w:rPr>
          <w:rFonts w:ascii="Times New Roman" w:hAnsi="Times New Roman"/>
          <w:sz w:val="24"/>
          <w:szCs w:val="24"/>
          <w14:numForm w14:val="lining"/>
        </w:rPr>
        <w:t>ý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 program spájajúc</w:t>
      </w:r>
      <w:r>
        <w:rPr>
          <w:rFonts w:ascii="Times New Roman" w:hAnsi="Times New Roman"/>
          <w:sz w:val="24"/>
          <w:szCs w:val="24"/>
          <w14:numForm w14:val="lining"/>
        </w:rPr>
        <w:t>i</w:t>
      </w:r>
      <w:r w:rsidRPr="00C85ADB">
        <w:rPr>
          <w:rFonts w:ascii="Times New Roman" w:hAnsi="Times New Roman"/>
          <w:sz w:val="24"/>
          <w:szCs w:val="24"/>
          <w14:numForm w14:val="lining"/>
        </w:rPr>
        <w:t xml:space="preserve"> prvý stupeň a druhý stupeň</w:t>
      </w:r>
      <w:r>
        <w:rPr>
          <w:rFonts w:ascii="Times New Roman" w:hAnsi="Times New Roman"/>
          <w:sz w:val="24"/>
          <w:szCs w:val="24"/>
          <w14:numForm w14:val="lining"/>
        </w:rPr>
        <w:t>,</w:t>
      </w:r>
    </w:p>
    <w:p w:rsidR="000812D8" w:rsidRDefault="000812D8" w:rsidP="000812D8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14:numForm w14:val="lining"/>
        </w:rPr>
      </w:pPr>
      <w:r w:rsidRPr="00EA74CE">
        <w:rPr>
          <w:rFonts w:ascii="Times New Roman" w:hAnsi="Times New Roman"/>
          <w:sz w:val="24"/>
          <w:szCs w:val="24"/>
          <w14:numForm w14:val="lining"/>
        </w:rPr>
        <w:t>750 až 1440 hodín za akademický rok vrátane samostatného štúdia a samostatnej tvorivej činnosti</w:t>
      </w:r>
      <w:r>
        <w:rPr>
          <w:rFonts w:ascii="Times New Roman" w:hAnsi="Times New Roman"/>
          <w:sz w:val="24"/>
          <w:szCs w:val="24"/>
          <w14:numForm w14:val="lining"/>
        </w:rPr>
        <w:t>, ak ide o študijný program tretieho stupňa.“.</w:t>
      </w:r>
    </w:p>
    <w:p w:rsidR="000812D8" w:rsidRDefault="000812D8" w:rsidP="000812D8">
      <w:pPr>
        <w:contextualSpacing/>
        <w:jc w:val="both"/>
        <w:rPr>
          <w:rFonts w:ascii="Times New Roman" w:hAnsi="Times New Roman"/>
          <w:sz w:val="24"/>
          <w:szCs w:val="24"/>
          <w14:numForm w14:val="lining"/>
        </w:rPr>
      </w:pPr>
    </w:p>
    <w:p w:rsidR="000812D8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14:numForm w14:val="lining"/>
        </w:rPr>
      </w:pPr>
      <w:r w:rsidRPr="007B78FD">
        <w:rPr>
          <w:rFonts w:ascii="Times New Roman" w:hAnsi="Times New Roman"/>
          <w:sz w:val="24"/>
          <w:szCs w:val="24"/>
          <w14:numForm w14:val="lining"/>
        </w:rPr>
        <w:t>V § 9</w:t>
      </w:r>
      <w:r>
        <w:rPr>
          <w:rFonts w:ascii="Times New Roman" w:hAnsi="Times New Roman"/>
          <w:sz w:val="24"/>
          <w:szCs w:val="24"/>
          <w14:numForm w14:val="lining"/>
        </w:rPr>
        <w:t>2 ods. 18 sa na konci pripája táto veta:</w:t>
      </w:r>
      <w:r w:rsidRPr="007B78FD">
        <w:rPr>
          <w:rFonts w:ascii="Times New Roman" w:hAnsi="Times New Roman"/>
          <w:sz w:val="24"/>
          <w:szCs w:val="24"/>
          <w14:numForm w14:val="lining"/>
        </w:rPr>
        <w:t xml:space="preserve"> </w:t>
      </w:r>
      <w:r>
        <w:rPr>
          <w:rFonts w:ascii="Times New Roman" w:hAnsi="Times New Roman"/>
          <w:sz w:val="24"/>
          <w:szCs w:val="24"/>
          <w14:numForm w14:val="lining"/>
        </w:rPr>
        <w:t xml:space="preserve">„Rektor školné podľa odseku 6 odpustí vždy za prvý akademický rok prekročenia štandardnej dĺžky štúdia, ak 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povinnosť </w:t>
      </w:r>
      <w:r>
        <w:rPr>
          <w:rFonts w:ascii="Times New Roman" w:hAnsi="Times New Roman"/>
          <w:sz w:val="24"/>
          <w:szCs w:val="24"/>
          <w14:numForm w14:val="lining"/>
        </w:rPr>
        <w:t>uhradiť školné vznikla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</w:t>
      </w:r>
      <w:r>
        <w:rPr>
          <w:rFonts w:ascii="Times New Roman" w:hAnsi="Times New Roman"/>
          <w:sz w:val="24"/>
          <w:szCs w:val="24"/>
          <w14:numForm w14:val="lining"/>
        </w:rPr>
        <w:t>z dôvodu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tehotenstv</w:t>
      </w:r>
      <w:r>
        <w:rPr>
          <w:rFonts w:ascii="Times New Roman" w:hAnsi="Times New Roman"/>
          <w:sz w:val="24"/>
          <w:szCs w:val="24"/>
          <w14:numForm w14:val="lining"/>
        </w:rPr>
        <w:t>a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alebo </w:t>
      </w:r>
      <w:r>
        <w:rPr>
          <w:rFonts w:ascii="Times New Roman" w:hAnsi="Times New Roman"/>
          <w:sz w:val="24"/>
          <w:szCs w:val="24"/>
          <w14:numForm w14:val="lining"/>
        </w:rPr>
        <w:t xml:space="preserve">z dôvodu </w:t>
      </w:r>
      <w:r w:rsidRPr="00E75FD6">
        <w:rPr>
          <w:rFonts w:ascii="Times New Roman" w:hAnsi="Times New Roman"/>
          <w:sz w:val="24"/>
          <w:szCs w:val="24"/>
          <w14:numForm w14:val="lining"/>
        </w:rPr>
        <w:t>trval</w:t>
      </w:r>
      <w:r>
        <w:rPr>
          <w:rFonts w:ascii="Times New Roman" w:hAnsi="Times New Roman"/>
          <w:sz w:val="24"/>
          <w:szCs w:val="24"/>
          <w14:numForm w14:val="lining"/>
        </w:rPr>
        <w:t>ej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starostlivos</w:t>
      </w:r>
      <w:r>
        <w:rPr>
          <w:rFonts w:ascii="Times New Roman" w:hAnsi="Times New Roman"/>
          <w:sz w:val="24"/>
          <w:szCs w:val="24"/>
          <w14:numForm w14:val="lining"/>
        </w:rPr>
        <w:t>ti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o dieťa mladšie ako tri roky</w:t>
      </w:r>
      <w:r>
        <w:rPr>
          <w:rFonts w:ascii="Times New Roman" w:hAnsi="Times New Roman"/>
          <w:sz w:val="24"/>
          <w:szCs w:val="24"/>
          <w14:numForm w14:val="lining"/>
        </w:rPr>
        <w:t>.“.</w:t>
      </w:r>
    </w:p>
    <w:p w:rsidR="000812D8" w:rsidRDefault="000812D8" w:rsidP="000812D8">
      <w:pPr>
        <w:contextualSpacing/>
        <w:jc w:val="both"/>
        <w:rPr>
          <w:rFonts w:ascii="Times New Roman" w:hAnsi="Times New Roman"/>
          <w:sz w:val="24"/>
          <w:szCs w:val="24"/>
          <w14:numForm w14:val="lining"/>
        </w:rPr>
      </w:pPr>
    </w:p>
    <w:p w:rsidR="000812D8" w:rsidRPr="00E75FD6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Corbel" w:hAnsi="Corbel"/>
          <w:b/>
          <w:sz w:val="24"/>
          <w:szCs w:val="24"/>
          <w14:numForm w14:val="lining"/>
        </w:rPr>
      </w:pPr>
      <w:r w:rsidRPr="00E75FD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Za §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99</w:t>
      </w:r>
      <w:r w:rsidRPr="00E75FD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sa vkladá §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99a</w:t>
      </w:r>
      <w:r w:rsidRPr="00E75FD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, ktorý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vrátane nadpisu</w:t>
      </w:r>
      <w:r w:rsidRPr="00E75FD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 znie:</w:t>
      </w:r>
    </w:p>
    <w:p w:rsidR="000812D8" w:rsidRDefault="000812D8" w:rsidP="000812D8">
      <w:pPr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  <w:r w:rsidRPr="00E75FD6">
        <w:rPr>
          <w:rFonts w:ascii="Times New Roman" w:hAnsi="Times New Roman" w:cs="Times New Roman"/>
          <w:sz w:val="24"/>
          <w:szCs w:val="24"/>
          <w14:numForm w14:val="lining"/>
        </w:rPr>
        <w:t>„§ 99a</w:t>
      </w:r>
    </w:p>
    <w:p w:rsidR="000812D8" w:rsidRPr="000475B1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  <w14:numForm w14:val="lining"/>
        </w:rPr>
      </w:pPr>
      <w:r w:rsidRPr="000475B1">
        <w:rPr>
          <w:rFonts w:ascii="Times New Roman" w:hAnsi="Times New Roman" w:cs="Times New Roman"/>
          <w:b/>
          <w:sz w:val="24"/>
          <w:szCs w:val="24"/>
          <w14:numForm w14:val="lining"/>
        </w:rPr>
        <w:t>Podpora tehotných študentiek a študentov, ktorí sa trvale starajú o dieťa</w:t>
      </w:r>
    </w:p>
    <w:p w:rsidR="000812D8" w:rsidRPr="00E75FD6" w:rsidRDefault="000812D8" w:rsidP="000812D8">
      <w:pPr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A4416E" w:rsidRDefault="000812D8" w:rsidP="000812D8">
      <w:pPr>
        <w:pStyle w:val="Odsekzoznamu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14:numForm w14:val="lining"/>
        </w:rPr>
      </w:pPr>
      <w:r w:rsidRPr="00E75FD6">
        <w:rPr>
          <w:rFonts w:ascii="Times New Roman" w:hAnsi="Times New Roman"/>
          <w:sz w:val="24"/>
          <w:szCs w:val="24"/>
          <w14:numForm w14:val="lining"/>
        </w:rPr>
        <w:t>Vysoká škola vytvára zodpovedajúc</w:t>
      </w:r>
      <w:r>
        <w:rPr>
          <w:rFonts w:ascii="Times New Roman" w:hAnsi="Times New Roman"/>
          <w:sz w:val="24"/>
          <w:szCs w:val="24"/>
          <w14:numForm w14:val="lining"/>
        </w:rPr>
        <w:t>e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podmienk</w:t>
      </w:r>
      <w:r>
        <w:rPr>
          <w:rFonts w:ascii="Times New Roman" w:hAnsi="Times New Roman"/>
          <w:sz w:val="24"/>
          <w:szCs w:val="24"/>
          <w14:numForm w14:val="lining"/>
        </w:rPr>
        <w:t>y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štúdia pre tehotné študentky a</w:t>
      </w:r>
      <w:r>
        <w:rPr>
          <w:rFonts w:ascii="Times New Roman" w:hAnsi="Times New Roman"/>
          <w:sz w:val="24"/>
          <w:szCs w:val="24"/>
          <w14:numForm w14:val="lining"/>
        </w:rPr>
        <w:t xml:space="preserve"> pre </w:t>
      </w:r>
      <w:r w:rsidRPr="00E75FD6">
        <w:rPr>
          <w:rFonts w:ascii="Times New Roman" w:hAnsi="Times New Roman"/>
          <w:sz w:val="24"/>
          <w:szCs w:val="24"/>
          <w14:numForm w14:val="lining"/>
        </w:rPr>
        <w:t>študentov</w:t>
      </w:r>
      <w:r>
        <w:rPr>
          <w:rFonts w:ascii="Times New Roman" w:hAnsi="Times New Roman"/>
          <w:sz w:val="24"/>
          <w:szCs w:val="24"/>
          <w14:numForm w14:val="lining"/>
        </w:rPr>
        <w:t>, ktorí sa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trvale starajú o dieťa mladšie ako tri roky, bez znižovania požiadaviek na ich študijný výkon.</w:t>
      </w:r>
      <w:r>
        <w:rPr>
          <w:rFonts w:ascii="Times New Roman" w:hAnsi="Times New Roman"/>
          <w:sz w:val="24"/>
          <w:szCs w:val="24"/>
          <w14:numForm w14:val="lining"/>
        </w:rPr>
        <w:t xml:space="preserve"> </w:t>
      </w:r>
      <w:r w:rsidRPr="00A4416E">
        <w:rPr>
          <w:rFonts w:ascii="Times New Roman" w:hAnsi="Times New Roman"/>
          <w:sz w:val="24"/>
          <w:szCs w:val="24"/>
          <w14:numForm w14:val="lining"/>
        </w:rPr>
        <w:t>Vysoká škola prihliada na potreby</w:t>
      </w:r>
      <w:r>
        <w:rPr>
          <w:rFonts w:ascii="Times New Roman" w:hAnsi="Times New Roman"/>
          <w:sz w:val="24"/>
          <w:szCs w:val="24"/>
          <w14:numForm w14:val="lining"/>
        </w:rPr>
        <w:t xml:space="preserve"> týchto</w:t>
      </w:r>
      <w:r w:rsidRPr="00A4416E">
        <w:rPr>
          <w:rFonts w:ascii="Times New Roman" w:hAnsi="Times New Roman"/>
          <w:sz w:val="24"/>
          <w:szCs w:val="24"/>
          <w14:numForm w14:val="lining"/>
        </w:rPr>
        <w:t xml:space="preserve"> študentov najmä pri tvorbe študijných plánov, povoľovaní prerušenia štúdia a určovaní najdlhšieho celkového obdobia prerušenia štúdia. </w:t>
      </w:r>
    </w:p>
    <w:p w:rsidR="000812D8" w:rsidRPr="00E75FD6" w:rsidRDefault="000812D8" w:rsidP="000812D8">
      <w:pPr>
        <w:pStyle w:val="Odsekzoznamu"/>
        <w:ind w:left="709" w:hanging="425"/>
        <w:jc w:val="both"/>
        <w:rPr>
          <w:rFonts w:ascii="Times New Roman" w:hAnsi="Times New Roman"/>
          <w:sz w:val="24"/>
          <w:szCs w:val="24"/>
          <w14:numForm w14:val="lining"/>
        </w:rPr>
      </w:pPr>
    </w:p>
    <w:p w:rsidR="000812D8" w:rsidRPr="00E75FD6" w:rsidRDefault="000812D8" w:rsidP="000812D8">
      <w:pPr>
        <w:pStyle w:val="Odsekzoznamu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14:numForm w14:val="lining"/>
        </w:rPr>
      </w:pPr>
      <w:r w:rsidRPr="00E75FD6">
        <w:rPr>
          <w:rFonts w:ascii="Times New Roman" w:hAnsi="Times New Roman"/>
          <w:sz w:val="24"/>
          <w:szCs w:val="24"/>
          <w14:numForm w14:val="lining"/>
        </w:rPr>
        <w:t>Študent</w:t>
      </w:r>
      <w:r>
        <w:rPr>
          <w:rFonts w:ascii="Times New Roman" w:hAnsi="Times New Roman"/>
          <w:sz w:val="24"/>
          <w:szCs w:val="24"/>
          <w14:numForm w14:val="lining"/>
        </w:rPr>
        <w:t>om, ktorý sa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trvale </w:t>
      </w:r>
      <w:r>
        <w:rPr>
          <w:rFonts w:ascii="Times New Roman" w:hAnsi="Times New Roman"/>
          <w:sz w:val="24"/>
          <w:szCs w:val="24"/>
          <w14:numForm w14:val="lining"/>
        </w:rPr>
        <w:t>stará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o</w:t>
      </w:r>
      <w:r>
        <w:rPr>
          <w:rFonts w:ascii="Times New Roman" w:hAnsi="Times New Roman"/>
          <w:sz w:val="24"/>
          <w:szCs w:val="24"/>
          <w14:numForm w14:val="lining"/>
        </w:rPr>
        <w:t> </w:t>
      </w:r>
      <w:r w:rsidRPr="00E75FD6">
        <w:rPr>
          <w:rFonts w:ascii="Times New Roman" w:hAnsi="Times New Roman"/>
          <w:sz w:val="24"/>
          <w:szCs w:val="24"/>
          <w14:numForm w14:val="lining"/>
        </w:rPr>
        <w:t>dieťa</w:t>
      </w:r>
      <w:r>
        <w:rPr>
          <w:rFonts w:ascii="Times New Roman" w:hAnsi="Times New Roman"/>
          <w:sz w:val="24"/>
          <w:szCs w:val="24"/>
          <w14:numForm w14:val="lining"/>
        </w:rPr>
        <w:t>,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je študent, ktorý sa osobne stará o vlastné neplnoleté dieťa vrátane striedavej osobnej starostlivosti, a študent, ktorý sa osobne stará o neplnoleté dieťa zverené do </w:t>
      </w:r>
      <w:r>
        <w:rPr>
          <w:rFonts w:ascii="Times New Roman" w:hAnsi="Times New Roman"/>
          <w:sz w:val="24"/>
          <w:szCs w:val="24"/>
          <w14:numForm w14:val="lining"/>
        </w:rPr>
        <w:t xml:space="preserve">náhradnej </w:t>
      </w:r>
      <w:r w:rsidRPr="00E75FD6">
        <w:rPr>
          <w:rFonts w:ascii="Times New Roman" w:hAnsi="Times New Roman"/>
          <w:sz w:val="24"/>
          <w:szCs w:val="24"/>
          <w14:numForm w14:val="lining"/>
        </w:rPr>
        <w:t>starostlivosti na základe rozhodnutia súdu</w:t>
      </w:r>
      <w:r>
        <w:rPr>
          <w:rFonts w:ascii="Times New Roman" w:hAnsi="Times New Roman"/>
          <w:sz w:val="24"/>
          <w:szCs w:val="24"/>
          <w14:numForm w14:val="lining"/>
        </w:rPr>
        <w:t>, odo dňa kedy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vysokej škole písomne oznámi, že sa trvale stará o</w:t>
      </w:r>
      <w:r>
        <w:rPr>
          <w:rFonts w:ascii="Times New Roman" w:hAnsi="Times New Roman"/>
          <w:sz w:val="24"/>
          <w:szCs w:val="24"/>
          <w14:numForm w14:val="lining"/>
        </w:rPr>
        <w:t> </w:t>
      </w:r>
      <w:r w:rsidRPr="00E75FD6">
        <w:rPr>
          <w:rFonts w:ascii="Times New Roman" w:hAnsi="Times New Roman"/>
          <w:sz w:val="24"/>
          <w:szCs w:val="24"/>
          <w14:numForm w14:val="lining"/>
        </w:rPr>
        <w:t>dieťa</w:t>
      </w:r>
      <w:r>
        <w:rPr>
          <w:rFonts w:ascii="Times New Roman" w:hAnsi="Times New Roman"/>
          <w:sz w:val="24"/>
          <w:szCs w:val="24"/>
          <w14:numForm w14:val="lining"/>
        </w:rPr>
        <w:t xml:space="preserve">, do dňa, kedy sa 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prestal trvale starať o dieťa. </w:t>
      </w:r>
      <w:r>
        <w:rPr>
          <w:rFonts w:ascii="Times New Roman" w:hAnsi="Times New Roman"/>
          <w:sz w:val="24"/>
          <w:szCs w:val="24"/>
          <w14:numForm w14:val="lining"/>
        </w:rPr>
        <w:t>Skončenie</w:t>
      </w:r>
      <w:r w:rsidRPr="00E75FD6">
        <w:rPr>
          <w:rFonts w:ascii="Times New Roman" w:hAnsi="Times New Roman"/>
          <w:sz w:val="24"/>
          <w:szCs w:val="24"/>
          <w14:numForm w14:val="lining"/>
        </w:rPr>
        <w:t xml:space="preserve"> trvalej starostlivosti o dieťa je študent povinný písomne oznámiť vysokej škole bez zbytočného odkladu.</w:t>
      </w:r>
      <w:r>
        <w:rPr>
          <w:rFonts w:ascii="Times New Roman" w:hAnsi="Times New Roman"/>
          <w:sz w:val="24"/>
          <w:szCs w:val="24"/>
          <w14:numForm w14:val="lining"/>
        </w:rPr>
        <w:t>“.</w:t>
      </w:r>
    </w:p>
    <w:p w:rsidR="000812D8" w:rsidRPr="007B78FD" w:rsidRDefault="000812D8" w:rsidP="000812D8">
      <w:pPr>
        <w:contextualSpacing/>
        <w:jc w:val="both"/>
        <w:rPr>
          <w:rFonts w:ascii="Times New Roman" w:hAnsi="Times New Roman"/>
          <w:sz w:val="24"/>
          <w:szCs w:val="24"/>
          <w14:numForm w14:val="lining"/>
        </w:rPr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both"/>
      </w:pPr>
    </w:p>
    <w:p w:rsidR="000812D8" w:rsidRPr="00241704" w:rsidRDefault="000812D8" w:rsidP="000812D8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  <w:r w:rsidRPr="00241704">
        <w:t xml:space="preserve">Čl. </w:t>
      </w:r>
      <w:r>
        <w:t>II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  <w:r w:rsidRPr="00241704">
        <w:t>Účinnosť</w:t>
      </w:r>
    </w:p>
    <w:p w:rsidR="000812D8" w:rsidRPr="00241704" w:rsidRDefault="000812D8" w:rsidP="000812D8">
      <w:pPr>
        <w:pStyle w:val="Normlnywebov"/>
        <w:spacing w:before="0" w:beforeAutospacing="0" w:after="0" w:afterAutospacing="0"/>
        <w:jc w:val="center"/>
      </w:pPr>
      <w:r w:rsidRPr="00241704">
        <w:t xml:space="preserve"> </w:t>
      </w:r>
    </w:p>
    <w:p w:rsidR="000812D8" w:rsidRDefault="000812D8" w:rsidP="000812D8">
      <w:pPr>
        <w:pStyle w:val="Normlnywebov"/>
        <w:spacing w:before="0" w:beforeAutospacing="0" w:after="0" w:afterAutospacing="0"/>
        <w:jc w:val="both"/>
      </w:pPr>
      <w:r w:rsidRPr="00241704">
        <w:t xml:space="preserve">Tento zákon nadobúda účinnosť </w:t>
      </w:r>
      <w:r>
        <w:t>1. septembra</w:t>
      </w:r>
      <w:r w:rsidRPr="00241704">
        <w:t xml:space="preserve"> 202</w:t>
      </w:r>
      <w:r>
        <w:t>4</w:t>
      </w:r>
      <w:r w:rsidRPr="00241704">
        <w:t>.</w:t>
      </w:r>
      <w:r>
        <w:t xml:space="preserve"> </w:t>
      </w: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0812D8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8F486F" w:rsidRDefault="000812D8"/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12B4"/>
    <w:multiLevelType w:val="hybridMultilevel"/>
    <w:tmpl w:val="7A384EDE"/>
    <w:lvl w:ilvl="0" w:tplc="279E5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8B0"/>
    <w:multiLevelType w:val="hybridMultilevel"/>
    <w:tmpl w:val="B92C52A2"/>
    <w:lvl w:ilvl="0" w:tplc="73AC2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977CE2"/>
    <w:multiLevelType w:val="hybridMultilevel"/>
    <w:tmpl w:val="22383CF2"/>
    <w:lvl w:ilvl="0" w:tplc="B1F8F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D8"/>
    <w:rsid w:val="000812D8"/>
    <w:rsid w:val="006C5FBA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E9A36AF-18C6-3749-B1BF-100CE154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812D8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2D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1</cp:revision>
  <dcterms:created xsi:type="dcterms:W3CDTF">2024-03-26T10:57:00Z</dcterms:created>
  <dcterms:modified xsi:type="dcterms:W3CDTF">2024-03-26T10:58:00Z</dcterms:modified>
</cp:coreProperties>
</file>