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 w:rsidTr="0083112E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66"/>
        </w:trPr>
        <w:tc>
          <w:tcPr>
            <w:tcW w:w="9212" w:type="dxa"/>
            <w:shd w:val="clear" w:color="auto" w:fill="D9D9D9"/>
            <w:vAlign w:val="center"/>
            <w:hideMark/>
          </w:tcPr>
          <w:p w:rsidR="00374EDB" w:rsidRPr="002E32C0" w:rsidP="00413E9A">
            <w:pPr>
              <w:jc w:val="center"/>
              <w:rPr>
                <w:sz w:val="24"/>
                <w:szCs w:val="24"/>
              </w:rPr>
            </w:pPr>
            <w:r w:rsidRPr="002E32C0" w:rsidR="00413E9A">
              <w:rPr>
                <w:b/>
                <w:sz w:val="28"/>
                <w:szCs w:val="24"/>
              </w:rPr>
              <w:t>Analýza v</w:t>
            </w:r>
            <w:r w:rsidRPr="002E32C0">
              <w:rPr>
                <w:b/>
                <w:sz w:val="28"/>
                <w:szCs w:val="24"/>
              </w:rPr>
              <w:t>plyv</w:t>
            </w:r>
            <w:r w:rsidRPr="002E32C0" w:rsidR="00413E9A">
              <w:rPr>
                <w:b/>
                <w:sz w:val="28"/>
                <w:szCs w:val="24"/>
              </w:rPr>
              <w:t>ov</w:t>
            </w:r>
            <w:r w:rsidRPr="002E32C0">
              <w:rPr>
                <w:b/>
                <w:sz w:val="28"/>
                <w:szCs w:val="24"/>
              </w:rPr>
              <w:t xml:space="preserve"> na životné prostredie</w:t>
            </w:r>
          </w:p>
        </w:tc>
      </w:tr>
      <w:tr w:rsidTr="0083112E">
        <w:tblPrEx>
          <w:tblW w:w="0" w:type="auto"/>
          <w:tblLook w:val="04A0"/>
        </w:tblPrEx>
        <w:trPr>
          <w:trHeight w:val="688"/>
        </w:trPr>
        <w:tc>
          <w:tcPr>
            <w:tcW w:w="9212" w:type="dxa"/>
            <w:shd w:val="clear" w:color="auto" w:fill="D9D9D9"/>
            <w:vAlign w:val="center"/>
            <w:hideMark/>
          </w:tcPr>
          <w:p w:rsidR="00374EDB" w:rsidRPr="002E32C0" w:rsidP="0083112E">
            <w:pPr>
              <w:rPr>
                <w:i/>
                <w:sz w:val="24"/>
                <w:szCs w:val="24"/>
              </w:rPr>
            </w:pPr>
            <w:r w:rsidRPr="002E32C0">
              <w:rPr>
                <w:b/>
                <w:sz w:val="24"/>
                <w:szCs w:val="24"/>
              </w:rPr>
              <w:t>5.1 Ktoré zložky životného prostredia (najmä ovzdušie, voda, horniny, pôda, organizmy) budú predkladaným materiálom ovplyvnené a aký bude ich vplyv ?</w:t>
            </w:r>
          </w:p>
        </w:tc>
      </w:tr>
      <w:tr w:rsidTr="0083112E">
        <w:tblPrEx>
          <w:tblW w:w="0" w:type="auto"/>
          <w:tblLook w:val="04A0"/>
        </w:tblPrEx>
        <w:trPr>
          <w:trHeight w:val="995"/>
        </w:trPr>
        <w:tc>
          <w:tcPr>
            <w:tcW w:w="9212" w:type="dxa"/>
          </w:tcPr>
          <w:p w:rsidR="00544090" w:rsidP="00544090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  <w:r w:rsidR="00DE3EC0">
              <w:rPr>
                <w:sz w:val="24"/>
                <w:szCs w:val="24"/>
              </w:rPr>
              <w:t>Návrh z</w:t>
            </w:r>
            <w:r w:rsidRPr="00544090">
              <w:rPr>
                <w:sz w:val="24"/>
                <w:szCs w:val="24"/>
              </w:rPr>
              <w:t>ákon</w:t>
            </w:r>
            <w:r w:rsidR="00DE3EC0">
              <w:rPr>
                <w:sz w:val="24"/>
                <w:szCs w:val="24"/>
              </w:rPr>
              <w:t>a</w:t>
            </w:r>
            <w:r w:rsidRPr="00544090">
              <w:rPr>
                <w:sz w:val="24"/>
                <w:szCs w:val="24"/>
              </w:rPr>
              <w:t xml:space="preserve"> o posudzovaní vplyvov na životné prostredie</w:t>
            </w:r>
            <w:r>
              <w:rPr>
                <w:sz w:val="24"/>
                <w:szCs w:val="24"/>
              </w:rPr>
              <w:t xml:space="preserve"> </w:t>
            </w:r>
            <w:r w:rsidR="00E16817">
              <w:rPr>
                <w:sz w:val="24"/>
                <w:szCs w:val="24"/>
              </w:rPr>
              <w:t>a o zmene</w:t>
            </w:r>
            <w:r w:rsidR="00E16817">
              <w:rPr>
                <w:sz w:val="24"/>
                <w:szCs w:val="24"/>
              </w:rPr>
              <w:t xml:space="preserve"> a doplnení niektorých zákonov </w:t>
            </w:r>
            <w:r w:rsidR="00DE3EC0">
              <w:rPr>
                <w:sz w:val="24"/>
                <w:szCs w:val="24"/>
              </w:rPr>
              <w:t>zabezpečí aby projekty alebo ich zmeny podľa prílohy č. 8 k zákonu podliehajúce povoleniu podľa osobitných predpisov riadne podliehali posudzovani</w:t>
            </w:r>
            <w:r w:rsidR="00634964">
              <w:rPr>
                <w:sz w:val="24"/>
                <w:szCs w:val="24"/>
              </w:rPr>
              <w:t>u vplyvov na životné prostredie, č</w:t>
            </w:r>
            <w:r w:rsidR="00DE3EC0">
              <w:rPr>
                <w:sz w:val="24"/>
                <w:szCs w:val="24"/>
              </w:rPr>
              <w:t xml:space="preserve">ím sa </w:t>
            </w:r>
            <w:r w:rsidRPr="00544090">
              <w:rPr>
                <w:sz w:val="24"/>
                <w:szCs w:val="24"/>
              </w:rPr>
              <w:t>zabezpečí vysok</w:t>
            </w:r>
            <w:r w:rsidR="00DE3EC0">
              <w:rPr>
                <w:sz w:val="24"/>
                <w:szCs w:val="24"/>
              </w:rPr>
              <w:t>á</w:t>
            </w:r>
            <w:r w:rsidRPr="00544090">
              <w:rPr>
                <w:sz w:val="24"/>
                <w:szCs w:val="24"/>
              </w:rPr>
              <w:t xml:space="preserve"> úroveň ochrany životného prostredia vrátan</w:t>
            </w:r>
            <w:r w:rsidR="00DE3EC0">
              <w:rPr>
                <w:sz w:val="24"/>
                <w:szCs w:val="24"/>
              </w:rPr>
              <w:t>e verejného zdravia a integrácia</w:t>
            </w:r>
            <w:r w:rsidRPr="00544090">
              <w:rPr>
                <w:sz w:val="24"/>
                <w:szCs w:val="24"/>
              </w:rPr>
              <w:t xml:space="preserve"> environmentálnych aspektov</w:t>
            </w:r>
            <w:r w:rsidR="00DE3EC0">
              <w:rPr>
                <w:sz w:val="24"/>
                <w:szCs w:val="24"/>
              </w:rPr>
              <w:t xml:space="preserve"> povoľovacích procesov a rozhodnutí o povolení projektu alebo jeho zmeny. Návrh zákon sa zaoberá aj procesom posudzovania vplyvov na životné prostredie a zisťovacím konaním počas prípravy a pred schvaľovaním strategických dokumentov a ich</w:t>
            </w:r>
            <w:r w:rsidRPr="00544090">
              <w:rPr>
                <w:sz w:val="24"/>
                <w:szCs w:val="24"/>
              </w:rPr>
              <w:t xml:space="preserve"> zm</w:t>
            </w:r>
            <w:r w:rsidR="00DE3EC0">
              <w:rPr>
                <w:sz w:val="24"/>
                <w:szCs w:val="24"/>
              </w:rPr>
              <w:t>i</w:t>
            </w:r>
            <w:r w:rsidRPr="00544090">
              <w:rPr>
                <w:sz w:val="24"/>
                <w:szCs w:val="24"/>
              </w:rPr>
              <w:t xml:space="preserve">en so zreteľom na podporu trvalo udržateľného rozvoja. </w:t>
            </w:r>
            <w:r>
              <w:rPr>
                <w:sz w:val="24"/>
                <w:szCs w:val="24"/>
              </w:rPr>
              <w:t xml:space="preserve"> </w:t>
            </w:r>
          </w:p>
          <w:p w:rsidR="00544090" w:rsidP="00544090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Zákon dáva za úlohu príslušnému orgánu </w:t>
            </w:r>
            <w:r w:rsidRPr="00544090">
              <w:rPr>
                <w:sz w:val="24"/>
                <w:szCs w:val="24"/>
              </w:rPr>
              <w:t>zist</w:t>
            </w:r>
            <w:r>
              <w:rPr>
                <w:sz w:val="24"/>
                <w:szCs w:val="24"/>
              </w:rPr>
              <w:t>iť</w:t>
            </w:r>
            <w:r w:rsidRPr="00544090">
              <w:rPr>
                <w:sz w:val="24"/>
                <w:szCs w:val="24"/>
              </w:rPr>
              <w:t>, opísa</w:t>
            </w:r>
            <w:r>
              <w:rPr>
                <w:sz w:val="24"/>
                <w:szCs w:val="24"/>
              </w:rPr>
              <w:t>ť</w:t>
            </w:r>
            <w:r w:rsidRPr="00544090">
              <w:rPr>
                <w:sz w:val="24"/>
                <w:szCs w:val="24"/>
              </w:rPr>
              <w:t xml:space="preserve"> a odborne vyhodnot</w:t>
            </w:r>
            <w:r>
              <w:rPr>
                <w:sz w:val="24"/>
                <w:szCs w:val="24"/>
              </w:rPr>
              <w:t>iť</w:t>
            </w:r>
            <w:r w:rsidRPr="00544090">
              <w:rPr>
                <w:sz w:val="24"/>
                <w:szCs w:val="24"/>
              </w:rPr>
              <w:t xml:space="preserve"> priam</w:t>
            </w:r>
            <w:r>
              <w:rPr>
                <w:sz w:val="24"/>
                <w:szCs w:val="24"/>
              </w:rPr>
              <w:t>e</w:t>
            </w:r>
            <w:r w:rsidRPr="00544090">
              <w:rPr>
                <w:sz w:val="24"/>
                <w:szCs w:val="24"/>
              </w:rPr>
              <w:t xml:space="preserve"> a nepriam</w:t>
            </w:r>
            <w:r>
              <w:rPr>
                <w:sz w:val="24"/>
                <w:szCs w:val="24"/>
              </w:rPr>
              <w:t>e</w:t>
            </w:r>
            <w:r w:rsidRPr="00544090">
              <w:rPr>
                <w:sz w:val="24"/>
                <w:szCs w:val="24"/>
              </w:rPr>
              <w:t xml:space="preserve"> </w:t>
            </w:r>
            <w:r w:rsidR="00DE3EC0">
              <w:rPr>
                <w:sz w:val="24"/>
                <w:szCs w:val="24"/>
              </w:rPr>
              <w:t>účinky strategických dokumentov a projektov</w:t>
            </w:r>
            <w:r w:rsidRPr="00544090">
              <w:rPr>
                <w:sz w:val="24"/>
                <w:szCs w:val="24"/>
              </w:rPr>
              <w:t xml:space="preserve"> na životné prostredie </w:t>
            </w:r>
            <w:r w:rsidR="00DE3EC0">
              <w:rPr>
                <w:sz w:val="24"/>
                <w:szCs w:val="24"/>
              </w:rPr>
              <w:t xml:space="preserve">vrátane zdravia ľudí, </w:t>
            </w:r>
            <w:r w:rsidRPr="00972876" w:rsidR="00DE3EC0">
              <w:rPr>
                <w:sz w:val="24"/>
                <w:szCs w:val="24"/>
              </w:rPr>
              <w:t>biotu, biodiverzitu, pôdu, klímu, ovzdušie, vodu, krajinu, prírodné lokality, hmotný majetok, kultúrne dedičstvo a vzájomné pôsobenie medzi nimi</w:t>
            </w:r>
            <w:r w:rsidR="00DE3EC0">
              <w:rPr>
                <w:sz w:val="24"/>
                <w:szCs w:val="24"/>
              </w:rPr>
              <w:t xml:space="preserve"> ako aj zmien </w:t>
            </w:r>
            <w:r w:rsidRPr="59D26DDC" w:rsidR="00DE3EC0">
              <w:rPr>
                <w:sz w:val="24"/>
                <w:szCs w:val="24"/>
              </w:rPr>
              <w:t>už posúdený</w:t>
            </w:r>
            <w:r w:rsidR="00DE3EC0">
              <w:rPr>
                <w:sz w:val="24"/>
                <w:szCs w:val="24"/>
              </w:rPr>
              <w:t>ch</w:t>
            </w:r>
            <w:r w:rsidRPr="59D26DDC" w:rsidR="00DE3EC0">
              <w:rPr>
                <w:sz w:val="24"/>
                <w:szCs w:val="24"/>
              </w:rPr>
              <w:t>, povolený</w:t>
            </w:r>
            <w:r w:rsidR="00DE3EC0">
              <w:rPr>
                <w:sz w:val="24"/>
                <w:szCs w:val="24"/>
              </w:rPr>
              <w:t>ch</w:t>
            </w:r>
            <w:r w:rsidRPr="59D26DDC" w:rsidR="00DE3EC0">
              <w:rPr>
                <w:sz w:val="24"/>
                <w:szCs w:val="24"/>
              </w:rPr>
              <w:t>, realizovaný</w:t>
            </w:r>
            <w:r w:rsidR="00DE3EC0">
              <w:rPr>
                <w:sz w:val="24"/>
                <w:szCs w:val="24"/>
              </w:rPr>
              <w:t>ch</w:t>
            </w:r>
            <w:r w:rsidRPr="59D26DDC" w:rsidR="00DE3EC0">
              <w:rPr>
                <w:sz w:val="24"/>
                <w:szCs w:val="24"/>
              </w:rPr>
              <w:t xml:space="preserve"> </w:t>
            </w:r>
            <w:r w:rsidR="00DE3EC0">
              <w:rPr>
                <w:sz w:val="24"/>
                <w:szCs w:val="24"/>
              </w:rPr>
              <w:t>strategick</w:t>
            </w:r>
            <w:r w:rsidR="00DE3EC0">
              <w:rPr>
                <w:sz w:val="24"/>
                <w:szCs w:val="24"/>
              </w:rPr>
              <w:t xml:space="preserve">ých dokumentov alebo projektov </w:t>
            </w:r>
            <w:r w:rsidRPr="59D26DDC" w:rsidR="00DE3EC0">
              <w:rPr>
                <w:sz w:val="24"/>
                <w:szCs w:val="24"/>
              </w:rPr>
              <w:t xml:space="preserve">alebo v štádiu </w:t>
            </w:r>
            <w:r w:rsidR="00DE3EC0">
              <w:rPr>
                <w:sz w:val="24"/>
                <w:szCs w:val="24"/>
              </w:rPr>
              <w:t xml:space="preserve">ich </w:t>
            </w:r>
            <w:r w:rsidRPr="59D26DDC" w:rsidR="00DE3EC0">
              <w:rPr>
                <w:sz w:val="24"/>
                <w:szCs w:val="24"/>
              </w:rPr>
              <w:t>realizácie</w:t>
            </w:r>
            <w:r w:rsidR="00DE3EC0">
              <w:rPr>
                <w:sz w:val="24"/>
                <w:szCs w:val="24"/>
              </w:rPr>
              <w:t xml:space="preserve">. </w:t>
            </w:r>
          </w:p>
          <w:p w:rsidR="00374EDB" w:rsidRPr="00D369D7" w:rsidP="007C3A19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  <w:r w:rsidR="00DE3EC0">
              <w:rPr>
                <w:sz w:val="24"/>
                <w:szCs w:val="24"/>
              </w:rPr>
              <w:t xml:space="preserve">Návrh zákona zabezpečuje </w:t>
            </w:r>
            <w:r w:rsidR="007C3A19">
              <w:rPr>
                <w:sz w:val="24"/>
                <w:szCs w:val="24"/>
              </w:rPr>
              <w:t xml:space="preserve">aj </w:t>
            </w:r>
            <w:r w:rsidRPr="00544090" w:rsidR="00544090">
              <w:rPr>
                <w:sz w:val="24"/>
                <w:szCs w:val="24"/>
              </w:rPr>
              <w:t>porovn</w:t>
            </w:r>
            <w:r w:rsidR="00544090">
              <w:rPr>
                <w:sz w:val="24"/>
                <w:szCs w:val="24"/>
              </w:rPr>
              <w:t>anie</w:t>
            </w:r>
            <w:r w:rsidRPr="00544090" w:rsidR="00544090">
              <w:rPr>
                <w:sz w:val="24"/>
                <w:szCs w:val="24"/>
              </w:rPr>
              <w:t xml:space="preserve"> </w:t>
            </w:r>
            <w:r w:rsidR="007C3A19">
              <w:rPr>
                <w:sz w:val="24"/>
                <w:szCs w:val="24"/>
              </w:rPr>
              <w:t xml:space="preserve">strategického dokumentu a projektu s nulovým variantom t. j. </w:t>
            </w:r>
            <w:r w:rsidRPr="00D07ED1" w:rsidR="007C3A19">
              <w:rPr>
                <w:sz w:val="24"/>
                <w:szCs w:val="24"/>
              </w:rPr>
              <w:t>súčasný</w:t>
            </w:r>
            <w:r w:rsidR="007C3A19">
              <w:rPr>
                <w:sz w:val="24"/>
                <w:szCs w:val="24"/>
              </w:rPr>
              <w:t>m</w:t>
            </w:r>
            <w:r w:rsidRPr="00D07ED1" w:rsidR="007C3A19">
              <w:rPr>
                <w:sz w:val="24"/>
                <w:szCs w:val="24"/>
              </w:rPr>
              <w:t xml:space="preserve"> stav zložiek životného prostredia dotknutého územia v čase posudzovania vplyvov na životné prostredie a  opis predpokladu jeho pravdepodobného vývoja na základe dostupných informácií, ak by sa projekt alebo zmena projektu nerealizovali alebo ak by sa strategický dokument alebo  zmena strategického dokumentu neschválili</w:t>
            </w:r>
            <w:r w:rsidR="007C3A19">
              <w:rPr>
                <w:sz w:val="24"/>
                <w:szCs w:val="24"/>
              </w:rPr>
              <w:t xml:space="preserve">. </w:t>
            </w:r>
          </w:p>
        </w:tc>
      </w:tr>
      <w:tr w:rsidTr="0083112E">
        <w:tblPrEx>
          <w:tblW w:w="0" w:type="auto"/>
          <w:tblLook w:val="04A0"/>
        </w:tblPrEx>
        <w:trPr>
          <w:trHeight w:val="404"/>
        </w:trPr>
        <w:tc>
          <w:tcPr>
            <w:tcW w:w="9212" w:type="dxa"/>
            <w:shd w:val="clear" w:color="auto" w:fill="D9D9D9"/>
            <w:vAlign w:val="center"/>
            <w:hideMark/>
          </w:tcPr>
          <w:p w:rsidR="00374EDB" w:rsidRPr="002E32C0" w:rsidP="0083112E">
            <w:pPr>
              <w:rPr>
                <w:b/>
                <w:sz w:val="24"/>
                <w:szCs w:val="24"/>
              </w:rPr>
            </w:pPr>
            <w:r w:rsidRPr="002E32C0">
              <w:rPr>
                <w:b/>
                <w:sz w:val="24"/>
                <w:szCs w:val="24"/>
              </w:rPr>
              <w:t xml:space="preserve">5.2 Bude mať predkladaný materiál vplyv na chránené územia a ak áno, aký? </w:t>
            </w:r>
          </w:p>
        </w:tc>
      </w:tr>
      <w:tr w:rsidTr="0083112E">
        <w:tblPrEx>
          <w:tblW w:w="0" w:type="auto"/>
          <w:tblLook w:val="04A0"/>
        </w:tblPrEx>
        <w:trPr>
          <w:trHeight w:val="987"/>
        </w:trPr>
        <w:tc>
          <w:tcPr>
            <w:tcW w:w="9212" w:type="dxa"/>
          </w:tcPr>
          <w:p w:rsidR="00544090" w:rsidP="0054409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23CD2">
              <w:rPr>
                <w:sz w:val="24"/>
                <w:szCs w:val="24"/>
              </w:rPr>
              <w:t xml:space="preserve">Predmetom posudzovania </w:t>
            </w:r>
            <w:r w:rsidR="00D50DC2">
              <w:rPr>
                <w:sz w:val="24"/>
                <w:szCs w:val="24"/>
              </w:rPr>
              <w:t>vplyvov na životné prostredie sú projekty, ktoré dosahujú prahovú hodnotu podľa prílohy č. 8 k zákonu a zároveň aj projekty alebo ich zmeny, ktoré</w:t>
            </w:r>
            <w:r w:rsidRPr="00523CD2">
              <w:rPr>
                <w:sz w:val="24"/>
                <w:szCs w:val="24"/>
              </w:rPr>
              <w:t xml:space="preserve"> podľa odborného stanoviska štátneho orgánu ochrany prírody a krajiny</w:t>
            </w:r>
            <w:r w:rsidRPr="00523CD2">
              <w:rPr>
                <w:sz w:val="24"/>
                <w:szCs w:val="24"/>
                <w:vertAlign w:val="superscript"/>
              </w:rPr>
              <w:t xml:space="preserve"> </w:t>
            </w:r>
            <w:r w:rsidRPr="00523CD2">
              <w:rPr>
                <w:sz w:val="24"/>
                <w:szCs w:val="24"/>
              </w:rPr>
              <w:t>pravdepodobne môže mať samostatne alebo v kombinácii s iným</w:t>
            </w:r>
            <w:r w:rsidR="00D50DC2">
              <w:rPr>
                <w:sz w:val="24"/>
                <w:szCs w:val="24"/>
              </w:rPr>
              <w:t>i projektmi</w:t>
            </w:r>
            <w:r w:rsidRPr="00523CD2">
              <w:rPr>
                <w:sz w:val="24"/>
                <w:szCs w:val="24"/>
              </w:rPr>
              <w:t xml:space="preserve"> alebo </w:t>
            </w:r>
            <w:r w:rsidR="00D50DC2">
              <w:rPr>
                <w:sz w:val="24"/>
                <w:szCs w:val="24"/>
              </w:rPr>
              <w:t>ich</w:t>
            </w:r>
            <w:r w:rsidRPr="00523CD2">
              <w:rPr>
                <w:sz w:val="24"/>
                <w:szCs w:val="24"/>
              </w:rPr>
              <w:t xml:space="preserve"> zmen</w:t>
            </w:r>
            <w:r w:rsidR="00D50DC2">
              <w:rPr>
                <w:sz w:val="24"/>
                <w:szCs w:val="24"/>
              </w:rPr>
              <w:t>ami</w:t>
            </w:r>
            <w:r w:rsidRPr="00523CD2">
              <w:rPr>
                <w:sz w:val="24"/>
                <w:szCs w:val="24"/>
              </w:rPr>
              <w:t xml:space="preserve"> významný vplyv na územie sústavy chránených území</w:t>
            </w:r>
            <w:r>
              <w:rPr>
                <w:sz w:val="24"/>
                <w:szCs w:val="24"/>
              </w:rPr>
              <w:t>.</w:t>
            </w:r>
          </w:p>
          <w:p w:rsidR="00544090" w:rsidP="0054409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74EDB" w:rsidRPr="00544090" w:rsidP="0054409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23CD2" w:rsidR="00544090">
              <w:rPr>
                <w:sz w:val="24"/>
                <w:szCs w:val="24"/>
              </w:rPr>
              <w:t>Pre</w:t>
            </w:r>
            <w:r w:rsidR="00D50DC2">
              <w:rPr>
                <w:sz w:val="24"/>
                <w:szCs w:val="24"/>
              </w:rPr>
              <w:t>dmetom posudzovania strategických dokumentov sú aj strategické</w:t>
            </w:r>
            <w:r w:rsidRPr="00523CD2" w:rsidR="00544090">
              <w:rPr>
                <w:sz w:val="24"/>
                <w:szCs w:val="24"/>
              </w:rPr>
              <w:t xml:space="preserve"> dokume</w:t>
            </w:r>
            <w:r w:rsidRPr="00523CD2" w:rsidR="00544090">
              <w:rPr>
                <w:sz w:val="24"/>
                <w:szCs w:val="24"/>
              </w:rPr>
              <w:t>nt</w:t>
            </w:r>
            <w:r w:rsidR="00D50DC2">
              <w:rPr>
                <w:sz w:val="24"/>
                <w:szCs w:val="24"/>
              </w:rPr>
              <w:t>y</w:t>
            </w:r>
            <w:r w:rsidRPr="00523CD2" w:rsidR="00544090">
              <w:rPr>
                <w:sz w:val="24"/>
                <w:szCs w:val="24"/>
              </w:rPr>
              <w:t xml:space="preserve"> alebo </w:t>
            </w:r>
            <w:r w:rsidR="00D50DC2">
              <w:rPr>
                <w:sz w:val="24"/>
                <w:szCs w:val="24"/>
              </w:rPr>
              <w:t>ich zmeny, ktoré</w:t>
            </w:r>
            <w:r w:rsidRPr="00523CD2" w:rsidR="00544090">
              <w:rPr>
                <w:sz w:val="24"/>
                <w:szCs w:val="24"/>
              </w:rPr>
              <w:t xml:space="preserve"> podľa odborného stanoviska štátneho orgánu ochrany prírody a krajiny m</w:t>
            </w:r>
            <w:r w:rsidR="00D50DC2">
              <w:rPr>
                <w:sz w:val="24"/>
                <w:szCs w:val="24"/>
              </w:rPr>
              <w:t>ajú</w:t>
            </w:r>
            <w:r w:rsidRPr="00523CD2" w:rsidR="00544090">
              <w:rPr>
                <w:sz w:val="24"/>
                <w:szCs w:val="24"/>
              </w:rPr>
              <w:t xml:space="preserve"> samostatne alebo v kombinácii s iným</w:t>
            </w:r>
            <w:r w:rsidR="00D50DC2">
              <w:rPr>
                <w:sz w:val="24"/>
                <w:szCs w:val="24"/>
              </w:rPr>
              <w:t>i</w:t>
            </w:r>
            <w:r w:rsidRPr="00523CD2" w:rsidR="00544090">
              <w:rPr>
                <w:sz w:val="24"/>
                <w:szCs w:val="24"/>
              </w:rPr>
              <w:t xml:space="preserve"> </w:t>
            </w:r>
            <w:r w:rsidR="00544090">
              <w:rPr>
                <w:sz w:val="24"/>
                <w:szCs w:val="24"/>
              </w:rPr>
              <w:t>strategickým</w:t>
            </w:r>
            <w:r w:rsidR="00D50DC2">
              <w:rPr>
                <w:sz w:val="24"/>
                <w:szCs w:val="24"/>
              </w:rPr>
              <w:t>i</w:t>
            </w:r>
            <w:r w:rsidR="00544090">
              <w:rPr>
                <w:sz w:val="24"/>
                <w:szCs w:val="24"/>
              </w:rPr>
              <w:t xml:space="preserve"> </w:t>
            </w:r>
            <w:r w:rsidRPr="00523CD2" w:rsidR="00544090">
              <w:rPr>
                <w:sz w:val="24"/>
                <w:szCs w:val="24"/>
              </w:rPr>
              <w:t>dokument</w:t>
            </w:r>
            <w:r w:rsidR="00D50DC2">
              <w:rPr>
                <w:sz w:val="24"/>
                <w:szCs w:val="24"/>
              </w:rPr>
              <w:t>ami</w:t>
            </w:r>
            <w:r w:rsidRPr="00523CD2" w:rsidR="00544090">
              <w:rPr>
                <w:sz w:val="24"/>
                <w:szCs w:val="24"/>
              </w:rPr>
              <w:t xml:space="preserve"> </w:t>
            </w:r>
            <w:r w:rsidR="00544090">
              <w:rPr>
                <w:sz w:val="24"/>
                <w:szCs w:val="24"/>
              </w:rPr>
              <w:t xml:space="preserve">alebo </w:t>
            </w:r>
            <w:r w:rsidR="00D50DC2">
              <w:rPr>
                <w:sz w:val="24"/>
                <w:szCs w:val="24"/>
              </w:rPr>
              <w:t>ich zmenami</w:t>
            </w:r>
            <w:r w:rsidR="00544090">
              <w:rPr>
                <w:sz w:val="24"/>
                <w:szCs w:val="24"/>
              </w:rPr>
              <w:t xml:space="preserve"> </w:t>
            </w:r>
            <w:r w:rsidRPr="00523CD2" w:rsidR="00544090">
              <w:rPr>
                <w:sz w:val="24"/>
                <w:szCs w:val="24"/>
              </w:rPr>
              <w:t>alebo p</w:t>
            </w:r>
            <w:r w:rsidR="00D50DC2">
              <w:rPr>
                <w:sz w:val="24"/>
                <w:szCs w:val="24"/>
              </w:rPr>
              <w:t>rojektami</w:t>
            </w:r>
            <w:r w:rsidRPr="00523CD2" w:rsidR="00544090">
              <w:rPr>
                <w:sz w:val="24"/>
                <w:szCs w:val="24"/>
              </w:rPr>
              <w:t xml:space="preserve"> pravdepodobne významný vplyv na územie patriace do eur</w:t>
            </w:r>
            <w:r w:rsidR="00544090">
              <w:rPr>
                <w:sz w:val="24"/>
                <w:szCs w:val="24"/>
              </w:rPr>
              <w:t>ópskej sústavy chránených území,</w:t>
            </w:r>
            <w:r w:rsidRPr="00523CD2" w:rsidR="00544090">
              <w:rPr>
                <w:sz w:val="24"/>
                <w:szCs w:val="24"/>
              </w:rPr>
              <w:t xml:space="preserve"> navrhované chránené vtáčie územie alebo územie európskeho významu</w:t>
            </w:r>
            <w:r w:rsidRPr="008C668C" w:rsidR="00544090">
              <w:rPr>
                <w:sz w:val="24"/>
                <w:szCs w:val="24"/>
              </w:rPr>
              <w:t>.</w:t>
            </w:r>
          </w:p>
          <w:p w:rsidR="00544090" w:rsidRPr="002E32C0" w:rsidP="00544090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Tr="0083112E">
        <w:tblPrEx>
          <w:tblW w:w="0" w:type="auto"/>
          <w:tblLook w:val="04A0"/>
        </w:tblPrEx>
        <w:trPr>
          <w:trHeight w:val="698"/>
        </w:trPr>
        <w:tc>
          <w:tcPr>
            <w:tcW w:w="9212" w:type="dxa"/>
            <w:shd w:val="clear" w:color="auto" w:fill="D9D9D9"/>
            <w:vAlign w:val="center"/>
          </w:tcPr>
          <w:p w:rsidR="00374EDB" w:rsidRPr="000C4466" w:rsidP="0083112E">
            <w:pPr>
              <w:rPr>
                <w:b/>
                <w:sz w:val="24"/>
                <w:szCs w:val="24"/>
              </w:rPr>
            </w:pPr>
            <w:r w:rsidRPr="000C4466">
              <w:rPr>
                <w:b/>
                <w:sz w:val="24"/>
                <w:szCs w:val="24"/>
              </w:rPr>
              <w:t>5.3 Bude mať predkladaný materiál vplyvy na životné prostredie presahujúce štátne hranice? (ktoré zložky a ako budú najviac ovplyvnené)?</w:t>
            </w:r>
          </w:p>
        </w:tc>
      </w:tr>
      <w:tr w:rsidTr="0083112E">
        <w:tblPrEx>
          <w:tblW w:w="0" w:type="auto"/>
          <w:tblLook w:val="04A0"/>
        </w:tblPrEx>
        <w:trPr>
          <w:trHeight w:val="969"/>
        </w:trPr>
        <w:tc>
          <w:tcPr>
            <w:tcW w:w="9212" w:type="dxa"/>
          </w:tcPr>
          <w:p w:rsidR="00374EDB" w:rsidRPr="000C4466" w:rsidP="0054409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4466" w:rsidR="000C4466">
              <w:rPr>
                <w:sz w:val="24"/>
                <w:szCs w:val="24"/>
              </w:rPr>
              <w:t>V návrhu zákona je upravený aj p</w:t>
            </w:r>
            <w:r w:rsidRPr="000C4466" w:rsidR="00544090">
              <w:rPr>
                <w:sz w:val="24"/>
                <w:szCs w:val="24"/>
              </w:rPr>
              <w:t>redmet posudzovania vplyvov</w:t>
            </w:r>
            <w:r w:rsidRPr="000C4466" w:rsidR="000C4466">
              <w:rPr>
                <w:sz w:val="24"/>
                <w:szCs w:val="24"/>
              </w:rPr>
              <w:t xml:space="preserve"> presahujúcich štátne hranice </w:t>
            </w:r>
            <w:r w:rsidRPr="000C4466" w:rsidR="00544090">
              <w:rPr>
                <w:sz w:val="24"/>
                <w:szCs w:val="24"/>
              </w:rPr>
              <w:t>strategický</w:t>
            </w:r>
            <w:r w:rsidRPr="000C4466" w:rsidR="000C4466">
              <w:rPr>
                <w:sz w:val="24"/>
                <w:szCs w:val="24"/>
              </w:rPr>
              <w:t>ch</w:t>
            </w:r>
            <w:r w:rsidRPr="000C4466" w:rsidR="00544090">
              <w:rPr>
                <w:sz w:val="24"/>
                <w:szCs w:val="24"/>
              </w:rPr>
              <w:t xml:space="preserve"> dokument</w:t>
            </w:r>
            <w:r w:rsidRPr="000C4466" w:rsidR="000C4466">
              <w:rPr>
                <w:sz w:val="24"/>
                <w:szCs w:val="24"/>
              </w:rPr>
              <w:t>ov</w:t>
            </w:r>
            <w:r w:rsidRPr="000C4466" w:rsidR="00544090">
              <w:rPr>
                <w:sz w:val="24"/>
                <w:szCs w:val="24"/>
              </w:rPr>
              <w:t xml:space="preserve"> alebo </w:t>
            </w:r>
            <w:r w:rsidRPr="000C4466" w:rsidR="000C4466">
              <w:rPr>
                <w:sz w:val="24"/>
                <w:szCs w:val="24"/>
              </w:rPr>
              <w:t>ich</w:t>
            </w:r>
            <w:r w:rsidRPr="000C4466" w:rsidR="00544090">
              <w:rPr>
                <w:sz w:val="24"/>
                <w:szCs w:val="24"/>
              </w:rPr>
              <w:t xml:space="preserve"> zm</w:t>
            </w:r>
            <w:r w:rsidRPr="000C4466" w:rsidR="000C4466">
              <w:rPr>
                <w:sz w:val="24"/>
                <w:szCs w:val="24"/>
              </w:rPr>
              <w:t>i</w:t>
            </w:r>
            <w:r w:rsidRPr="000C4466" w:rsidR="00544090">
              <w:rPr>
                <w:sz w:val="24"/>
                <w:szCs w:val="24"/>
              </w:rPr>
              <w:t>en navrhovaný na ú</w:t>
            </w:r>
            <w:r w:rsidRPr="000C4466" w:rsidR="000C4466">
              <w:rPr>
                <w:sz w:val="24"/>
                <w:szCs w:val="24"/>
              </w:rPr>
              <w:t>zemí Slovenskej republiky, ktoré môžu</w:t>
            </w:r>
            <w:r w:rsidRPr="000C4466" w:rsidR="00544090">
              <w:rPr>
                <w:sz w:val="24"/>
                <w:szCs w:val="24"/>
              </w:rPr>
              <w:t xml:space="preserve"> mať vplyv na životné prostredie presahujúci štátne hran</w:t>
            </w:r>
            <w:r w:rsidRPr="000C4466" w:rsidR="000C4466">
              <w:rPr>
                <w:sz w:val="24"/>
                <w:szCs w:val="24"/>
              </w:rPr>
              <w:t>ice a</w:t>
            </w:r>
            <w:r w:rsidRPr="000C4466" w:rsidR="00544090">
              <w:rPr>
                <w:sz w:val="24"/>
                <w:szCs w:val="24"/>
              </w:rPr>
              <w:t xml:space="preserve"> projekt</w:t>
            </w:r>
            <w:r w:rsidRPr="000C4466" w:rsidR="000C4466">
              <w:rPr>
                <w:sz w:val="24"/>
                <w:szCs w:val="24"/>
              </w:rPr>
              <w:t>y navrhované</w:t>
            </w:r>
            <w:r w:rsidRPr="000C4466" w:rsidR="00544090">
              <w:rPr>
                <w:sz w:val="24"/>
                <w:szCs w:val="24"/>
              </w:rPr>
              <w:t xml:space="preserve"> na území Slovenskej republiky </w:t>
            </w:r>
            <w:r w:rsidRPr="000C4466" w:rsidR="000C4466">
              <w:rPr>
                <w:sz w:val="24"/>
                <w:szCs w:val="24"/>
              </w:rPr>
              <w:t>uvedené</w:t>
            </w:r>
            <w:r w:rsidRPr="000C4466" w:rsidR="00544090">
              <w:rPr>
                <w:sz w:val="24"/>
                <w:szCs w:val="24"/>
              </w:rPr>
              <w:t xml:space="preserve"> v prílohe č. 8 </w:t>
            </w:r>
            <w:r w:rsidRPr="000C4466" w:rsidR="000C4466">
              <w:rPr>
                <w:sz w:val="24"/>
                <w:szCs w:val="24"/>
              </w:rPr>
              <w:t>k zákonu</w:t>
            </w:r>
            <w:r w:rsidRPr="000C4466" w:rsidR="00544090">
              <w:rPr>
                <w:sz w:val="24"/>
                <w:szCs w:val="24"/>
              </w:rPr>
              <w:t xml:space="preserve"> o posudzovaní vplyvov, ktor</w:t>
            </w:r>
            <w:r w:rsidRPr="000C4466" w:rsidR="000C4466">
              <w:rPr>
                <w:sz w:val="24"/>
                <w:szCs w:val="24"/>
              </w:rPr>
              <w:t>é môžu</w:t>
            </w:r>
            <w:r w:rsidRPr="000C4466" w:rsidR="00544090">
              <w:rPr>
                <w:sz w:val="24"/>
                <w:szCs w:val="24"/>
              </w:rPr>
              <w:t xml:space="preserve"> mať vplyv na životné prostredie presahujúci štátne hranice, </w:t>
            </w:r>
            <w:r w:rsidRPr="000C4466" w:rsidR="000C4466">
              <w:rPr>
                <w:sz w:val="24"/>
                <w:szCs w:val="24"/>
              </w:rPr>
              <w:t>zmeny projektu ktoré môžu</w:t>
            </w:r>
            <w:r w:rsidRPr="000C4466" w:rsidR="00544090">
              <w:rPr>
                <w:sz w:val="24"/>
                <w:szCs w:val="24"/>
              </w:rPr>
              <w:t xml:space="preserve"> mať vplyv na životné prostredie presahujúci štátne hranice, </w:t>
            </w:r>
            <w:r w:rsidRPr="000C4466" w:rsidR="000C4466">
              <w:rPr>
                <w:sz w:val="24"/>
                <w:szCs w:val="24"/>
              </w:rPr>
              <w:t>strategické</w:t>
            </w:r>
            <w:r w:rsidRPr="000C4466" w:rsidR="00544090">
              <w:rPr>
                <w:sz w:val="24"/>
                <w:szCs w:val="24"/>
              </w:rPr>
              <w:t xml:space="preserve"> dokument</w:t>
            </w:r>
            <w:r w:rsidRPr="000C4466" w:rsidR="000C4466">
              <w:rPr>
                <w:sz w:val="24"/>
                <w:szCs w:val="24"/>
              </w:rPr>
              <w:t>y alebo ich zmeny</w:t>
            </w:r>
            <w:r w:rsidRPr="000C4466" w:rsidR="00544090">
              <w:rPr>
                <w:sz w:val="24"/>
                <w:szCs w:val="24"/>
              </w:rPr>
              <w:t xml:space="preserve"> a projekt</w:t>
            </w:r>
            <w:r w:rsidRPr="000C4466" w:rsidR="000C4466">
              <w:rPr>
                <w:sz w:val="24"/>
                <w:szCs w:val="24"/>
              </w:rPr>
              <w:t>y alebo ich zmeny navrhované</w:t>
            </w:r>
            <w:r w:rsidRPr="000C4466" w:rsidR="00544090">
              <w:rPr>
                <w:sz w:val="24"/>
                <w:szCs w:val="24"/>
              </w:rPr>
              <w:t xml:space="preserve"> </w:t>
            </w:r>
            <w:r w:rsidRPr="000C4466" w:rsidR="000C4466">
              <w:rPr>
                <w:sz w:val="24"/>
                <w:szCs w:val="24"/>
              </w:rPr>
              <w:t>na území iného štátu, ktorý môžu</w:t>
            </w:r>
            <w:r w:rsidRPr="000C4466" w:rsidR="00544090">
              <w:rPr>
                <w:sz w:val="24"/>
                <w:szCs w:val="24"/>
              </w:rPr>
              <w:t xml:space="preserve"> mať vplyv na životné prostredie Slovenskej republiky, </w:t>
            </w:r>
            <w:r w:rsidRPr="000C4466" w:rsidR="000C4466">
              <w:rPr>
                <w:sz w:val="24"/>
                <w:szCs w:val="24"/>
              </w:rPr>
              <w:t>strategické</w:t>
            </w:r>
            <w:r w:rsidRPr="000C4466" w:rsidR="00544090">
              <w:rPr>
                <w:sz w:val="24"/>
                <w:szCs w:val="24"/>
              </w:rPr>
              <w:t xml:space="preserve"> dokument</w:t>
            </w:r>
            <w:r w:rsidRPr="000C4466" w:rsidR="000C4466">
              <w:rPr>
                <w:sz w:val="24"/>
                <w:szCs w:val="24"/>
              </w:rPr>
              <w:t>y</w:t>
            </w:r>
            <w:r w:rsidRPr="000C4466" w:rsidR="00544090">
              <w:rPr>
                <w:sz w:val="24"/>
                <w:szCs w:val="24"/>
              </w:rPr>
              <w:t xml:space="preserve"> alebo </w:t>
            </w:r>
            <w:r w:rsidRPr="000C4466" w:rsidR="000C4466">
              <w:rPr>
                <w:sz w:val="24"/>
                <w:szCs w:val="24"/>
              </w:rPr>
              <w:t>ich zmeny</w:t>
            </w:r>
            <w:r w:rsidRPr="000C4466" w:rsidR="00544090">
              <w:rPr>
                <w:sz w:val="24"/>
                <w:szCs w:val="24"/>
              </w:rPr>
              <w:t>, projekt</w:t>
            </w:r>
            <w:r w:rsidRPr="000C4466" w:rsidR="000C4466">
              <w:rPr>
                <w:sz w:val="24"/>
                <w:szCs w:val="24"/>
              </w:rPr>
              <w:t>y</w:t>
            </w:r>
            <w:r w:rsidRPr="000C4466" w:rsidR="00544090">
              <w:rPr>
                <w:sz w:val="24"/>
                <w:szCs w:val="24"/>
              </w:rPr>
              <w:t xml:space="preserve"> alebo </w:t>
            </w:r>
            <w:r w:rsidRPr="000C4466" w:rsidR="000C4466">
              <w:rPr>
                <w:sz w:val="24"/>
                <w:szCs w:val="24"/>
              </w:rPr>
              <w:t>ich zmeny</w:t>
            </w:r>
            <w:r w:rsidRPr="000C4466" w:rsidR="00544090">
              <w:rPr>
                <w:sz w:val="24"/>
                <w:szCs w:val="24"/>
              </w:rPr>
              <w:t xml:space="preserve"> uve</w:t>
            </w:r>
            <w:r w:rsidRPr="000C4466" w:rsidR="000C4466">
              <w:rPr>
                <w:sz w:val="24"/>
                <w:szCs w:val="24"/>
              </w:rPr>
              <w:t>dené</w:t>
            </w:r>
            <w:r w:rsidRPr="000C4466" w:rsidR="00544090">
              <w:rPr>
                <w:sz w:val="24"/>
                <w:szCs w:val="24"/>
              </w:rPr>
              <w:t xml:space="preserve"> v prílohe č. 8 </w:t>
            </w:r>
            <w:r w:rsidRPr="000C4466" w:rsidR="000C4466">
              <w:rPr>
                <w:sz w:val="24"/>
                <w:szCs w:val="24"/>
              </w:rPr>
              <w:t>k zákonu</w:t>
            </w:r>
            <w:r w:rsidRPr="000C4466" w:rsidR="00544090">
              <w:rPr>
                <w:sz w:val="24"/>
                <w:szCs w:val="24"/>
              </w:rPr>
              <w:t xml:space="preserve"> o posudzovaní vplyvov, ak o to požiada dotknutá strana, alebo iný strategický dokument alebo </w:t>
            </w:r>
            <w:r w:rsidRPr="000C4466" w:rsidR="000C4466">
              <w:rPr>
                <w:sz w:val="24"/>
                <w:szCs w:val="24"/>
              </w:rPr>
              <w:t>ich zmeny a iné</w:t>
            </w:r>
            <w:r w:rsidRPr="000C4466" w:rsidR="00544090">
              <w:rPr>
                <w:sz w:val="24"/>
                <w:szCs w:val="24"/>
              </w:rPr>
              <w:t xml:space="preserve"> projekt</w:t>
            </w:r>
            <w:r w:rsidRPr="000C4466" w:rsidR="000C4466">
              <w:rPr>
                <w:sz w:val="24"/>
                <w:szCs w:val="24"/>
              </w:rPr>
              <w:t>y</w:t>
            </w:r>
            <w:r w:rsidRPr="000C4466" w:rsidR="00544090">
              <w:rPr>
                <w:sz w:val="24"/>
                <w:szCs w:val="24"/>
              </w:rPr>
              <w:t xml:space="preserve"> alebo </w:t>
            </w:r>
            <w:r w:rsidRPr="000C4466" w:rsidR="000C4466">
              <w:rPr>
                <w:sz w:val="24"/>
                <w:szCs w:val="24"/>
              </w:rPr>
              <w:t>ich</w:t>
            </w:r>
            <w:r w:rsidRPr="000C4466" w:rsidR="00544090">
              <w:rPr>
                <w:sz w:val="24"/>
                <w:szCs w:val="24"/>
              </w:rPr>
              <w:t xml:space="preserve"> zme</w:t>
            </w:r>
            <w:r w:rsidRPr="000C4466" w:rsidR="000C4466">
              <w:rPr>
                <w:sz w:val="24"/>
                <w:szCs w:val="24"/>
              </w:rPr>
              <w:t>ny</w:t>
            </w:r>
            <w:r w:rsidRPr="000C4466" w:rsidR="00544090">
              <w:rPr>
                <w:sz w:val="24"/>
                <w:szCs w:val="24"/>
              </w:rPr>
              <w:t xml:space="preserve"> ak sa na tom strana pôvodu a dotknutá strana dohodnú.</w:t>
            </w:r>
          </w:p>
          <w:p w:rsidR="00544090" w:rsidRPr="000C4466" w:rsidP="000C44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4466" w:rsidR="000C4466">
              <w:rPr>
                <w:sz w:val="24"/>
                <w:szCs w:val="24"/>
              </w:rPr>
              <w:t>V konaní o posudzovaní</w:t>
            </w:r>
            <w:r w:rsidRPr="000C4466">
              <w:rPr>
                <w:sz w:val="24"/>
                <w:szCs w:val="24"/>
              </w:rPr>
              <w:t xml:space="preserve"> vplyv</w:t>
            </w:r>
            <w:r w:rsidRPr="000C4466" w:rsidR="000C4466">
              <w:rPr>
                <w:sz w:val="24"/>
                <w:szCs w:val="24"/>
              </w:rPr>
              <w:t>ov</w:t>
            </w:r>
            <w:r w:rsidRPr="000C4466">
              <w:rPr>
                <w:sz w:val="24"/>
                <w:szCs w:val="24"/>
              </w:rPr>
              <w:t xml:space="preserve"> presahujúci</w:t>
            </w:r>
            <w:r w:rsidRPr="000C4466" w:rsidR="000C4466">
              <w:rPr>
                <w:sz w:val="24"/>
                <w:szCs w:val="24"/>
              </w:rPr>
              <w:t>ch</w:t>
            </w:r>
            <w:r w:rsidRPr="000C4466">
              <w:rPr>
                <w:sz w:val="24"/>
                <w:szCs w:val="24"/>
              </w:rPr>
              <w:t xml:space="preserve"> štátne hranice </w:t>
            </w:r>
            <w:r w:rsidRPr="000C4466" w:rsidR="000C4466">
              <w:rPr>
                <w:sz w:val="24"/>
                <w:szCs w:val="24"/>
              </w:rPr>
              <w:t>budú kontaktovaní</w:t>
            </w:r>
            <w:r w:rsidRPr="000C4466" w:rsidR="00D369D7">
              <w:rPr>
                <w:sz w:val="24"/>
                <w:szCs w:val="24"/>
              </w:rPr>
              <w:t xml:space="preserve"> zástupcovia dotknutých strán a v prípade, že prejavia záujem na konaní pre tento strategický dokument alebo projekt </w:t>
            </w:r>
            <w:r w:rsidRPr="000C4466" w:rsidR="000C4466">
              <w:rPr>
                <w:sz w:val="24"/>
                <w:szCs w:val="24"/>
              </w:rPr>
              <w:t xml:space="preserve">bude </w:t>
            </w:r>
            <w:r w:rsidRPr="000C4466" w:rsidR="00D369D7">
              <w:rPr>
                <w:sz w:val="24"/>
                <w:szCs w:val="24"/>
              </w:rPr>
              <w:t xml:space="preserve">počas celého procesu posudzovania vplyvov zabezpečená komunikácia s dotknutou stranou a verejnosťou dotknutej strany. </w:t>
            </w:r>
          </w:p>
        </w:tc>
      </w:tr>
      <w:tr w:rsidTr="0083112E">
        <w:tblPrEx>
          <w:tblW w:w="0" w:type="auto"/>
          <w:tblLook w:val="04A0"/>
        </w:tblPrEx>
        <w:trPr>
          <w:trHeight w:val="713"/>
        </w:trPr>
        <w:tc>
          <w:tcPr>
            <w:tcW w:w="9212" w:type="dxa"/>
            <w:shd w:val="clear" w:color="auto" w:fill="D9D9D9"/>
            <w:vAlign w:val="center"/>
          </w:tcPr>
          <w:p w:rsidR="00374EDB" w:rsidRPr="000C4466" w:rsidP="0083112E">
            <w:pPr>
              <w:rPr>
                <w:b/>
                <w:sz w:val="24"/>
                <w:szCs w:val="24"/>
              </w:rPr>
            </w:pPr>
            <w:r w:rsidRPr="000C4466">
              <w:rPr>
                <w:b/>
                <w:sz w:val="24"/>
                <w:szCs w:val="24"/>
              </w:rPr>
              <w:t>5.4 Aké opatrenia budú prijaté na zmiernenie negatívneho vplyvu na životné prostredie?</w:t>
            </w:r>
          </w:p>
        </w:tc>
      </w:tr>
      <w:tr w:rsidTr="0083112E">
        <w:tblPrEx>
          <w:tblW w:w="0" w:type="auto"/>
          <w:tblLook w:val="04A0"/>
        </w:tblPrEx>
        <w:trPr>
          <w:trHeight w:val="979"/>
        </w:trPr>
        <w:tc>
          <w:tcPr>
            <w:tcW w:w="9212" w:type="dxa"/>
            <w:shd w:val="clear" w:color="auto" w:fill="FFFFFF"/>
          </w:tcPr>
          <w:p w:rsidR="00D369D7" w:rsidRPr="000C4466" w:rsidP="00D369D7">
            <w:pPr>
              <w:pStyle w:val="ListParagraph"/>
              <w:autoSpaceDE w:val="0"/>
              <w:autoSpaceDN w:val="0"/>
              <w:adjustRightInd w:val="0"/>
              <w:spacing w:before="120"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466">
              <w:rPr>
                <w:rFonts w:ascii="Times New Roman" w:hAnsi="Times New Roman"/>
                <w:sz w:val="24"/>
                <w:szCs w:val="24"/>
              </w:rPr>
              <w:t xml:space="preserve">Príslušný orgán na základe vyššie uvedeného zároveň určí opatrenia a podmienky, ktorými sa predpokladá </w:t>
            </w:r>
            <w:r w:rsidR="000C4466">
              <w:rPr>
                <w:rFonts w:ascii="Times New Roman" w:hAnsi="Times New Roman"/>
                <w:sz w:val="24"/>
                <w:szCs w:val="24"/>
              </w:rPr>
              <w:t>predchádzanie</w:t>
            </w:r>
            <w:r w:rsidRPr="000C4466">
              <w:rPr>
                <w:rFonts w:ascii="Times New Roman" w:hAnsi="Times New Roman"/>
                <w:sz w:val="24"/>
                <w:szCs w:val="24"/>
              </w:rPr>
              <w:t>, elimináci</w:t>
            </w:r>
            <w:r w:rsidR="000C4466">
              <w:rPr>
                <w:rFonts w:ascii="Times New Roman" w:hAnsi="Times New Roman"/>
                <w:sz w:val="24"/>
                <w:szCs w:val="24"/>
              </w:rPr>
              <w:t>a</w:t>
            </w:r>
            <w:r w:rsidRPr="000C4466">
              <w:rPr>
                <w:rFonts w:ascii="Times New Roman" w:hAnsi="Times New Roman"/>
                <w:sz w:val="24"/>
                <w:szCs w:val="24"/>
              </w:rPr>
              <w:t>, zmierneni</w:t>
            </w:r>
            <w:r w:rsidR="000C4466">
              <w:rPr>
                <w:rFonts w:ascii="Times New Roman" w:hAnsi="Times New Roman"/>
                <w:sz w:val="24"/>
                <w:szCs w:val="24"/>
              </w:rPr>
              <w:t>e alebo kompenzácia</w:t>
            </w:r>
            <w:r w:rsidRPr="000C44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4466" w:rsidR="000C4466">
              <w:rPr>
                <w:rFonts w:ascii="Times New Roman" w:hAnsi="Times New Roman"/>
                <w:sz w:val="24"/>
                <w:szCs w:val="24"/>
              </w:rPr>
              <w:t>negatívnych</w:t>
            </w:r>
            <w:r w:rsidRPr="000C4466">
              <w:rPr>
                <w:rFonts w:ascii="Times New Roman" w:hAnsi="Times New Roman"/>
                <w:sz w:val="24"/>
                <w:szCs w:val="24"/>
              </w:rPr>
              <w:t xml:space="preserve"> vplyvov na životné prostredie.</w:t>
            </w:r>
          </w:p>
          <w:p w:rsidR="00374EDB" w:rsidRPr="000C4466" w:rsidP="0083112E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374EDB" w:rsidRPr="002E32C0" w:rsidP="00374EDB">
      <w:pPr>
        <w:jc w:val="center"/>
        <w:rPr>
          <w:b/>
          <w:bCs/>
          <w:sz w:val="28"/>
          <w:szCs w:val="28"/>
        </w:rPr>
      </w:pPr>
    </w:p>
    <w:p w:rsidR="00374EDB" w:rsidRPr="002E32C0" w:rsidP="00972A7A">
      <w:pPr>
        <w:rPr>
          <w:sz w:val="24"/>
          <w:szCs w:val="24"/>
        </w:rPr>
      </w:pPr>
    </w:p>
    <w:p w:rsidR="00CB3623" w:rsidRPr="002E32C0"/>
    <w:sectPr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EDB" w:rsidRPr="00374EDB">
    <w:pPr>
      <w:pStyle w:val="Footer"/>
      <w:jc w:val="right"/>
      <w:rPr>
        <w:sz w:val="22"/>
      </w:rPr>
    </w:pPr>
    <w:r w:rsidRPr="00374EDB">
      <w:rPr>
        <w:sz w:val="22"/>
      </w:rPr>
      <w:fldChar w:fldCharType="begin"/>
    </w:r>
    <w:r w:rsidRPr="00374EDB">
      <w:rPr>
        <w:sz w:val="22"/>
      </w:rPr>
      <w:instrText>PAGE   \* MERGEFORMAT</w:instrText>
    </w:r>
    <w:r w:rsidRPr="00374EDB">
      <w:rPr>
        <w:sz w:val="22"/>
      </w:rPr>
      <w:fldChar w:fldCharType="separate"/>
    </w:r>
    <w:r w:rsidR="00634964">
      <w:rPr>
        <w:noProof/>
        <w:sz w:val="22"/>
      </w:rPr>
      <w:t>2</w:t>
    </w:r>
    <w:r w:rsidRPr="00374EDB">
      <w:rPr>
        <w:sz w:val="22"/>
      </w:rPr>
      <w:fldChar w:fldCharType="end"/>
    </w:r>
  </w:p>
  <w:p w:rsidR="00374ED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EDB" w:rsidP="00374EDB">
    <w:pPr>
      <w:pStyle w:val="Header"/>
      <w:jc w:val="right"/>
      <w:rPr>
        <w:sz w:val="24"/>
        <w:szCs w:val="24"/>
      </w:rPr>
    </w:pPr>
    <w:r w:rsidRPr="000A15AE">
      <w:rPr>
        <w:sz w:val="24"/>
        <w:szCs w:val="24"/>
      </w:rPr>
      <w:t>Príloha č</w:t>
    </w:r>
    <w:r>
      <w:rPr>
        <w:sz w:val="24"/>
        <w:szCs w:val="24"/>
      </w:rPr>
      <w:t>. 5</w:t>
    </w:r>
  </w:p>
  <w:p w:rsidR="00374ED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5682"/>
    <w:multiLevelType w:val="hybridMultilevel"/>
    <w:tmpl w:val="3F32D0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>
    <w:nsid w:val="2500299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C0E4B0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D2F2AE6"/>
    <w:multiLevelType w:val="singleLevel"/>
    <w:tmpl w:val="02F81D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2E2366A"/>
    <w:multiLevelType w:val="hybridMultilevel"/>
    <w:tmpl w:val="86585DB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3F66EA"/>
    <w:multiLevelType w:val="hybridMultilevel"/>
    <w:tmpl w:val="5B16E39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6E1B1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66EE0530"/>
    <w:multiLevelType w:val="hybridMultilevel"/>
    <w:tmpl w:val="5F98C64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EC28DE"/>
    <w:multiLevelType w:val="multilevel"/>
    <w:tmpl w:val="F01C05C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6EDF"/>
    <w:rsid w:val="000A15AE"/>
    <w:rsid w:val="000B1CDF"/>
    <w:rsid w:val="000C4466"/>
    <w:rsid w:val="001155BC"/>
    <w:rsid w:val="001E503A"/>
    <w:rsid w:val="0020353E"/>
    <w:rsid w:val="002D4929"/>
    <w:rsid w:val="002E32C0"/>
    <w:rsid w:val="00374EDB"/>
    <w:rsid w:val="003C4F63"/>
    <w:rsid w:val="00413E9A"/>
    <w:rsid w:val="00523CD2"/>
    <w:rsid w:val="00544090"/>
    <w:rsid w:val="00634964"/>
    <w:rsid w:val="00702CAB"/>
    <w:rsid w:val="007604EE"/>
    <w:rsid w:val="007C3A19"/>
    <w:rsid w:val="0083112E"/>
    <w:rsid w:val="008C668C"/>
    <w:rsid w:val="00972876"/>
    <w:rsid w:val="00972A7A"/>
    <w:rsid w:val="00A96EDF"/>
    <w:rsid w:val="00CB3623"/>
    <w:rsid w:val="00D07ED1"/>
    <w:rsid w:val="00D369D7"/>
    <w:rsid w:val="00D50DC2"/>
    <w:rsid w:val="00DE3EC0"/>
    <w:rsid w:val="00E16817"/>
    <w:rsid w:val="00E7174B"/>
    <w:rsid w:val="00F375CA"/>
    <w:rsid w:val="59D26DDC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74EDB"/>
    <w:rPr>
      <w:rFonts w:ascii="Times New Roman" w:eastAsia="Times New Roman" w:hAnsi="Times New Roman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lavikaChar"/>
    <w:uiPriority w:val="99"/>
    <w:unhideWhenUsed/>
    <w:rsid w:val="00374E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uiPriority w:val="99"/>
    <w:rsid w:val="00374ED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Footer">
    <w:name w:val="footer"/>
    <w:basedOn w:val="Normal"/>
    <w:link w:val="PtaChar"/>
    <w:uiPriority w:val="99"/>
    <w:unhideWhenUsed/>
    <w:rsid w:val="00374EDB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Footer"/>
    <w:uiPriority w:val="99"/>
    <w:rsid w:val="00374ED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13E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rsid w:val="00413E9A"/>
    <w:rPr>
      <w:rFonts w:ascii="Tahoma" w:eastAsia="Times New Roman" w:hAnsi="Tahoma" w:cs="Tahoma"/>
      <w:sz w:val="16"/>
      <w:szCs w:val="16"/>
      <w:lang w:eastAsia="sk-SK"/>
    </w:rPr>
  </w:style>
  <w:style w:type="paragraph" w:styleId="ListParagraph">
    <w:name w:val="List Paragraph"/>
    <w:basedOn w:val="Normal"/>
    <w:uiPriority w:val="34"/>
    <w:qFormat/>
    <w:rsid w:val="00544090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CommentReference">
    <w:name w:val="annotation reference"/>
    <w:unhideWhenUsed/>
    <w:rsid w:val="00544090"/>
    <w:rPr>
      <w:sz w:val="16"/>
      <w:szCs w:val="16"/>
    </w:rPr>
  </w:style>
  <w:style w:type="paragraph" w:styleId="CommentText">
    <w:name w:val="annotation text"/>
    <w:basedOn w:val="Normal"/>
    <w:link w:val="TextkomentraChar"/>
    <w:unhideWhenUsed/>
    <w:rsid w:val="00544090"/>
    <w:pPr>
      <w:spacing w:after="160"/>
    </w:pPr>
    <w:rPr>
      <w:rFonts w:ascii="Calibri" w:eastAsia="Calibri" w:hAnsi="Calibri" w:cs="Times New Roman"/>
      <w:lang w:eastAsia="en-US"/>
    </w:rPr>
  </w:style>
  <w:style w:type="character" w:customStyle="1" w:styleId="TextkomentraChar">
    <w:name w:val="Text komentára Char"/>
    <w:link w:val="CommentText"/>
    <w:rsid w:val="0054409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Rajnohová Ľudmila</cp:lastModifiedBy>
  <cp:revision>3</cp:revision>
  <dcterms:created xsi:type="dcterms:W3CDTF">2024-01-30T12:40:00Z</dcterms:created>
  <dcterms:modified xsi:type="dcterms:W3CDTF">2024-01-30T12:43:00Z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COO.2145.1000.3.3424867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2023</vt:lpwstr>
  </property>
  <property fmtid="{D5CDD505-2E9C-101B-9397-08002B2CF9AE}" pid="5" name="FSC#SKEDITIONSLOVLEX@103.510:AttrDateDocPropUkonceniePKK">
    <vt:lpwstr>6. 5. 2019</vt:lpwstr>
  </property>
  <property fmtid="{D5CDD505-2E9C-101B-9397-08002B2CF9AE}" pid="6" name="FSC#SKEDITIONSLOVLEX@103.510:AttrDateDocPropZaciatokPKK">
    <vt:lpwstr>17. 4. 2019</vt:lpwstr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Pozitívne</vt:lpwstr>
  </property>
  <property fmtid="{D5CDD505-2E9C-101B-9397-08002B2CF9AE}" pid="9" name="FSC#SKEDITIONSLOVLEX@103.510:AttrStrDocPropVplyvPodnikatelskeProstr">
    <vt:lpwstr>Pozitívne
Negatívne</vt:lpwstr>
  </property>
  <property fmtid="{D5CDD505-2E9C-101B-9397-08002B2CF9AE}" pid="10" name="FSC#SKEDITIONSLOVLEX@103.510:AttrStrDocPropVplyvRozpocetVS">
    <vt:lpwstr>Pozitívne
Negatívne</vt:lpwstr>
  </property>
  <property fmtid="{D5CDD505-2E9C-101B-9397-08002B2CF9AE}" pid="11" name="FSC#SKEDITIONSLOVLEX@103.510:AttrStrDocPropVplyvSocialny">
    <vt:lpwstr/>
  </property>
  <property fmtid="{D5CDD505-2E9C-101B-9397-08002B2CF9AE}" pid="12" name="FSC#SKEDITIONSLOVLEX@103.510:AttrStrListDocPropAltRiesenia">
    <vt:lpwstr>Alt. 0: Zachovanie súčasného stavu.Alt. 1: Nový zákon o posudzovaní vplyvov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/>
  </property>
  <property fmtid="{D5CDD505-2E9C-101B-9397-08002B2CF9AE}" pid="15" name="FSC#SKEDITIONSLOVLEX@103.510:AttrStrListDocPropInfoUzPreberanePP">
    <vt:lpwstr>Zákon č. 24/2006 Z. z. o posudzovaní vplyvov na životné prostredie a o zmene a doplnení niektorých zákonov v znení neskorších predpisov
• Zákon č. 258/2011 Z. z. o trvalom ukladaní oxidu uhličitého do geologického prostredia a o zmene a doplnení niektorý</vt:lpwstr>
  </property>
  <property fmtid="{D5CDD505-2E9C-101B-9397-08002B2CF9AE}" pid="16" name="FSC#SKEDITIONSLOVLEX@103.510:AttrStrListDocPropInfoZaciatokKonania">
    <vt:lpwstr/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/>
  </property>
  <property fmtid="{D5CDD505-2E9C-101B-9397-08002B2CF9AE}" pid="20" name="FSC#SKEDITIONSLOVLEX@103.510:AttrStrListDocPropLehotaPrebratieSmernice">
    <vt:lpwstr>smernica 2011/92/EÚ - je úplným znením smernice 85/337/EHS. Smernica 85/337/EHS a jej novely mali nasledujúce lehoty na prebratie
3. júla 1988 - smernica 85/337/ES
14. marec 1999 -  97/11/ES
25. jún 2005 - 2003/35/ES
25. jún 2011 - 2009/31/ES
16. máj</vt:lpwstr>
  </property>
  <property fmtid="{D5CDD505-2E9C-101B-9397-08002B2CF9AE}" pid="21" name="FSC#SKEDITIONSLOVLEX@103.510:AttrStrListDocPropNazovPredpisuEU">
    <vt:lpwstr>C‑570/13
C‑290/15
C-348/15
C‑137/14
C‑260/11</vt:lpwstr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> Čl. 114 a čl. 191 až 193 Zmluvy o fungovaní Európskej únie </vt:lpwstr>
  </property>
  <property fmtid="{D5CDD505-2E9C-101B-9397-08002B2CF9AE}" pid="24" name="FSC#SKEDITIONSLOVLEX@103.510:AttrStrListDocPropProblematikaPPa">
    <vt:lpwstr>je upravený v práve Európskej únie</vt:lpwstr>
  </property>
  <property fmtid="{D5CDD505-2E9C-101B-9397-08002B2CF9AE}" pid="25" name="FSC#SKEDITIONSLOVLEX@103.510:AttrStrListDocPropProblematikaPPb">
    <vt:lpwstr/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>Smernica Európskeho parlamentu a rady  (EÚ) 2011/92/EÚ z 13. Decembra 2011 o posudzovaní vplyvov určitých verejných a súkromných projektov na životné prostredie (Ú. v. ES L 026, 28. 01. 2012) v platnom znení
 Smernica Európskeho parlamentu a rady  2001/</vt:lpwstr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>&lt;h4&gt;&amp;nbsp;&lt;/h4&gt;&lt;h4&gt;Stanovisko komisie&lt;/h4&gt;&lt;p align="center"&gt;&amp;nbsp;&lt;/p&gt;&lt;p align="center"&gt;&lt;strong&gt;(predbežné pripomienkové konanie)&lt;/strong&gt;&lt;/p&gt;&lt;p align="center"&gt;&amp;nbsp;&lt;/p&gt;&lt;p align="center"&gt;&lt;strong&gt;k&amp;nbsp;návrhu&lt;/strong&gt;&lt;/p&gt;&lt;p align="center"&gt;&amp;nbsp;&lt;/p&gt;&lt;div&gt;</vt:lpwstr>
  </property>
  <property fmtid="{D5CDD505-2E9C-101B-9397-08002B2CF9AE}" pid="30" name="FSC#SKEDITIONSLOVLEX@103.510:AttrStrListDocPropStupenZlucitelnostiPP">
    <vt:lpwstr>úplne</vt:lpwstr>
  </property>
  <property fmtid="{D5CDD505-2E9C-101B-9397-08002B2CF9AE}" pid="31" name="FSC#SKEDITIONSLOVLEX@103.510:AttrStrListDocPropTextKomunike">
    <vt:lpwstr/>
  </property>
  <property fmtid="{D5CDD505-2E9C-101B-9397-08002B2CF9AE}" pid="32" name="FSC#SKEDITIONSLOVLEX@103.510:AttrStrListDocPropTextPredklSpravy">
    <vt:lpwstr>&lt;p&gt;Návrh zákona o&amp;nbsp;posudzovaní vplyvov na životné prostredie a&amp;nbsp;o&amp;nbsp;zmene a&amp;nbsp;doplnení niektorých zákonov sa predkladá (ďalej len „návrh zákona“) na základe plánu legislatívnych úloh vlády Slovenskej republiky na rok 2019 v&amp;nbsp;súlade s Pro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
podpredseda vlády a minister životného prostredia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LP/2019/384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podpredseda vlády a minister životného prostredia Slovenskej republiky</vt:lpwstr>
  </property>
  <property fmtid="{D5CDD505-2E9C-101B-9397-08002B2CF9AE}" pid="122" name="FSC#SKEDITIONSLOVLEX@103.510:funkciaZodpPredAkuzativ">
    <vt:lpwstr>podpredsedovi vlády a ministrovi životného prostredia Slovenskej republiky</vt:lpwstr>
  </property>
  <property fmtid="{D5CDD505-2E9C-101B-9397-08002B2CF9AE}" pid="123" name="FSC#SKEDITIONSLOVLEX@103.510:funkciaZodpPredDativ">
    <vt:lpwstr>podpredsedu vlády a ministra životného prostredia Slovenskej republiky</vt:lpwstr>
  </property>
  <property fmtid="{D5CDD505-2E9C-101B-9397-08002B2CF9AE}" pid="124" name="FSC#SKEDITIONSLOVLEX@103.510:legoblast">
    <vt:lpwstr>Správne právo
Životné prostredie
Posudzovanie vplyvov na životné prostredie</vt:lpwstr>
  </property>
  <property fmtid="{D5CDD505-2E9C-101B-9397-08002B2CF9AE}" pid="125" name="FSC#SKEDITIONSLOVLEX@103.510:nazovpredpis">
    <vt:lpwstr> o posudzovaní vplyvov na životné prostredie a o zmene a doplnení niektorých zákonov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 o posudzovaní vplyvov na životné prostredie a o zmene a doplnení niektorých zákonov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Plán legislatívnych úloh vlády Slovenskej republiky na rok 2019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Katrlík Radovan</vt:lpwstr>
  </property>
  <property fmtid="{D5CDD505-2E9C-101B-9397-08002B2CF9AE}" pid="138" name="FSC#SKEDITIONSLOVLEX@103.510:predkladateliaObalSD">
    <vt:lpwstr>László Sólymos
podpredseda vlády a minister životného prostredia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7784/2019-9.1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&lt;table align="left" border="1" cellpadding="0" cellspacing="0" width="99%"&gt;	&lt;tbody&gt;		&lt;tr&gt;			&lt;td colspan="5" style="width:100.0%;height:36px;"&gt;			&lt;h2 align="center"&gt;&lt;strong&gt;Správa o účasti verejnosti na tvorbe právneho predpisu&lt;/strong&gt;&lt;/h2&gt;			&lt;h2&gt;&lt;strong&gt;</vt:lpwstr>
  </property>
  <property fmtid="{D5CDD505-2E9C-101B-9397-08002B2CF9AE}" pid="143" name="FSC#SKEDITIONSLOVLEX@103.510:stavpredpis">
    <vt:lpwstr>Vyhodnotenie medzirezortného pripomienkového konania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Doložka vplyvov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ytvorenedna">
    <vt:lpwstr>7. 6. 2019</vt:lpwstr>
  </property>
  <property fmtid="{D5CDD505-2E9C-101B-9397-08002B2CF9AE}" pid="150" name="FSC#SKEDITIONSLOVLEX@103.510:vztahypredpis">
    <vt:lpwstr/>
  </property>
  <property fmtid="{D5CDD505-2E9C-101B-9397-08002B2CF9AE}" pid="151" name="FSC#SKEDITIONSLOVLEX@103.510:zodpinstitucia">
    <vt:lpwstr>Ministerstvo životného prostredia Slovenskej republiky</vt:lpwstr>
  </property>
  <property fmtid="{D5CDD505-2E9C-101B-9397-08002B2CF9AE}" pid="152" name="FSC#SKEDITIONSLOVLEX@103.510:zodppredkladatel">
    <vt:lpwstr>László Sólymos</vt:lpwstr>
  </property>
</Properties>
</file>