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79" w:rsidRPr="00A929B7" w:rsidRDefault="00220C79" w:rsidP="00B26DCA">
      <w:pPr>
        <w:spacing w:line="276" w:lineRule="auto"/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220C79" w:rsidRPr="00A929B7" w:rsidRDefault="00220C79" w:rsidP="00B26DCA">
      <w:pPr>
        <w:spacing w:line="276" w:lineRule="auto"/>
        <w:ind w:firstLine="709"/>
        <w:jc w:val="both"/>
        <w:rPr>
          <w:b/>
        </w:rPr>
      </w:pPr>
    </w:p>
    <w:p w:rsidR="00220C79" w:rsidRPr="00A929B7" w:rsidRDefault="00E67E5D" w:rsidP="00B26DCA">
      <w:pPr>
        <w:spacing w:line="276" w:lineRule="auto"/>
        <w:jc w:val="both"/>
        <w:rPr>
          <w:b/>
        </w:rPr>
      </w:pPr>
      <w:r>
        <w:rPr>
          <w:b/>
        </w:rPr>
        <w:t>A. Všeobecná časť</w:t>
      </w:r>
    </w:p>
    <w:p w:rsidR="00B3532C" w:rsidRDefault="00B3532C" w:rsidP="00B26DCA">
      <w:pPr>
        <w:spacing w:line="276" w:lineRule="auto"/>
        <w:ind w:firstLine="708"/>
        <w:jc w:val="both"/>
      </w:pPr>
    </w:p>
    <w:p w:rsidR="00E61EAA" w:rsidRPr="00882F3C" w:rsidRDefault="00E61EAA" w:rsidP="00E61EAA">
      <w:pPr>
        <w:spacing w:before="120" w:line="276" w:lineRule="auto"/>
        <w:ind w:firstLine="708"/>
        <w:jc w:val="both"/>
      </w:pPr>
      <w:r w:rsidRPr="00CD4827">
        <w:t xml:space="preserve">Na rokovanie Národnej rady Slovenskej republiky sa predkladá návrh </w:t>
      </w:r>
      <w:r w:rsidR="006E4867">
        <w:rPr>
          <w:rStyle w:val="awspan"/>
        </w:rPr>
        <w:t>poslancov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36"/>
        </w:rPr>
        <w:t xml:space="preserve"> </w:t>
      </w:r>
      <w:r>
        <w:rPr>
          <w:rStyle w:val="awspan"/>
        </w:rPr>
        <w:t xml:space="preserve">republiky </w:t>
      </w:r>
      <w:r w:rsidR="006E4867">
        <w:rPr>
          <w:rStyle w:val="awspan"/>
        </w:rPr>
        <w:t>Adama Lučanského, Milana Garaja a Rudolfa Huliaka</w:t>
      </w:r>
      <w:r w:rsidRPr="00CD4827">
        <w:t xml:space="preserve"> na vydanie zákona, </w:t>
      </w:r>
      <w:r w:rsidR="006E4867" w:rsidRPr="006E4867">
        <w:t>ktorým sa mení zákon č. 544/2002 Z. z. o Horskej záchrannej službe v znení neskorších predpisov</w:t>
      </w:r>
      <w:r w:rsidRPr="00882F3C">
        <w:t>.</w:t>
      </w:r>
    </w:p>
    <w:p w:rsidR="00E61EAA" w:rsidRPr="00882F3C" w:rsidRDefault="00882F3C" w:rsidP="00882F3C">
      <w:pPr>
        <w:spacing w:before="120" w:line="276" w:lineRule="auto"/>
        <w:ind w:firstLine="709"/>
        <w:jc w:val="both"/>
      </w:pPr>
      <w:r w:rsidRPr="00882F3C">
        <w:t>Navrhovaná novela zákona sa zameriava na zmenu vekovej hranice pre povinné nosenie ochrannej prilby na lyžiarskych tratiach zo súčasných 15 rokov na 18 rokov. Táto legislatívna úprava vychádza z potreby prispôsobiť zákon väčšej bezpečnosti a ochrany zdravia mladistvých. Zvýšenie vekovej hranice reflektuje rastúcu potrebu ochrany tejto vekovej skupiny, ktorá je významne zastúpená medzi lyžiarmi a snouboardistami. Iniciatíva pre novelu vychádza z veľkého počtu zranených na lyžiarských svahoch, ako aj z medzinárodných trendov v zvyšovaní bezpečnostných štandardov pre mladistvých. Predkladaná novela má za cieľ zabezpečiť vyššiu mieru ochrany hlavy pri lyžovaní a snoubordovaní, čo sú činnosti s vysokým rizikom úrazu. Novela by mohla znížiť počet vážnych hlavových zranení v tejto vekovej skupine.</w:t>
      </w:r>
    </w:p>
    <w:p w:rsidR="00D313C9" w:rsidRDefault="006E4867" w:rsidP="00B26DCA">
      <w:pPr>
        <w:pStyle w:val="Normlnywebov"/>
        <w:spacing w:before="120" w:beforeAutospacing="0" w:after="0" w:afterAutospacing="0" w:line="276" w:lineRule="auto"/>
        <w:ind w:firstLine="709"/>
        <w:jc w:val="both"/>
        <w:rPr>
          <w:rStyle w:val="awspan"/>
        </w:rPr>
      </w:pPr>
      <w:r w:rsidRPr="006E4867">
        <w:rPr>
          <w:rStyle w:val="awspan"/>
        </w:rPr>
        <w:t xml:space="preserve">Návrh zákona </w:t>
      </w:r>
      <w:r>
        <w:rPr>
          <w:rStyle w:val="awspan"/>
        </w:rPr>
        <w:t>nemá</w:t>
      </w:r>
      <w:r w:rsidRPr="006E4867">
        <w:rPr>
          <w:rStyle w:val="awspan"/>
        </w:rPr>
        <w:t xml:space="preserve"> vplyv na rozpočet verejnej správy,</w:t>
      </w:r>
      <w:r>
        <w:rPr>
          <w:rStyle w:val="awspan"/>
        </w:rPr>
        <w:t xml:space="preserve"> nemá </w:t>
      </w:r>
      <w:r w:rsidRPr="006E4867">
        <w:rPr>
          <w:rStyle w:val="awspan"/>
        </w:rPr>
        <w:t xml:space="preserve">vplyv na podnikateľské prostredie, </w:t>
      </w:r>
      <w:r>
        <w:rPr>
          <w:rStyle w:val="awspan"/>
        </w:rPr>
        <w:t>nemá</w:t>
      </w:r>
      <w:r w:rsidRPr="006E4867">
        <w:rPr>
          <w:rStyle w:val="awspan"/>
        </w:rPr>
        <w:t xml:space="preserve"> vplyv na životné prostredie, ani na informatizáciu spoločnosti. Návrh zákona </w:t>
      </w:r>
      <w:r>
        <w:rPr>
          <w:rStyle w:val="awspan"/>
        </w:rPr>
        <w:t>nemá</w:t>
      </w:r>
      <w:r w:rsidRPr="006E4867">
        <w:rPr>
          <w:rStyle w:val="awspan"/>
        </w:rPr>
        <w:t xml:space="preserve"> žiadne sociálne vplyvy, ani vplyvy na manželstvo, rodičovstvo a</w:t>
      </w:r>
      <w:r>
        <w:rPr>
          <w:rStyle w:val="awspan"/>
        </w:rPr>
        <w:t> </w:t>
      </w:r>
      <w:r w:rsidRPr="006E4867">
        <w:rPr>
          <w:rStyle w:val="awspan"/>
        </w:rPr>
        <w:t>rodinu</w:t>
      </w:r>
      <w:r>
        <w:rPr>
          <w:rStyle w:val="awspan"/>
        </w:rPr>
        <w:t xml:space="preserve"> či </w:t>
      </w:r>
      <w:r w:rsidRPr="006E4867">
        <w:rPr>
          <w:rStyle w:val="awspan"/>
        </w:rPr>
        <w:t xml:space="preserve">vplyv na služby verejnej správy pre občana. </w:t>
      </w:r>
      <w:r w:rsidR="002C24EB">
        <w:rPr>
          <w:rStyle w:val="awspan"/>
        </w:rPr>
        <w:t xml:space="preserve"> </w:t>
      </w:r>
    </w:p>
    <w:p w:rsidR="00220C79" w:rsidRPr="00A929B7" w:rsidRDefault="00220C79" w:rsidP="00B26DCA">
      <w:pPr>
        <w:autoSpaceDE w:val="0"/>
        <w:spacing w:before="120" w:line="276" w:lineRule="auto"/>
        <w:ind w:firstLine="709"/>
        <w:jc w:val="both"/>
      </w:pP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B3532C" w:rsidRDefault="00B3532C" w:rsidP="006E64E8">
      <w:pPr>
        <w:spacing w:line="360" w:lineRule="auto"/>
        <w:ind w:firstLine="708"/>
        <w:jc w:val="both"/>
      </w:pPr>
    </w:p>
    <w:p w:rsidR="00220C79" w:rsidRDefault="00220C79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C24EB" w:rsidRDefault="002C24EB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B26DCA" w:rsidRDefault="00946444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  <w:r>
        <w:rPr>
          <w:b/>
        </w:rPr>
        <w:t xml:space="preserve"> </w:t>
      </w: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750929" w:rsidRPr="00B26DCA" w:rsidRDefault="00750929" w:rsidP="00B26DCA">
      <w:pPr>
        <w:pStyle w:val="Normlnywebov"/>
        <w:spacing w:before="0" w:beforeAutospacing="0" w:after="120" w:afterAutospacing="0" w:line="276" w:lineRule="auto"/>
        <w:jc w:val="both"/>
      </w:pPr>
      <w:r w:rsidRPr="00B26DCA">
        <w:rPr>
          <w:b/>
        </w:rPr>
        <w:lastRenderedPageBreak/>
        <w:t>B. Osobitná časť</w:t>
      </w:r>
    </w:p>
    <w:p w:rsidR="00750929" w:rsidRPr="00B26DCA" w:rsidRDefault="00750929" w:rsidP="00B26DCA">
      <w:pPr>
        <w:spacing w:after="120" w:line="276" w:lineRule="auto"/>
        <w:jc w:val="both"/>
      </w:pPr>
    </w:p>
    <w:p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</w:t>
      </w:r>
    </w:p>
    <w:p w:rsidR="00750929" w:rsidRPr="00B26DCA" w:rsidRDefault="00750929" w:rsidP="00B26DCA">
      <w:pPr>
        <w:spacing w:after="120" w:line="276" w:lineRule="auto"/>
        <w:jc w:val="both"/>
        <w:rPr>
          <w:b/>
        </w:rPr>
      </w:pPr>
    </w:p>
    <w:p w:rsidR="00750929" w:rsidRPr="00B26DCA" w:rsidRDefault="00750929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bodu 1</w:t>
      </w:r>
    </w:p>
    <w:p w:rsidR="00750929" w:rsidRPr="00B26DCA" w:rsidRDefault="006E4867" w:rsidP="006E4867">
      <w:pPr>
        <w:spacing w:after="120" w:line="276" w:lineRule="auto"/>
        <w:ind w:firstLine="708"/>
        <w:jc w:val="both"/>
      </w:pPr>
      <w:r>
        <w:t xml:space="preserve">Z dôvodu prevencie </w:t>
      </w:r>
      <w:r w:rsidRPr="006E4867">
        <w:t>úrazov a bezpečnosti na zjazdových tratiach</w:t>
      </w:r>
      <w:r>
        <w:t xml:space="preserve"> sa navrhuje zvýšiť veková hranica</w:t>
      </w:r>
      <w:r w:rsidR="00750929" w:rsidRPr="00B26DCA">
        <w:t xml:space="preserve"> </w:t>
      </w:r>
      <w:r>
        <w:t>pre povinnosť nosenia ochrannej prilby z 15 rokov na 18 rokov.</w:t>
      </w:r>
    </w:p>
    <w:p w:rsidR="006E4867" w:rsidRDefault="006E4867" w:rsidP="006E4867">
      <w:pPr>
        <w:spacing w:after="120" w:line="276" w:lineRule="auto"/>
        <w:jc w:val="both"/>
        <w:rPr>
          <w:b/>
        </w:rPr>
      </w:pPr>
    </w:p>
    <w:p w:rsidR="00750929" w:rsidRDefault="006E4867" w:rsidP="00B26DCA">
      <w:pPr>
        <w:spacing w:after="120" w:line="276" w:lineRule="auto"/>
        <w:jc w:val="both"/>
        <w:rPr>
          <w:b/>
        </w:rPr>
      </w:pPr>
      <w:r w:rsidRPr="00B26DCA">
        <w:rPr>
          <w:b/>
        </w:rPr>
        <w:t>K Čl. I</w:t>
      </w:r>
      <w:r>
        <w:rPr>
          <w:b/>
        </w:rPr>
        <w:t>I</w:t>
      </w:r>
    </w:p>
    <w:p w:rsidR="006E4867" w:rsidRPr="00B26DCA" w:rsidRDefault="006E4867" w:rsidP="00B26DCA">
      <w:pPr>
        <w:spacing w:after="120" w:line="276" w:lineRule="auto"/>
        <w:jc w:val="both"/>
        <w:rPr>
          <w:b/>
        </w:rPr>
      </w:pPr>
    </w:p>
    <w:p w:rsidR="00750929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  <w:r>
        <w:rPr>
          <w:rStyle w:val="awspan"/>
        </w:rPr>
        <w:t>Z hľadiska významu sa navrhuje účinnosť zákona pred otvorením lyžiarskej sezóny.</w:t>
      </w: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0564F" w:rsidRDefault="0010564F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b/>
        </w:rPr>
        <w:t>A.1.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Názov</w:t>
      </w:r>
      <w:r w:rsidRPr="00FA3A21">
        <w:rPr>
          <w:rStyle w:val="awspan"/>
          <w:b/>
          <w:spacing w:val="37"/>
        </w:rPr>
        <w:t xml:space="preserve"> </w:t>
      </w:r>
      <w:r w:rsidRPr="00FA3A21">
        <w:rPr>
          <w:rStyle w:val="awspan"/>
          <w:b/>
        </w:rPr>
        <w:t>materiálu:</w:t>
      </w:r>
      <w:r w:rsidRPr="00FA3A21">
        <w:rPr>
          <w:rStyle w:val="awspan"/>
          <w:spacing w:val="37"/>
        </w:rPr>
        <w:t xml:space="preserve"> </w:t>
      </w:r>
      <w:r w:rsidRPr="00FA3A21">
        <w:rPr>
          <w:rStyle w:val="awspan"/>
        </w:rPr>
        <w:t>Návrh</w:t>
      </w:r>
      <w:r w:rsidRPr="00FA3A21">
        <w:rPr>
          <w:rStyle w:val="awspan"/>
          <w:spacing w:val="37"/>
        </w:rPr>
        <w:t xml:space="preserve"> </w:t>
      </w:r>
      <w:r w:rsidRPr="00FA3A21">
        <w:rPr>
          <w:rStyle w:val="awspan"/>
        </w:rPr>
        <w:t>zákona,</w:t>
      </w:r>
      <w:r w:rsidRPr="00FA3A21">
        <w:t xml:space="preserve"> </w:t>
      </w:r>
      <w:r w:rsidR="006E4867" w:rsidRPr="006E4867">
        <w:t>ktorým sa mení zákon č. 544/2002 Z. z. o Horskej záchrannej službe v znení neskorších predpisov</w:t>
      </w:r>
    </w:p>
    <w:p w:rsidR="00862837" w:rsidRPr="00FA3A21" w:rsidRDefault="00862837" w:rsidP="00FA3A21">
      <w:pPr>
        <w:pStyle w:val="Normlnywebov"/>
        <w:spacing w:before="0" w:beforeAutospacing="0" w:after="0" w:afterAutospacing="0"/>
        <w:jc w:val="both"/>
      </w:pP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862837" w:rsidRPr="00FA3A21" w:rsidTr="0086283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882F3C" w:rsidP="00A02747">
            <w:pPr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sociálnu exklúziu,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pStyle w:val="Odsekzoznamu"/>
              <w:numPr>
                <w:ilvl w:val="0"/>
                <w:numId w:val="3"/>
              </w:numPr>
              <w:suppressAutoHyphens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862837" w:rsidRPr="00FA3A21" w:rsidTr="00A02747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862837" w:rsidRPr="00FA3A21" w:rsidRDefault="00862837" w:rsidP="00FA3A21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:rsidR="00862837" w:rsidRPr="00FA3A21" w:rsidRDefault="00862837" w:rsidP="00A02747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862837" w:rsidRPr="00FA3A21" w:rsidRDefault="00862837" w:rsidP="00A02747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:rsidR="00862837" w:rsidRPr="00FA3A21" w:rsidRDefault="00862837" w:rsidP="00FA3A21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 w:rsidR="00FA3A21"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6E4867" w:rsidP="00FA3A21">
      <w:pPr>
        <w:pStyle w:val="Odsekzoznamu"/>
        <w:ind w:left="0"/>
        <w:contextualSpacing w:val="0"/>
        <w:jc w:val="both"/>
      </w:pPr>
      <w:r>
        <w:rPr>
          <w:rStyle w:val="awspan"/>
        </w:rPr>
        <w:t>Bezpredmetné</w:t>
      </w:r>
    </w:p>
    <w:p w:rsidR="00FA3A21" w:rsidRPr="00FA3A21" w:rsidRDefault="00FA3A21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DA2641" w:rsidRDefault="00862837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DA2641">
        <w:rPr>
          <w:rFonts w:eastAsia="SimSun"/>
          <w:b/>
          <w:bCs/>
          <w:kern w:val="2"/>
          <w:lang w:eastAsia="ar-SA"/>
        </w:rPr>
        <w:t>A.4. Alternatívne riešenia</w:t>
      </w:r>
      <w:r w:rsidR="00FA3A21" w:rsidRPr="00DA2641">
        <w:rPr>
          <w:rFonts w:eastAsia="SimSun"/>
          <w:b/>
          <w:bCs/>
          <w:kern w:val="2"/>
          <w:lang w:eastAsia="ar-SA"/>
        </w:rPr>
        <w:t>:</w:t>
      </w:r>
    </w:p>
    <w:p w:rsidR="00862837" w:rsidRPr="00DA2641" w:rsidRDefault="006E486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DA2641">
        <w:rPr>
          <w:rFonts w:eastAsia="SimSun"/>
          <w:kern w:val="2"/>
          <w:lang w:eastAsia="ar-SA"/>
        </w:rPr>
        <w:t>Bezpredmetné</w:t>
      </w:r>
      <w:bookmarkStart w:id="0" w:name="_GoBack"/>
      <w:bookmarkEnd w:id="0"/>
    </w:p>
    <w:p w:rsidR="00862837" w:rsidRPr="00DA2641" w:rsidRDefault="00862837" w:rsidP="00FA3A21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862837" w:rsidRPr="00DA2641" w:rsidRDefault="00FA3A21" w:rsidP="00FA3A21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DA2641">
        <w:rPr>
          <w:rFonts w:eastAsia="SimSun"/>
          <w:b/>
          <w:bCs/>
          <w:kern w:val="2"/>
          <w:lang w:eastAsia="ar-SA"/>
        </w:rPr>
        <w:t xml:space="preserve">A.5. </w:t>
      </w:r>
      <w:r w:rsidR="00862837" w:rsidRPr="00DA2641">
        <w:rPr>
          <w:rFonts w:eastAsia="SimSun"/>
          <w:b/>
          <w:bCs/>
          <w:kern w:val="2"/>
          <w:lang w:eastAsia="ar-SA"/>
        </w:rPr>
        <w:t>Stanovisko gestorov</w:t>
      </w:r>
      <w:r w:rsidRPr="00DA2641">
        <w:rPr>
          <w:rFonts w:eastAsia="SimSun"/>
          <w:b/>
          <w:bCs/>
          <w:kern w:val="2"/>
          <w:lang w:eastAsia="ar-SA"/>
        </w:rPr>
        <w:t>:</w:t>
      </w:r>
    </w:p>
    <w:p w:rsidR="00862837" w:rsidRPr="00FA3A21" w:rsidRDefault="00DA2641" w:rsidP="00FA3A21">
      <w:pPr>
        <w:pStyle w:val="Normlnywebov"/>
        <w:spacing w:before="0" w:beforeAutospacing="0" w:after="0" w:afterAutospacing="0"/>
        <w:jc w:val="both"/>
      </w:pPr>
      <w:r w:rsidRPr="00DA2641">
        <w:rPr>
          <w:rFonts w:eastAsia="Book Antiqua"/>
          <w:color w:val="000000"/>
        </w:rPr>
        <w:t>Návrh zákona bol zaslaný na posúdenie Ministerstvu financií Slovenskej republiky. Stanovisko Ministerstva financií Slovenskej republiky bude doručené k návrhu dodatočne</w:t>
      </w:r>
      <w:r>
        <w:rPr>
          <w:rFonts w:ascii="Book Antiqua" w:eastAsia="Book Antiqua" w:hAnsi="Book Antiqua" w:cs="Book Antiqua"/>
          <w:color w:val="000000"/>
        </w:rPr>
        <w:t>.</w:t>
      </w:r>
      <w:r w:rsidRPr="00BC0C3E">
        <w:rPr>
          <w:rFonts w:ascii="Book Antiqua" w:eastAsia="Book Antiqua" w:hAnsi="Book Antiqua" w:cs="Book Antiqua"/>
          <w:color w:val="000000"/>
        </w:rPr>
        <w:t xml:space="preserve"> </w:t>
      </w:r>
      <w:r w:rsidR="00862837" w:rsidRPr="00FA3A21">
        <w:rPr>
          <w:b/>
          <w:bCs/>
        </w:rPr>
        <w:br w:type="page"/>
      </w: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220C79" w:rsidRPr="00117A7E" w:rsidRDefault="00220C79" w:rsidP="00474125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FA3A21">
        <w:rPr>
          <w:b/>
          <w:sz w:val="25"/>
          <w:szCs w:val="25"/>
        </w:rPr>
        <w:t>zákona</w:t>
      </w:r>
      <w:r w:rsidRPr="00117A7E">
        <w:rPr>
          <w:b/>
          <w:sz w:val="25"/>
          <w:szCs w:val="25"/>
        </w:rPr>
        <w:t xml:space="preserve"> s právom Európskej únie</w:t>
      </w: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 w:rsidR="00AD2AF1" w:rsidRPr="00AD2AF1">
              <w:t>poslanec</w:t>
            </w:r>
            <w:r w:rsidRPr="00AD2AF1">
              <w:t xml:space="preserve"> Národnej rady Slovenskej republiky</w:t>
            </w:r>
            <w:r w:rsidR="004235F1">
              <w:t>.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Zákon, </w:t>
            </w:r>
            <w:r w:rsidR="006E4867" w:rsidRPr="006E4867">
              <w:t>ktorým sa mení zákon č. 544/2002 Z. z. o Horskej záchrannej službe v znení neskorších predpisov</w:t>
            </w:r>
            <w:r w:rsidR="004235F1">
              <w:t>.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A3A21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 w:rsidR="00FA3A21"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="00A51090" w:rsidRPr="00AD2AF1">
              <w:rPr>
                <w:b/>
              </w:rPr>
              <w:t xml:space="preserve"> </w:t>
            </w:r>
            <w:r w:rsidR="00A51090" w:rsidRPr="00AD2AF1">
              <w:t xml:space="preserve">Je v súlade s právnou úpravou Európskej únie; </w:t>
            </w: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:rsidR="00220C79" w:rsidRPr="00AD2AF1" w:rsidRDefault="00220C79" w:rsidP="003F3A5C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D3A67" w:rsidRPr="00AD2AF1" w:rsidTr="004235F1">
        <w:tc>
          <w:tcPr>
            <w:tcW w:w="404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  <w:shd w:val="clear" w:color="auto" w:fill="auto"/>
          </w:tcPr>
          <w:p w:rsidR="00220C79" w:rsidRPr="00AD2AF1" w:rsidRDefault="00220C79" w:rsidP="00FD3A67">
            <w:pPr>
              <w:tabs>
                <w:tab w:val="left" w:pos="360"/>
              </w:tabs>
            </w:pPr>
          </w:p>
        </w:tc>
      </w:tr>
    </w:tbl>
    <w:p w:rsidR="00750929" w:rsidRPr="00AD2AF1" w:rsidRDefault="00220C79" w:rsidP="00750929">
      <w:pPr>
        <w:jc w:val="both"/>
        <w:rPr>
          <w:b/>
          <w:bCs/>
        </w:rPr>
      </w:pPr>
      <w:r w:rsidRPr="00AD2AF1">
        <w:rPr>
          <w:rFonts w:ascii="Times" w:hAnsi="Times" w:cs="Times"/>
          <w:b/>
          <w:bCs/>
        </w:rPr>
        <w:t xml:space="preserve">Predmet návrhu </w:t>
      </w:r>
      <w:r w:rsidR="00FA3A21">
        <w:rPr>
          <w:rFonts w:ascii="Times" w:hAnsi="Times" w:cs="Times"/>
          <w:b/>
          <w:bCs/>
        </w:rPr>
        <w:t>zákona</w:t>
      </w:r>
      <w:r w:rsidRPr="00AD2AF1">
        <w:rPr>
          <w:rFonts w:ascii="Times" w:hAnsi="Times" w:cs="Times"/>
          <w:b/>
          <w:bCs/>
        </w:rPr>
        <w:t xml:space="preserve"> nie je v práve Európskej únie upravený, preto sa body 4 a 5 nevypĺňajú.</w:t>
      </w:r>
    </w:p>
    <w:p w:rsidR="00B3532C" w:rsidRPr="00AD2AF1" w:rsidRDefault="00B3532C" w:rsidP="00750929">
      <w:pPr>
        <w:jc w:val="both"/>
      </w:pPr>
    </w:p>
    <w:sectPr w:rsidR="00B3532C" w:rsidRPr="00AD2AF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9A" w:rsidRDefault="0026399A">
      <w:r>
        <w:separator/>
      </w:r>
    </w:p>
  </w:endnote>
  <w:endnote w:type="continuationSeparator" w:id="0">
    <w:p w:rsidR="0026399A" w:rsidRDefault="0026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F6825" w:rsidRDefault="002F6825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A2641">
      <w:rPr>
        <w:rStyle w:val="slostrany"/>
        <w:noProof/>
      </w:rPr>
      <w:t>2</w:t>
    </w:r>
    <w:r>
      <w:rPr>
        <w:rStyle w:val="slostrany"/>
      </w:rPr>
      <w:fldChar w:fldCharType="end"/>
    </w:r>
  </w:p>
  <w:p w:rsidR="002F6825" w:rsidRDefault="002F6825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9A" w:rsidRDefault="0026399A">
      <w:r>
        <w:separator/>
      </w:r>
    </w:p>
  </w:footnote>
  <w:footnote w:type="continuationSeparator" w:id="0">
    <w:p w:rsidR="0026399A" w:rsidRDefault="0026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EE1"/>
    <w:multiLevelType w:val="hybridMultilevel"/>
    <w:tmpl w:val="3A565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A4D"/>
    <w:rsid w:val="00104F13"/>
    <w:rsid w:val="001051A0"/>
    <w:rsid w:val="00105461"/>
    <w:rsid w:val="0010564F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99A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4EB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3F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CC6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35F1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8D0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BB6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491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44E9"/>
    <w:rsid w:val="006A549A"/>
    <w:rsid w:val="006A5A0A"/>
    <w:rsid w:val="006A5B1B"/>
    <w:rsid w:val="006A604A"/>
    <w:rsid w:val="006A6264"/>
    <w:rsid w:val="006A64F4"/>
    <w:rsid w:val="006A6AEC"/>
    <w:rsid w:val="006A7F8F"/>
    <w:rsid w:val="006B0CC4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C71C0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867"/>
    <w:rsid w:val="006E496E"/>
    <w:rsid w:val="006E53B2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837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2F3C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444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44A"/>
    <w:rsid w:val="009E19B3"/>
    <w:rsid w:val="009E19B7"/>
    <w:rsid w:val="009E2A59"/>
    <w:rsid w:val="009E2EB5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747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D61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AF1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69B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CA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BA6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3A9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2EBF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3C2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4B3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4F3D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6E7D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2641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6D4A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1EAA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67E5D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61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3A21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C344DD-FE2F-8F4E-ACD7-EFFC6DE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  <w:style w:type="character" w:customStyle="1" w:styleId="awspan1">
    <w:name w:val="awspan1"/>
    <w:basedOn w:val="Predvolenpsmoodseku"/>
    <w:rsid w:val="00862837"/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62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Lučivjanský, Dávid, Mgr., PhD.</cp:lastModifiedBy>
  <cp:revision>40</cp:revision>
  <cp:lastPrinted>2019-08-19T06:17:00Z</cp:lastPrinted>
  <dcterms:created xsi:type="dcterms:W3CDTF">2019-09-26T17:58:00Z</dcterms:created>
  <dcterms:modified xsi:type="dcterms:W3CDTF">2024-03-27T09:58:00Z</dcterms:modified>
</cp:coreProperties>
</file>