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2024,</w:t>
      </w:r>
    </w:p>
    <w:p w:rsidR="00000000" w:rsidDel="00000000" w:rsidP="00000000" w:rsidRDefault="00000000" w:rsidRPr="00000000" w14:paraId="0000000A">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rFonts w:ascii="Times New Roman" w:cs="Times New Roman" w:eastAsia="Times New Roman" w:hAnsi="Times New Roman"/>
          <w:b w:val="1"/>
          <w:sz w:val="24"/>
          <w:szCs w:val="24"/>
          <w:rtl w:val="0"/>
        </w:rPr>
        <w:t xml:space="preserve">ktorým sa mení a dopĺňa zákon č. 595/2003 Z. z. o dani z príjmov v znení neskorších predpisov a ktorým sa dopĺňa zákon č. 563/2009 Z. z. o správe daní (daňový poriadok) a o zmene a doplnení niektorých zákonov v znení neskorších predpisov</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Národná rada Slovenskej republiky sa uzniesla na tomto zákone:</w:t>
      </w:r>
    </w:p>
    <w:p w:rsidR="00000000" w:rsidDel="00000000" w:rsidP="00000000" w:rsidRDefault="00000000" w:rsidRPr="00000000" w14:paraId="0000000E">
      <w:pPr>
        <w:spacing w:after="0" w:line="240" w:lineRule="auto"/>
        <w:jc w:val="center"/>
        <w:rPr>
          <w:b w:val="1"/>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10">
      <w:pPr>
        <w:spacing w:after="0" w:line="240" w:lineRule="auto"/>
        <w:jc w:val="center"/>
        <w:rPr>
          <w:b w:val="1"/>
        </w:rPr>
      </w:pPr>
      <w:r w:rsidDel="00000000" w:rsidR="00000000" w:rsidRPr="00000000">
        <w:rPr>
          <w:rtl w:val="0"/>
        </w:rPr>
      </w:r>
    </w:p>
    <w:p w:rsidR="00000000" w:rsidDel="00000000" w:rsidP="00000000" w:rsidRDefault="00000000" w:rsidRPr="00000000" w14:paraId="00000011">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a zákona č. 257/2022 Z. z., zákona č. 433/2022 Z. z., zákona č. 496/2022 Z. z., zákona č. 519/2022 Z. z., zákona č. 59/2023 Z. z., zákona č. 60/2023 Z. z., zákona č. 65/2023 Z. z., zákona č. 123/2023 Z. z., zákona č. 128/2023 Z. z., zákona č. 205/2023 Z. z., zákona č. 278/2023 Z. z., zákona č. 281/2023 Z. z. a zákona č. 309/2023 Z. z. sa mení a dopĺňa takto: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 39 ods. 9 písm. a) znie: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prehľad o plnení povinností zamestnávateľa a o poskytnutých plneniach zamestnancovi za uplynulý kalendárny mesiac (ďalej len „prehľad“), ktorý obsahuje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súhrnné údaje o zrazených a odvedených preddavkoch na daň z príjmov zo závislej činnosti, ktoré boli vyplatené, o zamestnaneckej prémii, o daňovom bonuse a o daňovom bonuse na zaplatené úroky,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údaje podľa odseku 2, okrem písmena f) prvého bodu, za každú osobu, ktorú v príslušnom kalendárnom mesiaci zamestnával,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 52zzz sa vkladá § 52zzza, ktorý vrátane nadpisu znie:</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52zzza</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ustanovenie k úprave účinnej od 1. januára 2025</w:t>
      </w:r>
    </w:p>
    <w:p w:rsidR="00000000" w:rsidDel="00000000" w:rsidP="00000000" w:rsidRDefault="00000000" w:rsidRPr="00000000" w14:paraId="0000001B">
      <w:pPr>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Ustanovenie § 39 ods. 9 písm. a) v znení účinnom od 1. januára 2025 sa prvýkrát použije pri prehľade za kalendárny mesiac január 2025, ktorý je zamestnávateľ, ktorý je platiteľom dane, povinný podať do konca kalendárneho mesiaca február 2025.“.</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 zákona č. 507/2023 Z. z. a zákona č. 508/2023 Z. z. sa dopĺňa takto: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 sa dopĺňa odsekom 5, ktorý znie: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Správca dane do 30 dní pred uplynutím lehoty na podanie daňového priznania podľa osobitných predpisov sprístupní daňovému subjektu v osobnej internetovej zóne daňové priznanie vrátane príloh a dokumenty, na základe ktorých ho vyhotovil; ak je lehota na podanie daňového priznania predĺžená po sprístupnení daňového priznania, nové daňové priznanie správca dane nevyhotovuje. Daňové priznanie a jeho prílohy podľa prvej vety správca dane vyhotoví v rozsahu údajov, ktoré je povinný podľa zákona evidovať alebo ktoré sú mu na základe zákona oznámené.“.</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 165o sa vkladá § 165p, ktorý vrátane nadpisu znie:</w:t>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165p</w:t>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Prechodné ustanovenie k úprave účinnej od 1. januára 2026</w:t>
      </w:r>
    </w:p>
    <w:p w:rsidR="00000000" w:rsidDel="00000000" w:rsidP="00000000" w:rsidRDefault="00000000" w:rsidRPr="00000000" w14:paraId="00000027">
      <w:pPr>
        <w:ind w:left="42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Ak ide o daňové priznanie k dani z príjmov fyzickej osoby, podľa § 33 ods. 5 sa prvýkrát postupuje vo vzťahu k daňovému priznaniu za zdaňovacie obdobie, ktoré začína najskôr 1. januára 2025. Ak ide o iné dane než podľa prvej vety, podľa § 33 ods. 5 sa postupuje pri podaní daňového priznania vo vzťahu k jednotlivým druhom daní a najskôr za zdaňovacie obdobia podľa oznámenia finančného riaditeľstva uverejneného na jeho webovom sídle.“.</w:t>
      </w: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rFonts w:ascii="Times New Roman" w:cs="Times New Roman" w:eastAsia="Times New Roman" w:hAnsi="Times New Roman"/>
          <w:b w:val="1"/>
          <w:rtl w:val="0"/>
        </w:rPr>
        <w:t xml:space="preserve">Čl. III</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Tento zákon nadobúda účinnosť 1. januára 2025 okrem čl. II, ktorý nadobúda účinnosť 1. januára 2026.</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footerReference r:id="rId7"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905FD0"/>
    <w:pPr>
      <w:suppressAutoHyphens w:val="1"/>
      <w:spacing w:after="160" w:line="259" w:lineRule="auto"/>
    </w:pPr>
    <w:rPr>
      <w:sz w:val="22"/>
      <w:szCs w:val="2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PtaChar" w:customStyle="1">
    <w:name w:val="Päta Char"/>
    <w:basedOn w:val="Predvolenpsmoodseku"/>
    <w:link w:val="Pta"/>
    <w:uiPriority w:val="99"/>
    <w:qFormat w:val="1"/>
    <w:rsid w:val="00905FD0"/>
  </w:style>
  <w:style w:type="paragraph" w:styleId="Odsekzoznamu">
    <w:name w:val="List Paragraph"/>
    <w:basedOn w:val="Normlny"/>
    <w:link w:val="OdsekzoznamuChar"/>
    <w:uiPriority w:val="34"/>
    <w:qFormat w:val="1"/>
    <w:rsid w:val="00905FD0"/>
    <w:pPr>
      <w:spacing w:after="0" w:line="240" w:lineRule="auto"/>
      <w:ind w:left="708"/>
    </w:pPr>
    <w:rPr>
      <w:rFonts w:ascii="Arial" w:cs="Times New Roman" w:eastAsia="Times New Roman" w:hAnsi="Arial"/>
      <w:sz w:val="24"/>
      <w:szCs w:val="20"/>
      <w:lang w:eastAsia="cs-CZ"/>
    </w:rPr>
  </w:style>
  <w:style w:type="paragraph" w:styleId="Pta">
    <w:name w:val="footer"/>
    <w:basedOn w:val="Normlny"/>
    <w:link w:val="PtaChar"/>
    <w:uiPriority w:val="99"/>
    <w:unhideWhenUsed w:val="1"/>
    <w:rsid w:val="00905FD0"/>
    <w:pPr>
      <w:tabs>
        <w:tab w:val="center" w:pos="4536"/>
        <w:tab w:val="right" w:pos="9072"/>
      </w:tabs>
      <w:spacing w:after="0" w:line="240" w:lineRule="auto"/>
    </w:pPr>
    <w:rPr>
      <w:sz w:val="24"/>
      <w:szCs w:val="24"/>
    </w:rPr>
  </w:style>
  <w:style w:type="character" w:styleId="PtaChar1" w:customStyle="1">
    <w:name w:val="Päta Char1"/>
    <w:basedOn w:val="Predvolenpsmoodseku"/>
    <w:uiPriority w:val="99"/>
    <w:semiHidden w:val="1"/>
    <w:rsid w:val="00905FD0"/>
    <w:rPr>
      <w:sz w:val="22"/>
      <w:szCs w:val="22"/>
    </w:rPr>
  </w:style>
  <w:style w:type="paragraph" w:styleId="Bezriadkovania">
    <w:name w:val="No Spacing"/>
    <w:uiPriority w:val="1"/>
    <w:qFormat w:val="1"/>
    <w:rsid w:val="00905FD0"/>
    <w:rPr>
      <w:rFonts w:cs="Times New Roman" w:eastAsia="Times New Roman"/>
      <w:sz w:val="22"/>
      <w:szCs w:val="22"/>
    </w:rPr>
  </w:style>
  <w:style w:type="paragraph" w:styleId="Zkladntext">
    <w:name w:val="Body Text"/>
    <w:basedOn w:val="Normlny"/>
    <w:link w:val="ZkladntextChar"/>
    <w:uiPriority w:val="99"/>
    <w:rsid w:val="00905FD0"/>
    <w:pPr>
      <w:widowControl w:val="0"/>
      <w:suppressAutoHyphens w:val="0"/>
      <w:autoSpaceDE w:val="0"/>
      <w:autoSpaceDN w:val="0"/>
      <w:adjustRightInd w:val="0"/>
      <w:spacing w:after="0" w:line="240" w:lineRule="auto"/>
      <w:jc w:val="both"/>
    </w:pPr>
    <w:rPr>
      <w:rFonts w:ascii="Times New Roman" w:cs="Times New Roman" w:eastAsia="Times New Roman" w:hAnsi="Times New Roman"/>
      <w:sz w:val="24"/>
      <w:szCs w:val="24"/>
      <w:lang w:eastAsia="cs-CZ"/>
    </w:rPr>
  </w:style>
  <w:style w:type="character" w:styleId="ZkladntextChar" w:customStyle="1">
    <w:name w:val="Základný text Char"/>
    <w:basedOn w:val="Predvolenpsmoodseku"/>
    <w:link w:val="Zkladntext"/>
    <w:uiPriority w:val="99"/>
    <w:rsid w:val="00905FD0"/>
    <w:rPr>
      <w:rFonts w:ascii="Times New Roman" w:cs="Times New Roman" w:eastAsia="Times New Roman" w:hAnsi="Times New Roman"/>
      <w:lang w:eastAsia="cs-CZ"/>
    </w:rPr>
  </w:style>
  <w:style w:type="paragraph" w:styleId="Default" w:customStyle="1">
    <w:name w:val="Default"/>
    <w:uiPriority w:val="99"/>
    <w:rsid w:val="00905FD0"/>
    <w:pPr>
      <w:widowControl w:val="0"/>
      <w:autoSpaceDE w:val="0"/>
      <w:autoSpaceDN w:val="0"/>
      <w:adjustRightInd w:val="0"/>
    </w:pPr>
    <w:rPr>
      <w:rFonts w:ascii="Liberation Serif" w:cs="Liberation Serif" w:eastAsia="Times New Roman" w:hAnsi="Liberation Serif"/>
      <w:color w:val="000000"/>
      <w:kern w:val="2"/>
      <w:lang w:bidi="hi-IN" w:eastAsia="sk-SK"/>
    </w:rPr>
  </w:style>
  <w:style w:type="character" w:styleId="Hypertextovprepojenie">
    <w:name w:val="Hyperlink"/>
    <w:basedOn w:val="Predvolenpsmoodseku"/>
    <w:uiPriority w:val="99"/>
    <w:rsid w:val="00905FD0"/>
    <w:rPr>
      <w:rFonts w:cs="Times New Roman"/>
      <w:color w:val="0000ff"/>
      <w:u w:val="single"/>
      <w:rtl w:val="0"/>
      <w:cs w:val="0"/>
    </w:rPr>
  </w:style>
  <w:style w:type="paragraph" w:styleId="Revzia">
    <w:name w:val="Revision"/>
    <w:hidden w:val="1"/>
    <w:uiPriority w:val="99"/>
    <w:semiHidden w:val="1"/>
    <w:rsid w:val="00E16FC4"/>
    <w:rPr>
      <w:sz w:val="22"/>
      <w:szCs w:val="22"/>
    </w:rPr>
  </w:style>
  <w:style w:type="character" w:styleId="Odkaznakomentr">
    <w:name w:val="annotation reference"/>
    <w:basedOn w:val="Predvolenpsmoodseku"/>
    <w:uiPriority w:val="99"/>
    <w:semiHidden w:val="1"/>
    <w:unhideWhenUsed w:val="1"/>
    <w:rsid w:val="00BA123F"/>
    <w:rPr>
      <w:sz w:val="16"/>
      <w:szCs w:val="16"/>
    </w:rPr>
  </w:style>
  <w:style w:type="paragraph" w:styleId="Textkomentra">
    <w:name w:val="annotation text"/>
    <w:basedOn w:val="Normlny"/>
    <w:link w:val="TextkomentraChar"/>
    <w:uiPriority w:val="99"/>
    <w:unhideWhenUsed w:val="1"/>
    <w:rsid w:val="00BA123F"/>
    <w:pPr>
      <w:spacing w:line="240" w:lineRule="auto"/>
    </w:pPr>
    <w:rPr>
      <w:sz w:val="20"/>
      <w:szCs w:val="20"/>
    </w:rPr>
  </w:style>
  <w:style w:type="character" w:styleId="TextkomentraChar" w:customStyle="1">
    <w:name w:val="Text komentára Char"/>
    <w:basedOn w:val="Predvolenpsmoodseku"/>
    <w:link w:val="Textkomentra"/>
    <w:uiPriority w:val="99"/>
    <w:rsid w:val="00BA123F"/>
    <w:rPr>
      <w:sz w:val="20"/>
      <w:szCs w:val="20"/>
    </w:rPr>
  </w:style>
  <w:style w:type="paragraph" w:styleId="Predmetkomentra">
    <w:name w:val="annotation subject"/>
    <w:basedOn w:val="Textkomentra"/>
    <w:next w:val="Textkomentra"/>
    <w:link w:val="PredmetkomentraChar"/>
    <w:uiPriority w:val="99"/>
    <w:semiHidden w:val="1"/>
    <w:unhideWhenUsed w:val="1"/>
    <w:rsid w:val="00BA123F"/>
    <w:rPr>
      <w:b w:val="1"/>
      <w:bCs w:val="1"/>
    </w:rPr>
  </w:style>
  <w:style w:type="character" w:styleId="PredmetkomentraChar" w:customStyle="1">
    <w:name w:val="Predmet komentára Char"/>
    <w:basedOn w:val="TextkomentraChar"/>
    <w:link w:val="Predmetkomentra"/>
    <w:uiPriority w:val="99"/>
    <w:semiHidden w:val="1"/>
    <w:rsid w:val="00BA123F"/>
    <w:rPr>
      <w:b w:val="1"/>
      <w:bCs w:val="1"/>
      <w:sz w:val="20"/>
      <w:szCs w:val="20"/>
    </w:rPr>
  </w:style>
  <w:style w:type="character" w:styleId="Nevyrieenzmienka">
    <w:name w:val="Unresolved Mention"/>
    <w:basedOn w:val="Predvolenpsmoodseku"/>
    <w:uiPriority w:val="99"/>
    <w:semiHidden w:val="1"/>
    <w:unhideWhenUsed w:val="1"/>
    <w:rsid w:val="006175E8"/>
    <w:rPr>
      <w:color w:val="605e5c"/>
      <w:shd w:color="auto" w:fill="e1dfdd" w:val="clear"/>
    </w:rPr>
  </w:style>
  <w:style w:type="character" w:styleId="OdsekzoznamuChar" w:customStyle="1">
    <w:name w:val="Odsek zoznamu Char"/>
    <w:link w:val="Odsekzoznamu"/>
    <w:uiPriority w:val="34"/>
    <w:locked w:val="1"/>
    <w:rsid w:val="00324393"/>
    <w:rPr>
      <w:rFonts w:ascii="Arial" w:cs="Times New Roman" w:eastAsia="Times New Roman" w:hAnsi="Arial"/>
      <w:szCs w:val="20"/>
      <w:lang w:eastAsia="cs-CZ"/>
    </w:rPr>
  </w:style>
  <w:style w:type="table" w:styleId="Mriekatabuky">
    <w:name w:val="Table Grid"/>
    <w:basedOn w:val="Normlnatabuka"/>
    <w:uiPriority w:val="59"/>
    <w:rsid w:val="00324393"/>
    <w:rPr>
      <w:rFonts w:ascii="Arial Narrow" w:cs="Times New Roman" w:eastAsia="Times New Roman" w:hAnsi="Arial Narrow"/>
      <w:sz w:val="22"/>
      <w:szCs w:val="3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uitHypertextovPrepojenie">
    <w:name w:val="FollowedHyperlink"/>
    <w:basedOn w:val="Predvolenpsmoodseku"/>
    <w:uiPriority w:val="99"/>
    <w:semiHidden w:val="1"/>
    <w:unhideWhenUsed w:val="1"/>
    <w:rsid w:val="00C15A39"/>
    <w:rPr>
      <w:color w:val="954f72" w:themeColor="followedHyperlink"/>
      <w:u w:val="single"/>
    </w:rPr>
  </w:style>
  <w:style w:type="paragraph" w:styleId="Normlnywebov">
    <w:name w:val="Normal (Web)"/>
    <w:basedOn w:val="Normlny"/>
    <w:uiPriority w:val="99"/>
    <w:unhideWhenUsed w:val="1"/>
    <w:rsid w:val="002A2CA8"/>
    <w:pPr>
      <w:suppressAutoHyphens w:val="0"/>
      <w:spacing w:after="100" w:afterAutospacing="1" w:before="100" w:beforeAutospacing="1" w:line="240" w:lineRule="auto"/>
    </w:pPr>
    <w:rPr>
      <w:rFonts w:ascii="Times New Roman" w:cs="Times New Roman" w:eastAsia="Times New Roman" w:hAnsi="Times New Roman"/>
      <w:sz w:val="24"/>
      <w:szCs w:val="24"/>
      <w:lang w:eastAsia="sk-S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TCCZC0+roSw9TSlREe3bypw5Jw==">CgMxLjA4AHIhMWpfMUVDaVY0SXBFLU8tNTlTQ1Q1UlVCWF8wUlA3ZTBF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2024-03-20T18:07:00Z</dcterms:created>
</cp:coreProperties>
</file>