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67B6B" w:rsidRDefault="005B0DF7">
      <w:pPr>
        <w:jc w:val="both"/>
      </w:pPr>
      <w:r>
        <w:rPr>
          <w:b/>
        </w:rPr>
        <w:t>Dôvodová správa</w:t>
      </w:r>
    </w:p>
    <w:p w14:paraId="00000002" w14:textId="77777777" w:rsidR="00B67B6B" w:rsidRDefault="00B67B6B">
      <w:pPr>
        <w:jc w:val="both"/>
        <w:rPr>
          <w:b/>
        </w:rPr>
      </w:pPr>
    </w:p>
    <w:p w14:paraId="00000003" w14:textId="77777777" w:rsidR="00B67B6B" w:rsidRDefault="005B0DF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b/>
        </w:rPr>
      </w:pPr>
      <w:r>
        <w:rPr>
          <w:b/>
        </w:rPr>
        <w:t>Všeobecná časť</w:t>
      </w:r>
    </w:p>
    <w:p w14:paraId="00000004" w14:textId="77777777" w:rsidR="00B67B6B" w:rsidRDefault="00B67B6B">
      <w:pPr>
        <w:jc w:val="both"/>
      </w:pPr>
    </w:p>
    <w:p w14:paraId="00000005" w14:textId="77777777" w:rsidR="00B67B6B" w:rsidRDefault="005B0DF7">
      <w:pPr>
        <w:jc w:val="both"/>
      </w:pPr>
      <w:r>
        <w:tab/>
      </w:r>
      <w:r>
        <w:t xml:space="preserve">Poslankyne Národnej rady Slovenskej republiky Zuzana </w:t>
      </w:r>
      <w:proofErr w:type="spellStart"/>
      <w:r>
        <w:t>Števulová</w:t>
      </w:r>
      <w:proofErr w:type="spellEnd"/>
      <w:r>
        <w:t xml:space="preserve"> a Lucia Plaváková predkladajú na rokovanie Národnej rady Slovenskej republiky návrh na vydanie zákona, ktorým sa mení a dopĺňa č.  300/2005 Z. z. Trestný zákon.</w:t>
      </w:r>
    </w:p>
    <w:p w14:paraId="00000006" w14:textId="77777777" w:rsidR="00B67B6B" w:rsidRDefault="00B67B6B">
      <w:pPr>
        <w:jc w:val="both"/>
      </w:pPr>
    </w:p>
    <w:p w14:paraId="00000007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color w:val="000000"/>
          <w:highlight w:val="white"/>
        </w:rPr>
        <w:tab/>
        <w:t>Cieľom predkladaného návrhu je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reagovať na spoločenskú situáciu, ktorá priniesla nárast útokov voči ľuďom pracujúcim vo verejnom priestore - či už ide o ľudí, ktorí sa venujú presadzovaniu alebo ochrane ľudských práv, pracujú v médiách alebo v mimovládnych organizáciách, združeniach, n</w:t>
      </w:r>
      <w:r>
        <w:rPr>
          <w:highlight w:val="white"/>
        </w:rPr>
        <w:t xml:space="preserve">eziskových organizáciách, iniciatívach alebo iných komunitách. Počas pandémie covid-19 boli zaznamenané útoky proti zdravotníckemu personálu. Mnohé z týchto útokov sa zameriavajú špecificky na ženy. </w:t>
      </w:r>
    </w:p>
    <w:p w14:paraId="00000008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14:paraId="00000009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ab/>
        <w:t>Návrhom novely sa zabezpečí, aby boli tieto konania, v</w:t>
      </w:r>
      <w:r>
        <w:rPr>
          <w:highlight w:val="white"/>
        </w:rPr>
        <w:t xml:space="preserve"> prípade ak sú spáchané z dôvodu, že ide o osobu v určitom povolaní alebo afiliácii bolo posudzované ako tzv. konanie z osobitného motívu a aby boli stíhané v sprísnenom režime. V súčasnosti v Trestnom zákone chýba pri trestnom čine spáchanom z osobitného </w:t>
      </w:r>
      <w:r>
        <w:rPr>
          <w:highlight w:val="white"/>
        </w:rPr>
        <w:t>motívu kategória osôb, ktorá by umožnila medzi trestné činy spáchané s osobitným motívom zaradiť aj trestné činy spáchané voči osobe, alebo skupine osôb na základe toho, že ide o obrancov ľudských práv, ľudí pracujúcich v médiách, či iné povolania, kvôli k</w:t>
      </w:r>
      <w:r>
        <w:rPr>
          <w:highlight w:val="white"/>
        </w:rPr>
        <w:t xml:space="preserve">torým sa ľudia stávajú terčom rôznych útokov. </w:t>
      </w:r>
    </w:p>
    <w:p w14:paraId="0000000A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14:paraId="0000000B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>Je pritom zrejmé, že doplnenie tohto kritéria je v súčasnosti nevyhnutné, keďže dochádza k zvýšenému počtu útokov na ľudí, ktorí aktívne vystupujú vo verejnom priestore a venujú sa ochrane a presadzovaniu ľudských práv, vrátane novinárov/novinárok, občians</w:t>
      </w:r>
      <w:r>
        <w:rPr>
          <w:highlight w:val="white"/>
        </w:rPr>
        <w:t xml:space="preserve">kych aktivistov a aktivistiek a iných. Tieto osoby sú </w:t>
      </w:r>
      <w:proofErr w:type="spellStart"/>
      <w:r>
        <w:rPr>
          <w:highlight w:val="white"/>
        </w:rPr>
        <w:t>terčami</w:t>
      </w:r>
      <w:proofErr w:type="spellEnd"/>
      <w:r>
        <w:rPr>
          <w:highlight w:val="white"/>
        </w:rPr>
        <w:t xml:space="preserve"> útokov práve z dôvodu svojho povolania resp. svojej činnosti či afiliácie a cieľom týchto útokov je ich “umlčať”, zastaviť ich pôsobenie vo verejnom živote, či ich zastrašiť. </w:t>
      </w:r>
    </w:p>
    <w:p w14:paraId="0000000C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14:paraId="0000000D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>Povinnosť štátu c</w:t>
      </w:r>
      <w:r>
        <w:rPr>
          <w:highlight w:val="white"/>
        </w:rPr>
        <w:t>hrániť osoby venujúce sa presadzovaniu a ochrane ľudských práv, vrátane zabezpečenia ich bezpečia a účinného nahlasovania a stíhania trestných a iných činov spáchaných voči nim pre výkon ich činnosti upravuje už Deklarácia Výboru ministrov Rady Európy na z</w:t>
      </w:r>
      <w:r>
        <w:rPr>
          <w:highlight w:val="white"/>
        </w:rPr>
        <w:t>lepšenie ochrany obrancov ľudských práv a na podporu ich aktivít, ktorá bola prijatá Výborom ministrov Rady Európy 6. februára 2008 na 1017 zasadnutí zástupcov ministrov. Komisárka Rady Európy pre ľudské práva vydala 23. marca 2023 správu “</w:t>
      </w:r>
      <w:proofErr w:type="spellStart"/>
      <w:r>
        <w:rPr>
          <w:highlight w:val="white"/>
        </w:rPr>
        <w:t>Human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Hights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Def</w:t>
      </w:r>
      <w:r>
        <w:rPr>
          <w:highlight w:val="white"/>
        </w:rPr>
        <w:t>enders</w:t>
      </w:r>
      <w:proofErr w:type="spellEnd"/>
      <w:r>
        <w:rPr>
          <w:highlight w:val="white"/>
        </w:rPr>
        <w:t xml:space="preserve"> in </w:t>
      </w:r>
      <w:proofErr w:type="spellStart"/>
      <w:r>
        <w:rPr>
          <w:highlight w:val="white"/>
        </w:rPr>
        <w:t>the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Council</w:t>
      </w:r>
      <w:proofErr w:type="spellEnd"/>
      <w:r>
        <w:rPr>
          <w:highlight w:val="white"/>
        </w:rPr>
        <w:t xml:space="preserve"> of </w:t>
      </w:r>
      <w:proofErr w:type="spellStart"/>
      <w:r>
        <w:rPr>
          <w:highlight w:val="white"/>
        </w:rPr>
        <w:t>Europe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Area</w:t>
      </w:r>
      <w:proofErr w:type="spellEnd"/>
      <w:r>
        <w:rPr>
          <w:highlight w:val="white"/>
        </w:rPr>
        <w:t xml:space="preserve"> in </w:t>
      </w:r>
      <w:proofErr w:type="spellStart"/>
      <w:r>
        <w:rPr>
          <w:highlight w:val="white"/>
        </w:rPr>
        <w:t>Times</w:t>
      </w:r>
      <w:proofErr w:type="spellEnd"/>
      <w:r>
        <w:rPr>
          <w:highlight w:val="white"/>
        </w:rPr>
        <w:t xml:space="preserve"> of </w:t>
      </w:r>
      <w:proofErr w:type="spellStart"/>
      <w:r>
        <w:rPr>
          <w:highlight w:val="white"/>
        </w:rPr>
        <w:t>Crises</w:t>
      </w:r>
      <w:proofErr w:type="spellEnd"/>
      <w:r>
        <w:rPr>
          <w:highlight w:val="white"/>
        </w:rPr>
        <w:t>”, v ktorej vyzýva členské štáty Rady Európy aby prijali všetky potrebné právne a praktické opatrenia zamerané na prevenciu a potieranie všetkých foriem zastrašovania zameraného na obrancov ľudských pr</w:t>
      </w:r>
      <w:r>
        <w:rPr>
          <w:highlight w:val="white"/>
        </w:rPr>
        <w:t xml:space="preserve">áv, vrátane účinného a rýchleho vyšetrovania všetkých takýchto činov a potrestania páchateľov bez ohľadu na ich postavenie (dostupné tu: </w:t>
      </w:r>
      <w:hyperlink r:id="rId8">
        <w:r>
          <w:rPr>
            <w:color w:val="1155CC"/>
            <w:highlight w:val="white"/>
            <w:u w:val="single"/>
          </w:rPr>
          <w:t>https://rm.coe.int/report-on-the-round-table-human-rights-defenders-in-the-council-of-eur/1680aaa813</w:t>
        </w:r>
      </w:hyperlink>
      <w:r>
        <w:rPr>
          <w:highlight w:val="white"/>
        </w:rPr>
        <w:t xml:space="preserve"> ).</w:t>
      </w:r>
    </w:p>
    <w:p w14:paraId="0000000E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14:paraId="0000000F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 xml:space="preserve">Ako uvádza Stratégia prevencie kriminality a inej protispoločenskej činnosti v Slovenskej republike do roku 2028, ktorú v apríli 2023 schválila Vláda </w:t>
      </w:r>
      <w:r>
        <w:rPr>
          <w:highlight w:val="white"/>
        </w:rPr>
        <w:t xml:space="preserve">SR, “[...] moderné technológie umožňujú tiež nové formy páchania trestnej činnosti, čím rozširujú aj okruh potenciálnych páchateľov a obetí. V súvislosti s dianím vo svete sa z internetu za posledné roky stalo miesto šírenia a prijímania poplašných správ, </w:t>
      </w:r>
      <w:r>
        <w:rPr>
          <w:highlight w:val="white"/>
        </w:rPr>
        <w:t xml:space="preserve">dezinformácií alebo nenávistných prejavov, ktoré prispievajú k polarizácii spoločnosti a zvyšovaniu napätia medzi skupinami obyvateľstva.” (dostupné tu: https://rokovania.gov.sk/RVL/Material/27958/1 ). </w:t>
      </w:r>
    </w:p>
    <w:p w14:paraId="00000010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14:paraId="00000011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>Slovenské národné stredisko pre ľudské práva (SNSĽP)</w:t>
      </w:r>
      <w:r>
        <w:rPr>
          <w:highlight w:val="white"/>
        </w:rPr>
        <w:t xml:space="preserve"> v dokumente “Individuálne podanie Slovenského národného strediska pre ľudské práva k štvrtému preskúmavaniu Slovenskej republiky v rámci Univerzálneho periodického hodnotenia v Rade OSN pre ľudské práva” z októbra 2023 </w:t>
      </w:r>
      <w:r>
        <w:rPr>
          <w:highlight w:val="white"/>
        </w:rPr>
        <w:lastRenderedPageBreak/>
        <w:t>uvádza, že slovenskí novinári naďale</w:t>
      </w:r>
      <w:r>
        <w:rPr>
          <w:highlight w:val="white"/>
        </w:rPr>
        <w:t xml:space="preserve">j čelia vyhrážkam a obťažovaniu, vrátane fyzických útokov. SNSĽP cituje prieskum Investigatívneho Centra Jána </w:t>
      </w:r>
      <w:proofErr w:type="spellStart"/>
      <w:r>
        <w:rPr>
          <w:highlight w:val="white"/>
        </w:rPr>
        <w:t>Kuciaka</w:t>
      </w:r>
      <w:proofErr w:type="spellEnd"/>
      <w:r>
        <w:rPr>
          <w:highlight w:val="white"/>
        </w:rPr>
        <w:t xml:space="preserve"> z r. 2023, podľa ktorého až 66,2 % slovenských novinárov zažilo útok alebo vyhrážku v posledných 12-tich mesiacoch (pričom až 4% zažilo fy</w:t>
      </w:r>
      <w:r>
        <w:rPr>
          <w:highlight w:val="white"/>
        </w:rPr>
        <w:t xml:space="preserve">zický útok) a 47% si myslí, že počet incidentov za posledných 5 rokov narástol. </w:t>
      </w:r>
    </w:p>
    <w:p w14:paraId="00000012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14:paraId="00000013" w14:textId="48946182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>Vo vzťahu k obrancom ľudských práv SNSĽP uvádza, že v r. 2022 a 2023 vykonalo prieskumy týkajúce sa špecificky bezpečnosti obrankýň ľudských práv venujúcich sa reprodukčným p</w:t>
      </w:r>
      <w:r>
        <w:rPr>
          <w:highlight w:val="white"/>
        </w:rPr>
        <w:t>rávam a LGBTI+ právam, pričom zo strany obhajkýň a ob</w:t>
      </w:r>
      <w:r w:rsidR="00A27493">
        <w:rPr>
          <w:highlight w:val="white"/>
        </w:rPr>
        <w:t>haj</w:t>
      </w:r>
      <w:r>
        <w:rPr>
          <w:highlight w:val="white"/>
        </w:rPr>
        <w:t>cov týchto práv boli reportované: obťažovanie, online vyhrážanie, organizované zosmiešňujúce kampane a nenávistná rétorika (vrátane zo strany vrcholových politikov, cirkevných alebo verejných autorít),</w:t>
      </w:r>
      <w:r>
        <w:rPr>
          <w:highlight w:val="white"/>
        </w:rPr>
        <w:t xml:space="preserve"> ktoré často zahŕňali útoky na ich skutočnú alebo domnelú identitu. SNSĽP odporúča zlepšiť bezpečnosť novinárov a ochrancov ľudských práv aj prostredníctvom zavedenia právnych garancií ich ochrany. </w:t>
      </w:r>
    </w:p>
    <w:p w14:paraId="00000014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 xml:space="preserve">(dostupné tu: </w:t>
      </w:r>
      <w:hyperlink r:id="rId9">
        <w:r>
          <w:rPr>
            <w:color w:val="1155CC"/>
            <w:highlight w:val="white"/>
            <w:u w:val="single"/>
          </w:rPr>
          <w:t>https://www.snslp.sk/wp-content/uploads/Individual-submission-SNCHR_UPR-4th-cycle.pdf</w:t>
        </w:r>
      </w:hyperlink>
      <w:r>
        <w:rPr>
          <w:highlight w:val="white"/>
        </w:rPr>
        <w:t xml:space="preserve"> ). </w:t>
      </w:r>
    </w:p>
    <w:p w14:paraId="00000015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14:paraId="00000017" w14:textId="06058A70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>Agentúra Európskej únie pre základné práva (FRA) vydala 18. októbra 2023 publikáciu “</w:t>
      </w:r>
      <w:proofErr w:type="spellStart"/>
      <w:r>
        <w:rPr>
          <w:highlight w:val="white"/>
        </w:rPr>
        <w:t>Protecting</w:t>
      </w:r>
      <w:proofErr w:type="spellEnd"/>
      <w:r>
        <w:rPr>
          <w:highlight w:val="white"/>
        </w:rPr>
        <w:t xml:space="preserve"> civil </w:t>
      </w:r>
      <w:r>
        <w:rPr>
          <w:highlight w:val="white"/>
        </w:rPr>
        <w:t>society - Update 2023” (“Ochrana občianskej spoločnosti - aktualizácia 2023”), kde uvádza, že organizácie občianskej spoločnosti čelia vyhrážkam a útokom, pričom tieto vyhrážky a útoky pretrvávali aj počas roka 2022. Podľa zistení FRA, až polovica responde</w:t>
      </w:r>
      <w:r>
        <w:rPr>
          <w:highlight w:val="white"/>
        </w:rPr>
        <w:t xml:space="preserve">ntov ich prieskumu uviedla, že zažili </w:t>
      </w:r>
      <w:proofErr w:type="spellStart"/>
      <w:r>
        <w:rPr>
          <w:highlight w:val="white"/>
        </w:rPr>
        <w:t>offline</w:t>
      </w:r>
      <w:proofErr w:type="spellEnd"/>
      <w:r>
        <w:rPr>
          <w:highlight w:val="white"/>
        </w:rPr>
        <w:t xml:space="preserve"> aj online verbálne útoky, zastrašovanie a obťažovanie a 5% zažilo aj fyzický útok. Tieto útoky sa osobitne týkajú obhajcov práv migrantov, LGBTIQ+ ľudí, obhajcov práv žien, ľudí zaoberajúcich sa sexuálnymi a re</w:t>
      </w:r>
      <w:r>
        <w:rPr>
          <w:highlight w:val="white"/>
        </w:rPr>
        <w:t xml:space="preserve">produkčnými právami, ľudí zaoberajúcimi sa </w:t>
      </w:r>
      <w:r w:rsidR="00A27493">
        <w:rPr>
          <w:highlight w:val="white"/>
        </w:rPr>
        <w:t>environmentálnymi</w:t>
      </w:r>
      <w:r>
        <w:rPr>
          <w:highlight w:val="white"/>
        </w:rPr>
        <w:t xml:space="preserve"> právami, ľudí venujúcich sa aktivitám proti rasizmu a tiež obhajcov práv detí. FRA zdôrazňuje, že členské štáty sú povinné tieto útoky riadne vyšetriť a potrestať páchateľov (dostupné tu: </w:t>
      </w:r>
      <w:hyperlink r:id="rId10" w:anchor="read-online">
        <w:r>
          <w:rPr>
            <w:color w:val="1155CC"/>
            <w:highlight w:val="white"/>
            <w:u w:val="single"/>
          </w:rPr>
          <w:t>https://fra.europa.eu/en/publication/2023/civic-space-2023-update?page=1&amp;pid=84e5c0ba-2ac8-4f42-bb6d-db74c1fb738c#</w:t>
        </w:r>
        <w:r>
          <w:rPr>
            <w:color w:val="1155CC"/>
            <w:highlight w:val="white"/>
            <w:u w:val="single"/>
          </w:rPr>
          <w:t>read-online</w:t>
        </w:r>
      </w:hyperlink>
      <w:r>
        <w:rPr>
          <w:highlight w:val="white"/>
        </w:rPr>
        <w:t xml:space="preserve"> ). </w:t>
      </w:r>
    </w:p>
    <w:p w14:paraId="00000018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14:paraId="00000019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>Rada EÚ prijala 14. marca 2023 dokument “Závery týkajúce sa aplikácie Charty základných práv EÚ; Úloha občianskej spoločnosti pri ochrane a presadzovaní základných práv v Európskej únii”, v ktorom zdôrazňuje, že organizácie občianskej spol</w:t>
      </w:r>
      <w:r>
        <w:rPr>
          <w:highlight w:val="white"/>
        </w:rPr>
        <w:t>očnosti a obrancovia ľudských práv sú neoddeliteľnou súčasťou systému bŕzd a protiváh v zdravej demokracii a nezákonné obmedzenia ich činnosti môžu predstavovať hrozbu pre právny štát. EÚ tiež odporúča členským štátom ochraňovať organizácie občianskej spol</w:t>
      </w:r>
      <w:r>
        <w:rPr>
          <w:highlight w:val="white"/>
        </w:rPr>
        <w:t xml:space="preserve">očnosti a ochrancov ľudských práv pred vyhrážkami, útokmi, prenasledovaním kritických hlasov a </w:t>
      </w:r>
      <w:proofErr w:type="spellStart"/>
      <w:r>
        <w:rPr>
          <w:highlight w:val="white"/>
        </w:rPr>
        <w:t>očierňovacími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kampaňmi</w:t>
      </w:r>
      <w:proofErr w:type="spellEnd"/>
      <w:r>
        <w:rPr>
          <w:highlight w:val="white"/>
        </w:rPr>
        <w:t xml:space="preserve">, vrátane predchádzania takýmto činom a v prípade ak sa stanú, zabezpečiť účinné a rýchle identifikovanie, reportovanie, vyšetrenie a </w:t>
      </w:r>
      <w:proofErr w:type="spellStart"/>
      <w:r>
        <w:rPr>
          <w:highlight w:val="white"/>
        </w:rPr>
        <w:t>follo</w:t>
      </w:r>
      <w:r>
        <w:rPr>
          <w:highlight w:val="white"/>
        </w:rPr>
        <w:t>w-up</w:t>
      </w:r>
      <w:proofErr w:type="spellEnd"/>
      <w:r>
        <w:rPr>
          <w:highlight w:val="white"/>
        </w:rPr>
        <w:t xml:space="preserve"> týkajúce sa takýchto incidentov (dostupné na: </w:t>
      </w:r>
      <w:hyperlink r:id="rId11">
        <w:r>
          <w:rPr>
            <w:color w:val="1155CC"/>
            <w:highlight w:val="white"/>
            <w:u w:val="single"/>
          </w:rPr>
          <w:t>https://data.consilium.europa.eu/doc/document/ST-7388-2023-INIT/en/pdf</w:t>
        </w:r>
      </w:hyperlink>
      <w:r>
        <w:rPr>
          <w:highlight w:val="white"/>
        </w:rPr>
        <w:t xml:space="preserve"> ). </w:t>
      </w:r>
    </w:p>
    <w:p w14:paraId="0000001A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14:paraId="0000001B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  <w:r>
        <w:rPr>
          <w:highlight w:val="white"/>
        </w:rPr>
        <w:t>Je teda zrejmé, že situácia je viac ako</w:t>
      </w:r>
      <w:r>
        <w:rPr>
          <w:highlight w:val="white"/>
        </w:rPr>
        <w:t xml:space="preserve"> vážna a je potrebné ju nevyhnutne riešiť. Zmenená spoločenská situácia, ktorá sa vyvinula v súvislosti s rozšírením internetu a sociálnych sietí spôsobila, že ľudia vo verejnom priestore, najmä z médií a občianskeho sektora sú dlhodobo vystavení rôznorodý</w:t>
      </w:r>
      <w:r>
        <w:rPr>
          <w:highlight w:val="white"/>
        </w:rPr>
        <w:t xml:space="preserve">m útokom zo strany tzv. dezinformačnej scény, “alternatívnych” médií, ale aj zo strany rôznych predstaviteľov politického spektra. To spôsobuje, že sa niektorí dočasne alebo trvalo stiahli, alebo uvažujú nad stiahnutím z verejného priestoru. Špecificky sa </w:t>
      </w:r>
      <w:r>
        <w:rPr>
          <w:highlight w:val="white"/>
        </w:rPr>
        <w:t xml:space="preserve">táto situácia dotýka žien vo verejnom priestore. </w:t>
      </w:r>
    </w:p>
    <w:p w14:paraId="0000001C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highlight w:val="white"/>
        </w:rPr>
      </w:pPr>
    </w:p>
    <w:p w14:paraId="0000001D" w14:textId="77777777" w:rsidR="00B67B6B" w:rsidRDefault="005B0DF7">
      <w:pPr>
        <w:ind w:firstLine="720"/>
        <w:jc w:val="both"/>
        <w:rPr>
          <w:highlight w:val="white"/>
        </w:rPr>
      </w:pPr>
      <w:r>
        <w:rPr>
          <w:highlight w:val="white"/>
        </w:rPr>
        <w:t>Aktívna občianska spoločnosť a nezávislé a aktívne médiá sú jedným z pilierov demokracie a zákonodarca musí vyvinúť úsilie na to, aby v prípade, ak sú trestné činy páchané páchateľmi z osobitného motívu, ktorým je nenávisť voči ľuďom pôsobiacim vo verejnom</w:t>
      </w:r>
      <w:r>
        <w:rPr>
          <w:highlight w:val="white"/>
        </w:rPr>
        <w:t xml:space="preserve"> priestore, bol tento osobitný motív rozpoznaný a aby bol na základe toho trestný čin posudzovaný prísnejšie. Zároveň táto regulácia bude pôsobiť odstrašujúco na potenciálnych páchateľov týchto trestných činov, čo môže mať preventívny účinok. Zdravá a pros</w:t>
      </w:r>
      <w:r>
        <w:rPr>
          <w:highlight w:val="white"/>
        </w:rPr>
        <w:t xml:space="preserve">perujúca demokracia si vyžaduje, aby sa občania mohli </w:t>
      </w:r>
      <w:r>
        <w:rPr>
          <w:highlight w:val="white"/>
        </w:rPr>
        <w:lastRenderedPageBreak/>
        <w:t xml:space="preserve">aktívne zúčastňovať na verejnej diskusii bez neprimeraného zasahovania zo strany subjektov verejného sektora či iných mocných záujmov. Aby bolo možné zaistiť zmysluplnú účasť, občania musia mať možnosť </w:t>
      </w:r>
      <w:r>
        <w:rPr>
          <w:highlight w:val="white"/>
        </w:rPr>
        <w:t>prístupu k spoľahlivým informáciám, ktoré im umožnia vytvárať si svoje vlastné názory a konať na základe vlastného úsudku vo verejnom priestore, kde možno slobodne vyjadrovať rôzne názory. Obhajcovia ľudských práv zohrávajú kľúčovú úlohu v súvislosti s dod</w:t>
      </w:r>
      <w:r>
        <w:rPr>
          <w:highlight w:val="white"/>
        </w:rPr>
        <w:t>ržiavaním základných práv, demokratických hodnôt, sociálnej inklúzie, ochrany životného prostredia a právneho štátu. Mali by mať možnosť aktívne sa zúčastňovať na verejnom živote a byť vypočutí v súvislosti s politickými záležitosťami a v rámci rozhodovaci</w:t>
      </w:r>
      <w:r>
        <w:rPr>
          <w:highlight w:val="white"/>
        </w:rPr>
        <w:t xml:space="preserve">eho procesu bez obáv zo zastrašovania. </w:t>
      </w:r>
    </w:p>
    <w:p w14:paraId="0000001E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14:paraId="0000001F" w14:textId="1B4A2FFE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rPr>
          <w:highlight w:val="white"/>
        </w:rPr>
        <w:t>V množstve prípadov sa tieto útoky dejú najmä prostredníctvom elektronických komunikačných prostriedkov alebo cez sociálne siete. Páchatelia sa tiež môžu rozhodnúť zastrašiť obeť napríklad prostredníctvom zhromažďov</w:t>
      </w:r>
      <w:r>
        <w:rPr>
          <w:highlight w:val="white"/>
        </w:rPr>
        <w:t xml:space="preserve">ania a následného rozširovania materiálu osobnej povahy, iniciovať takýto útok tretími stranami, alebo sa na </w:t>
      </w:r>
      <w:r w:rsidR="00A27493">
        <w:rPr>
          <w:highlight w:val="white"/>
        </w:rPr>
        <w:t>takomto</w:t>
      </w:r>
      <w:r>
        <w:rPr>
          <w:highlight w:val="white"/>
        </w:rPr>
        <w:t xml:space="preserve"> útoku tretích strán podieľať, preto sa zavádza aj nová skutková podstata trestného činu nebezpečného elektronického obťažovania, ktorá vyc</w:t>
      </w:r>
      <w:r>
        <w:rPr>
          <w:highlight w:val="white"/>
        </w:rPr>
        <w:t>hádza z čl. 9 návrhu Smernice Európskeho parlamentu a Rady o boji proti násiliu na ženách a domácemu násiliu. Tým sa doplní existujúci trestný čin nebezpečného elektronického obťažovania, pričom doplnením nového osobitného motívu sa zabezpečí, že ak je tre</w:t>
      </w:r>
      <w:r>
        <w:rPr>
          <w:highlight w:val="white"/>
        </w:rPr>
        <w:t xml:space="preserve">stný čin spáchaný elektronicky z osobitného motívu, ktorým je </w:t>
      </w:r>
      <w:r>
        <w:t>výkon povolania, zamestnania, alebo funkcie; alebo trestný čin spáchaný voči inej osobe pre jej skutočnú či domnelú nenásilnú činnosť zameranú na presadzovanie alebo ochranu ľudských práv, hodnô</w:t>
      </w:r>
      <w:r>
        <w:t xml:space="preserve">t právneho štátu alebo demokratického zriadenia, pôjde pri trestných činoch spáchaných online aj </w:t>
      </w:r>
      <w:proofErr w:type="spellStart"/>
      <w:r>
        <w:t>offline</w:t>
      </w:r>
      <w:proofErr w:type="spellEnd"/>
      <w:r>
        <w:t xml:space="preserve"> o sprísnenú skutkovú podstatu. Tým sa zabezpečí účinná prevencia, ochrana týchto obetí a postihovanie páchateľov trestných činov, ktorí sa ich dopúšťaj</w:t>
      </w:r>
      <w:r>
        <w:t xml:space="preserve">ú práve z dôvodu existencie osobitného motívu. </w:t>
      </w:r>
    </w:p>
    <w:p w14:paraId="00000020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1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>Návrh zákona je v súlade s Ústavou Slovenskej republiky, ústavnými zákonmi a inými zákonmi, medzinárodnými zmluvami a inými medzinárodnými dokumentami, ktorými je Slovenská republika viazaná.</w:t>
      </w:r>
    </w:p>
    <w:p w14:paraId="00000022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3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4" w14:textId="77777777" w:rsidR="00B67B6B" w:rsidRDefault="005B0DF7">
      <w:pPr>
        <w:spacing w:after="200" w:line="276" w:lineRule="auto"/>
        <w:jc w:val="both"/>
        <w:rPr>
          <w:b/>
          <w:u w:val="single"/>
        </w:rPr>
      </w:pPr>
      <w:r>
        <w:rPr>
          <w:b/>
        </w:rPr>
        <w:t xml:space="preserve">B. </w:t>
      </w:r>
      <w:r>
        <w:rPr>
          <w:b/>
        </w:rPr>
        <w:tab/>
        <w:t xml:space="preserve">Osobitná </w:t>
      </w:r>
      <w:r>
        <w:rPr>
          <w:b/>
        </w:rPr>
        <w:t>časť</w:t>
      </w:r>
    </w:p>
    <w:p w14:paraId="00000025" w14:textId="77777777" w:rsidR="00B67B6B" w:rsidRDefault="005B0DF7">
      <w:pPr>
        <w:jc w:val="both"/>
        <w:rPr>
          <w:b/>
          <w:u w:val="single"/>
        </w:rPr>
      </w:pPr>
      <w:r>
        <w:rPr>
          <w:b/>
          <w:u w:val="single"/>
        </w:rPr>
        <w:t>Čl. I</w:t>
      </w:r>
    </w:p>
    <w:p w14:paraId="00000026" w14:textId="77777777" w:rsidR="00B67B6B" w:rsidRDefault="00B67B6B">
      <w:pPr>
        <w:jc w:val="both"/>
        <w:rPr>
          <w:b/>
          <w:u w:val="single"/>
        </w:rPr>
      </w:pPr>
    </w:p>
    <w:p w14:paraId="00000027" w14:textId="77777777" w:rsidR="00B67B6B" w:rsidRDefault="005B0DF7">
      <w:pPr>
        <w:jc w:val="both"/>
        <w:rPr>
          <w:b/>
          <w:highlight w:val="white"/>
        </w:rPr>
      </w:pPr>
      <w:r>
        <w:rPr>
          <w:b/>
          <w:highlight w:val="white"/>
        </w:rPr>
        <w:t>K b</w:t>
      </w:r>
      <w:r>
        <w:rPr>
          <w:b/>
          <w:color w:val="000000"/>
          <w:highlight w:val="white"/>
        </w:rPr>
        <w:t xml:space="preserve">odu 1 </w:t>
      </w:r>
      <w:r>
        <w:rPr>
          <w:b/>
          <w:highlight w:val="white"/>
        </w:rPr>
        <w:t xml:space="preserve"> [</w:t>
      </w:r>
      <w:r>
        <w:rPr>
          <w:b/>
        </w:rPr>
        <w:t>§ 37 písm. n)</w:t>
      </w:r>
      <w:r>
        <w:rPr>
          <w:b/>
          <w:highlight w:val="white"/>
        </w:rPr>
        <w:t xml:space="preserve">] </w:t>
      </w:r>
    </w:p>
    <w:p w14:paraId="00000028" w14:textId="77777777" w:rsidR="00B67B6B" w:rsidRDefault="00B67B6B">
      <w:pPr>
        <w:jc w:val="both"/>
      </w:pPr>
    </w:p>
    <w:p w14:paraId="00000029" w14:textId="77777777" w:rsidR="00B67B6B" w:rsidRDefault="005B0DF7">
      <w:pPr>
        <w:jc w:val="both"/>
      </w:pPr>
      <w:proofErr w:type="spellStart"/>
      <w:r>
        <w:t>Legislatívno</w:t>
      </w:r>
      <w:proofErr w:type="spellEnd"/>
      <w:r>
        <w:t xml:space="preserve"> technická úprava</w:t>
      </w:r>
    </w:p>
    <w:p w14:paraId="0000002A" w14:textId="77777777" w:rsidR="00B67B6B" w:rsidRDefault="00B67B6B">
      <w:pPr>
        <w:jc w:val="both"/>
        <w:rPr>
          <w:b/>
          <w:highlight w:val="white"/>
        </w:rPr>
      </w:pPr>
    </w:p>
    <w:p w14:paraId="0000002B" w14:textId="77777777" w:rsidR="00B67B6B" w:rsidRDefault="005B0DF7">
      <w:pPr>
        <w:jc w:val="both"/>
      </w:pPr>
      <w:r>
        <w:rPr>
          <w:b/>
          <w:highlight w:val="white"/>
        </w:rPr>
        <w:t>K bodu 2  [</w:t>
      </w:r>
      <w:r>
        <w:rPr>
          <w:b/>
        </w:rPr>
        <w:t>§ 37 písm. o)</w:t>
      </w:r>
      <w:r>
        <w:rPr>
          <w:b/>
          <w:highlight w:val="white"/>
        </w:rPr>
        <w:t xml:space="preserve">] </w:t>
      </w:r>
    </w:p>
    <w:p w14:paraId="0000002C" w14:textId="77777777" w:rsidR="00B67B6B" w:rsidRDefault="00B67B6B">
      <w:pPr>
        <w:jc w:val="both"/>
      </w:pPr>
    </w:p>
    <w:p w14:paraId="0000002D" w14:textId="77777777" w:rsidR="00B67B6B" w:rsidRDefault="005B0DF7">
      <w:pPr>
        <w:jc w:val="both"/>
      </w:pPr>
      <w:proofErr w:type="spellStart"/>
      <w:r>
        <w:t>Legislatívno</w:t>
      </w:r>
      <w:proofErr w:type="spellEnd"/>
      <w:r>
        <w:t xml:space="preserve"> technická úprava</w:t>
      </w:r>
    </w:p>
    <w:p w14:paraId="0000002E" w14:textId="77777777" w:rsidR="00B67B6B" w:rsidRDefault="00B67B6B">
      <w:pPr>
        <w:jc w:val="both"/>
        <w:rPr>
          <w:b/>
          <w:highlight w:val="white"/>
        </w:rPr>
      </w:pPr>
    </w:p>
    <w:p w14:paraId="0000002F" w14:textId="77777777" w:rsidR="00B67B6B" w:rsidRDefault="005B0DF7">
      <w:pP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 xml:space="preserve">K bodu 3 </w:t>
      </w:r>
      <w:r>
        <w:rPr>
          <w:b/>
          <w:color w:val="000000"/>
          <w:highlight w:val="white"/>
        </w:rPr>
        <w:t xml:space="preserve">[§ 37 </w:t>
      </w:r>
      <w:r>
        <w:rPr>
          <w:b/>
          <w:highlight w:val="white"/>
        </w:rPr>
        <w:t>písm</w:t>
      </w:r>
      <w:r>
        <w:rPr>
          <w:b/>
          <w:color w:val="000000"/>
          <w:highlight w:val="white"/>
        </w:rPr>
        <w:t xml:space="preserve">. </w:t>
      </w:r>
      <w:r>
        <w:rPr>
          <w:b/>
          <w:highlight w:val="white"/>
        </w:rPr>
        <w:t>p)</w:t>
      </w:r>
      <w:r>
        <w:rPr>
          <w:b/>
          <w:color w:val="000000"/>
          <w:highlight w:val="white"/>
        </w:rPr>
        <w:t xml:space="preserve">] </w:t>
      </w:r>
    </w:p>
    <w:p w14:paraId="00000030" w14:textId="77777777" w:rsidR="00B67B6B" w:rsidRDefault="00B67B6B">
      <w:pPr>
        <w:jc w:val="both"/>
        <w:rPr>
          <w:highlight w:val="white"/>
        </w:rPr>
      </w:pPr>
    </w:p>
    <w:p w14:paraId="00000031" w14:textId="77777777" w:rsidR="00B67B6B" w:rsidRDefault="005B0DF7">
      <w:pPr>
        <w:ind w:firstLine="720"/>
        <w:jc w:val="both"/>
        <w:rPr>
          <w:color w:val="000000"/>
          <w:highlight w:val="white"/>
        </w:rPr>
      </w:pPr>
      <w:r>
        <w:rPr>
          <w:highlight w:val="white"/>
        </w:rPr>
        <w:t>Navrhovaná zmena</w:t>
      </w:r>
      <w:r>
        <w:rPr>
          <w:color w:val="000000"/>
          <w:highlight w:val="white"/>
        </w:rPr>
        <w:t xml:space="preserve"> dopĺňa zoznam priťažujúcich okolností a zavádza sa, že za priťažujúcu okolnosť sa bude považovať aj spáchanie trestného činu voči inej osobe z dôvodu že trestný čin páchateľ spáchal </w:t>
      </w:r>
      <w:r>
        <w:t>pre výkon jej povolania, zamestnania alebo funkcie, v rámci ktorej skutoč</w:t>
      </w:r>
      <w:r>
        <w:t>ne alebo domnelo realizuje nenásilnú činnosť zameranú na presadzovanie alebo ochranu ľudských práv, hodnôt právneho štátu alebo demokratického zriadenia.</w:t>
      </w:r>
      <w:r>
        <w:rPr>
          <w:highlight w:val="white"/>
        </w:rPr>
        <w:t xml:space="preserve"> </w:t>
      </w:r>
    </w:p>
    <w:p w14:paraId="00000032" w14:textId="77777777" w:rsidR="00B67B6B" w:rsidRDefault="00B67B6B">
      <w:pPr>
        <w:jc w:val="both"/>
        <w:rPr>
          <w:color w:val="000000"/>
          <w:highlight w:val="white"/>
        </w:rPr>
      </w:pPr>
    </w:p>
    <w:p w14:paraId="00000033" w14:textId="77777777" w:rsidR="00B67B6B" w:rsidRDefault="005B0DF7">
      <w:pPr>
        <w:jc w:val="both"/>
        <w:rPr>
          <w:b/>
          <w:color w:val="000000"/>
          <w:highlight w:val="white"/>
        </w:rPr>
      </w:pPr>
      <w:r>
        <w:rPr>
          <w:b/>
          <w:highlight w:val="white"/>
        </w:rPr>
        <w:t>K b</w:t>
      </w:r>
      <w:r>
        <w:rPr>
          <w:b/>
          <w:color w:val="000000"/>
          <w:highlight w:val="white"/>
        </w:rPr>
        <w:t xml:space="preserve">odu </w:t>
      </w:r>
      <w:r>
        <w:rPr>
          <w:b/>
          <w:highlight w:val="white"/>
        </w:rPr>
        <w:t>4</w:t>
      </w:r>
      <w:r>
        <w:rPr>
          <w:b/>
          <w:color w:val="000000"/>
          <w:highlight w:val="white"/>
        </w:rPr>
        <w:t xml:space="preserve"> [§ 51 ods. 3 písm. g)]</w:t>
      </w:r>
    </w:p>
    <w:p w14:paraId="00000034" w14:textId="77777777" w:rsidR="00B67B6B" w:rsidRDefault="00B67B6B">
      <w:pPr>
        <w:jc w:val="both"/>
        <w:rPr>
          <w:color w:val="000000"/>
          <w:highlight w:val="white"/>
        </w:rPr>
      </w:pPr>
    </w:p>
    <w:p w14:paraId="00000035" w14:textId="77777777" w:rsidR="00B67B6B" w:rsidRDefault="005B0DF7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  <w:t>V § 51 ods. 3 sa uvádzajú obmedzenia, ktoré je možné uložiť páchat</w:t>
      </w:r>
      <w:r>
        <w:rPr>
          <w:color w:val="000000"/>
          <w:highlight w:val="white"/>
        </w:rPr>
        <w:t xml:space="preserve">eľovi v prípade, ak sa podmienečne odkladá výkon trestu odňatia slobody s </w:t>
      </w:r>
      <w:proofErr w:type="spellStart"/>
      <w:r>
        <w:rPr>
          <w:color w:val="000000"/>
          <w:highlight w:val="white"/>
        </w:rPr>
        <w:t>probačným</w:t>
      </w:r>
      <w:proofErr w:type="spellEnd"/>
      <w:r>
        <w:rPr>
          <w:color w:val="000000"/>
          <w:highlight w:val="white"/>
        </w:rPr>
        <w:t xml:space="preserve"> dohľadom. Medzi obmedzenia, ktoré je v takomto prípade možné uložiť, sa v písmene g) dopĺňa aj možnosť uložiť páchateľovi zákaz používania sociálnych sietí. Toto obmedzenie</w:t>
      </w:r>
      <w:r>
        <w:rPr>
          <w:color w:val="000000"/>
          <w:highlight w:val="white"/>
        </w:rPr>
        <w:t xml:space="preserve"> bude prichádzať do úvahy najmä v prípade, ak sa páchateľ dopustil trestného činu aktívnym používaním sociálnych sietí (napríklad vyhľadávaním a rozširovaním informácií rôzneho charakteru a pod.). Obmedzenie uvedené v § 51 ods. 3 písm. f) sa totiž vzťahuje</w:t>
      </w:r>
      <w:r>
        <w:rPr>
          <w:color w:val="000000"/>
          <w:highlight w:val="white"/>
        </w:rPr>
        <w:t xml:space="preserve"> len na zákaz kontaktu s určenou osobou prostredníctvom elektronických komunikačných služieb alebo inými obdobnými prostriedkami, ale nezahŕňa zákaz používania sociálnych sietí ako taký. </w:t>
      </w:r>
    </w:p>
    <w:p w14:paraId="00000036" w14:textId="77777777" w:rsidR="00B67B6B" w:rsidRDefault="00B67B6B">
      <w:pPr>
        <w:jc w:val="both"/>
        <w:rPr>
          <w:color w:val="000000"/>
          <w:highlight w:val="white"/>
        </w:rPr>
      </w:pPr>
    </w:p>
    <w:p w14:paraId="00000037" w14:textId="77777777" w:rsidR="00B67B6B" w:rsidRDefault="005B0DF7">
      <w:pPr>
        <w:jc w:val="both"/>
        <w:rPr>
          <w:b/>
        </w:rPr>
      </w:pPr>
      <w:r>
        <w:rPr>
          <w:b/>
        </w:rPr>
        <w:t xml:space="preserve">K bodu 5 a 6 </w:t>
      </w:r>
      <w:r>
        <w:rPr>
          <w:b/>
          <w:highlight w:val="white"/>
        </w:rPr>
        <w:t>[§ 140 písm. e) a f)]</w:t>
      </w:r>
    </w:p>
    <w:p w14:paraId="00000038" w14:textId="77777777" w:rsidR="00B67B6B" w:rsidRDefault="00B67B6B">
      <w:pPr>
        <w:jc w:val="both"/>
      </w:pPr>
    </w:p>
    <w:p w14:paraId="00000039" w14:textId="77777777" w:rsidR="00B67B6B" w:rsidRDefault="005B0DF7">
      <w:pPr>
        <w:jc w:val="both"/>
      </w:pPr>
      <w:proofErr w:type="spellStart"/>
      <w:r>
        <w:t>Legislatívno</w:t>
      </w:r>
      <w:proofErr w:type="spellEnd"/>
      <w:r>
        <w:t xml:space="preserve"> - technická úprava</w:t>
      </w:r>
      <w:r>
        <w:t xml:space="preserve"> súvisiaca so zavedením nového písm. g)</w:t>
      </w:r>
    </w:p>
    <w:p w14:paraId="0000003A" w14:textId="77777777" w:rsidR="00B67B6B" w:rsidRDefault="00B67B6B">
      <w:pPr>
        <w:jc w:val="both"/>
      </w:pPr>
    </w:p>
    <w:p w14:paraId="0000003B" w14:textId="77777777" w:rsidR="00B67B6B" w:rsidRDefault="005B0DF7">
      <w:pPr>
        <w:jc w:val="both"/>
        <w:rPr>
          <w:b/>
          <w:highlight w:val="white"/>
        </w:rPr>
      </w:pPr>
      <w:r>
        <w:rPr>
          <w:b/>
        </w:rPr>
        <w:t>K bodu 7</w:t>
      </w:r>
      <w:r>
        <w:t xml:space="preserve"> </w:t>
      </w:r>
      <w:r>
        <w:rPr>
          <w:b/>
          <w:highlight w:val="white"/>
        </w:rPr>
        <w:t>[§ 140 písm. g)]</w:t>
      </w:r>
    </w:p>
    <w:p w14:paraId="0000003C" w14:textId="77777777" w:rsidR="00B67B6B" w:rsidRDefault="00B67B6B">
      <w:pPr>
        <w:jc w:val="both"/>
        <w:rPr>
          <w:b/>
          <w:highlight w:val="white"/>
        </w:rPr>
      </w:pPr>
    </w:p>
    <w:p w14:paraId="0000003D" w14:textId="77777777" w:rsidR="00B67B6B" w:rsidRDefault="005B0DF7">
      <w:pPr>
        <w:jc w:val="both"/>
        <w:rPr>
          <w:highlight w:val="white"/>
        </w:rPr>
      </w:pPr>
      <w:r>
        <w:rPr>
          <w:highlight w:val="white"/>
        </w:rPr>
        <w:tab/>
        <w:t xml:space="preserve">Zavádza sa nový osobitný motív spáchania trestného činu pre </w:t>
      </w:r>
      <w:r>
        <w:t>výkon povolania, zamestnania, alebo funkcie; alebo trestný čin spáchaný voči inej osobe pre jej skutočnú či domnelú nenásilnú č</w:t>
      </w:r>
      <w:r>
        <w:t>innosť zameranú na presadzovanie alebo ochranu ľudských práv, hodnôt právneho štátu alebo demokratického zriadenia. J</w:t>
      </w:r>
      <w:r>
        <w:rPr>
          <w:highlight w:val="white"/>
        </w:rPr>
        <w:t>e to z dôvodu nárastu útokov voči ľuďom presadzujúcim alebo ochraňujúcim ľudské práva, vrátane tých pracujúcich v médiách, v občianskom sek</w:t>
      </w:r>
      <w:r>
        <w:rPr>
          <w:highlight w:val="white"/>
        </w:rPr>
        <w:t xml:space="preserve">tore alebo vo verejnom živote, pričom špecificky sa množstvo týchto útokov zároveň zameriava na ženy. </w:t>
      </w:r>
    </w:p>
    <w:p w14:paraId="0000003E" w14:textId="77777777" w:rsidR="00B67B6B" w:rsidRDefault="00B67B6B">
      <w:pPr>
        <w:jc w:val="both"/>
        <w:rPr>
          <w:highlight w:val="white"/>
        </w:rPr>
      </w:pPr>
    </w:p>
    <w:p w14:paraId="0000003F" w14:textId="081FF6E6" w:rsidR="00B67B6B" w:rsidRDefault="005B0DF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Nárast takýchto útokov sa netýka len Slovenska, ale celej EÚ. Je zrejmé, že páchatelia tieto útoky páchajú práve z dôvodu tzv. osobitného motívu – teda </w:t>
      </w:r>
      <w:r>
        <w:rPr>
          <w:highlight w:val="white"/>
        </w:rPr>
        <w:t>preto, že obeť má určité povolanie (novinár/ka) alebo je aktívnym účastníkom/účastníčkou verejného života a obhajuje ľudské práva (napr. člen/členka občianskeho združenia, spisovateľ/ka, enviro</w:t>
      </w:r>
      <w:r w:rsidR="00A27493">
        <w:rPr>
          <w:highlight w:val="white"/>
        </w:rPr>
        <w:t>n</w:t>
      </w:r>
      <w:r>
        <w:rPr>
          <w:highlight w:val="white"/>
        </w:rPr>
        <w:t>mentálny aktivista/ka, komunitný líder/ka) a pod.). Len v posle</w:t>
      </w:r>
      <w:r>
        <w:rPr>
          <w:highlight w:val="white"/>
        </w:rPr>
        <w:t>dných mesiacoch bola pod vplyvom takýchto útokov nútená dočasne sa stiahnuť z mediálneho prostredia novinárka Zuzana Kovačič Hanzelová a o útokoch na svoju osobu hovoril aj Marcel David Zajac (podpredseda Rady vlády SR pre mimovládne neziskové organizácie,</w:t>
      </w:r>
      <w:r>
        <w:rPr>
          <w:highlight w:val="white"/>
        </w:rPr>
        <w:t xml:space="preserve"> predseda Komory mimovládnych neziskových organizácií v Rade vlády SR pre mimovládne neziskové organizácie), pričom nárast nenávisti voči sebe spájal s medializovaním pozastavenia dotačnej schémy na podporu ľudských práv, k čomu sa aktívne verejne vyjadrov</w:t>
      </w:r>
      <w:r>
        <w:rPr>
          <w:highlight w:val="white"/>
        </w:rPr>
        <w:t xml:space="preserve">al ako zástupca neziskového sektora. </w:t>
      </w:r>
    </w:p>
    <w:p w14:paraId="00000040" w14:textId="77777777" w:rsidR="00B67B6B" w:rsidRDefault="00B67B6B">
      <w:pPr>
        <w:jc w:val="both"/>
        <w:rPr>
          <w:highlight w:val="white"/>
        </w:rPr>
      </w:pPr>
    </w:p>
    <w:p w14:paraId="00000041" w14:textId="4463235F" w:rsidR="00B67B6B" w:rsidRDefault="005B0DF7">
      <w:pPr>
        <w:ind w:firstLine="720"/>
        <w:jc w:val="both"/>
        <w:rPr>
          <w:highlight w:val="white"/>
        </w:rPr>
      </w:pPr>
      <w:r>
        <w:rPr>
          <w:highlight w:val="white"/>
        </w:rPr>
        <w:t>Z týchto dôvodov, teda preto, že páchatelia trestných činov môžu trestný čin spáchať z dôvodu že osoba zastáva určité povolanie, zamestnanie alebo má určitú funkciu,</w:t>
      </w:r>
      <w:r>
        <w:t xml:space="preserve"> alebo ide o trestný čin spáchaný voči inej osobe pr</w:t>
      </w:r>
      <w:r>
        <w:t xml:space="preserve">e jej skutočnú či domnelú nenásilnú činnosť zameranú na presadzovanie alebo ochranu ľudských práv, hodnôt právneho štátu alebo demokratického zriadenia </w:t>
      </w:r>
      <w:r>
        <w:rPr>
          <w:highlight w:val="white"/>
        </w:rPr>
        <w:t>sa upravuje nový osobitný motív, ktorý sprísňuje skutkovú podstatu. Je potrebné uviesť, že presadzovanie</w:t>
      </w:r>
      <w:r>
        <w:rPr>
          <w:highlight w:val="white"/>
        </w:rPr>
        <w:t xml:space="preserve"> a ochrana ľudských práv, vrátane hodnôt demokracie, slobody a právneho štátu a vrátane činnosti novinárov/</w:t>
      </w:r>
      <w:r w:rsidR="00A27493">
        <w:rPr>
          <w:highlight w:val="white"/>
        </w:rPr>
        <w:t>novinárok</w:t>
      </w:r>
      <w:r>
        <w:rPr>
          <w:highlight w:val="white"/>
        </w:rPr>
        <w:t xml:space="preserve"> je základným pilierom právneho štátu. Súčasťou pozitívneho záväzku štátu je ochrana ľudí, ktorí presadzujú ľudské práva, vrátane novinárov</w:t>
      </w:r>
      <w:r>
        <w:rPr>
          <w:highlight w:val="white"/>
        </w:rPr>
        <w:t xml:space="preserve"> a </w:t>
      </w:r>
      <w:r w:rsidR="00A27493">
        <w:rPr>
          <w:highlight w:val="white"/>
        </w:rPr>
        <w:t>novinárok</w:t>
      </w:r>
      <w:r>
        <w:rPr>
          <w:highlight w:val="white"/>
        </w:rPr>
        <w:t xml:space="preserve"> a zabezpečenie pre</w:t>
      </w:r>
      <w:r w:rsidR="00A27493">
        <w:rPr>
          <w:highlight w:val="white"/>
        </w:rPr>
        <w:t xml:space="preserve">vencie, účinného vyšetrenia a </w:t>
      </w:r>
      <w:r>
        <w:rPr>
          <w:highlight w:val="white"/>
        </w:rPr>
        <w:t xml:space="preserve">stíhania páchateľov v prípade, ak sú tieto osoby atakované pre svoju činnosť. </w:t>
      </w:r>
    </w:p>
    <w:p w14:paraId="00000042" w14:textId="77777777" w:rsidR="00B67B6B" w:rsidRDefault="00B67B6B">
      <w:pPr>
        <w:ind w:firstLine="720"/>
        <w:jc w:val="both"/>
        <w:rPr>
          <w:highlight w:val="white"/>
        </w:rPr>
      </w:pPr>
    </w:p>
    <w:p w14:paraId="00000043" w14:textId="77777777" w:rsidR="00B67B6B" w:rsidRDefault="005B0DF7">
      <w:pPr>
        <w:ind w:firstLine="720"/>
        <w:jc w:val="both"/>
        <w:rPr>
          <w:highlight w:val="white"/>
        </w:rPr>
      </w:pPr>
      <w:r>
        <w:rPr>
          <w:highlight w:val="white"/>
        </w:rPr>
        <w:t>Je potrebné poukázať na to, že zavedenie podobnej definície osobitného motívu už bola v minulosti predmetom medz</w:t>
      </w:r>
      <w:r>
        <w:rPr>
          <w:highlight w:val="white"/>
        </w:rPr>
        <w:t>irezortného pripomienkového konania v rámci návrhu novely Trestného zákona pod č. LP/2022/511, ktorý predložila ešte bývalá ministerka spravodlivosti M. Kolíková. V danom čase návrh reagoval na nárast útokov najmä proti zdravotníckemu personálu počas pandé</w:t>
      </w:r>
      <w:r>
        <w:rPr>
          <w:highlight w:val="white"/>
        </w:rPr>
        <w:t>mie ochorenia covid-19, no už vtedy poukazoval aj na útoky voči ľuďom z médií (“</w:t>
      </w:r>
      <w:r>
        <w:rPr>
          <w:i/>
          <w:highlight w:val="white"/>
        </w:rPr>
        <w:t xml:space="preserve">Medzi osobitné motívy spáchania trestného činu sa zaraďuje spáchanie trestného činu pre výkon zamestnania, povolania </w:t>
      </w:r>
      <w:r>
        <w:rPr>
          <w:i/>
          <w:highlight w:val="white"/>
        </w:rPr>
        <w:lastRenderedPageBreak/>
        <w:t>alebo funkcie. Návrh reaguje na aktuálny nárast útokov voči</w:t>
      </w:r>
      <w:r>
        <w:rPr>
          <w:i/>
          <w:highlight w:val="white"/>
        </w:rPr>
        <w:t xml:space="preserve"> lekárskemu personálu, bezpečnostným zložkám, novinárom ale aj zamestnancov podnikov poskytujúcich tovary a služby potrebné pre každodenný život.</w:t>
      </w:r>
      <w:r>
        <w:rPr>
          <w:highlight w:val="white"/>
        </w:rPr>
        <w:t xml:space="preserve">”, Dôvodová správa, osobitná časť, dostupné tu: </w:t>
      </w:r>
      <w:hyperlink r:id="rId12">
        <w:r>
          <w:rPr>
            <w:color w:val="1155CC"/>
            <w:highlight w:val="white"/>
            <w:u w:val="single"/>
          </w:rPr>
          <w:t>https://www.slov-lex.sk/legislativne-procesy/SK/LP/2022/511</w:t>
        </w:r>
      </w:hyperlink>
      <w:r>
        <w:rPr>
          <w:highlight w:val="white"/>
        </w:rPr>
        <w:t xml:space="preserve"> ). Táto novela predmetnú definíciu rozširuje a upravuje tak, aby sa vzťahovala najmä na obrancov ľudských práv, vrátane novinárov, ktorí a ktoré v súčasnosti čelia zvýšenému riziku</w:t>
      </w:r>
      <w:r>
        <w:rPr>
          <w:highlight w:val="white"/>
        </w:rPr>
        <w:t xml:space="preserve"> trestných činov páchaných na nich pre výkon svojej činnosti. </w:t>
      </w:r>
    </w:p>
    <w:p w14:paraId="00000044" w14:textId="77777777" w:rsidR="00B67B6B" w:rsidRDefault="00B67B6B">
      <w:pPr>
        <w:ind w:firstLine="720"/>
        <w:jc w:val="both"/>
        <w:rPr>
          <w:highlight w:val="white"/>
        </w:rPr>
      </w:pPr>
    </w:p>
    <w:p w14:paraId="00000045" w14:textId="58AB8760" w:rsidR="00B67B6B" w:rsidRDefault="005B0DF7">
      <w:pPr>
        <w:ind w:firstLine="720"/>
        <w:jc w:val="both"/>
        <w:rPr>
          <w:highlight w:val="white"/>
        </w:rPr>
      </w:pPr>
      <w:r>
        <w:rPr>
          <w:highlight w:val="white"/>
        </w:rPr>
        <w:t>Definovať obrancu ľudských práv je možné v súlade s Deklaráciou Výboru ministrov Rady Európy na zlepšenie ochrany obrancov ľudských práv a na podporu ich aktivít, ktorá bola prijatá Výborom ministrov Rady Európy 6. februára 2008, a v súlade s Deklaráciou O</w:t>
      </w:r>
      <w:r>
        <w:rPr>
          <w:highlight w:val="white"/>
        </w:rPr>
        <w:t>SN o ochrancoch ľudských práv (prijatá Rezolúciou Valného zhromaždenia OSN č. 53/144) ako jednotlivca, ktorý pracuje samostatne alebo v skupine, ktorý používa nenásilné prostriedky na presadzovanie alebo ochranu ľudských práv a základných slobôd v súlade s</w:t>
      </w:r>
      <w:r>
        <w:rPr>
          <w:highlight w:val="white"/>
        </w:rPr>
        <w:t xml:space="preserve"> princípmi obsiahnutými v Deklarácii OSN o ochrancoch ľudských práv a táto kategória môže zahŕňať členov organizácií občianskej spoločnosti, novinárov, aktivistov, právnikov, komunitných lídrov, enviro</w:t>
      </w:r>
      <w:r w:rsidR="00A27493">
        <w:rPr>
          <w:highlight w:val="white"/>
        </w:rPr>
        <w:t>n</w:t>
      </w:r>
      <w:r>
        <w:rPr>
          <w:highlight w:val="white"/>
        </w:rPr>
        <w:t>mentálnych aktivistov, predstaviteľov odborov, proti-ko</w:t>
      </w:r>
      <w:r>
        <w:rPr>
          <w:highlight w:val="white"/>
        </w:rPr>
        <w:t xml:space="preserve">rupčných aktivistov, </w:t>
      </w:r>
      <w:proofErr w:type="spellStart"/>
      <w:r>
        <w:rPr>
          <w:highlight w:val="white"/>
        </w:rPr>
        <w:t>whistleblowerov</w:t>
      </w:r>
      <w:proofErr w:type="spellEnd"/>
      <w:r>
        <w:rPr>
          <w:highlight w:val="white"/>
        </w:rPr>
        <w:t xml:space="preserve"> a iných jednotlivcov angažujúcich sa </w:t>
      </w:r>
      <w:r w:rsidR="00A27493">
        <w:rPr>
          <w:highlight w:val="white"/>
        </w:rPr>
        <w:t xml:space="preserve">v </w:t>
      </w:r>
      <w:r>
        <w:rPr>
          <w:highlight w:val="white"/>
        </w:rPr>
        <w:t xml:space="preserve">nenásilnej advokácii alebo činnosti. </w:t>
      </w:r>
    </w:p>
    <w:p w14:paraId="00000046" w14:textId="77777777" w:rsidR="00B67B6B" w:rsidRDefault="00B67B6B">
      <w:pPr>
        <w:ind w:firstLine="720"/>
        <w:jc w:val="both"/>
        <w:rPr>
          <w:highlight w:val="white"/>
        </w:rPr>
      </w:pPr>
    </w:p>
    <w:p w14:paraId="00000047" w14:textId="77777777" w:rsidR="00B67B6B" w:rsidRDefault="005B0DF7">
      <w:pPr>
        <w:jc w:val="both"/>
      </w:pPr>
      <w:r>
        <w:tab/>
        <w:t>Keďže dochádza a došlo k opakujúcim sa a systematickým útokom voči obhajcom ľudských práv, predstaviteľom organizácií občianskej spoločnosti a</w:t>
      </w:r>
      <w:r>
        <w:t xml:space="preserve"> ľuďom z médií, ktorých cieľom je ich zastrašiť a umlčať, a teda sú vážne ohrozené ľudské práva, je potrebné doplnenie osobitného motívu do Trestného zákona prostredníctvom poslaneckého návrhu. </w:t>
      </w:r>
    </w:p>
    <w:p w14:paraId="00000048" w14:textId="77777777" w:rsidR="00B67B6B" w:rsidRDefault="00B67B6B">
      <w:pPr>
        <w:jc w:val="both"/>
      </w:pPr>
    </w:p>
    <w:p w14:paraId="00000049" w14:textId="77777777" w:rsidR="00B67B6B" w:rsidRDefault="005B0DF7">
      <w:pPr>
        <w:jc w:val="both"/>
        <w:rPr>
          <w:b/>
          <w:highlight w:val="white"/>
        </w:rPr>
      </w:pPr>
      <w:r>
        <w:rPr>
          <w:b/>
          <w:highlight w:val="white"/>
        </w:rPr>
        <w:t>K bodu 8 a 9 [§ 360b ods. 1 písm. a) a b)]</w:t>
      </w:r>
    </w:p>
    <w:p w14:paraId="0000004A" w14:textId="77777777" w:rsidR="00B67B6B" w:rsidRDefault="00B67B6B">
      <w:pPr>
        <w:jc w:val="both"/>
        <w:rPr>
          <w:b/>
          <w:highlight w:val="white"/>
        </w:rPr>
      </w:pPr>
    </w:p>
    <w:p w14:paraId="0000004B" w14:textId="77777777" w:rsidR="00B67B6B" w:rsidRDefault="005B0DF7">
      <w:pPr>
        <w:jc w:val="both"/>
        <w:rPr>
          <w:highlight w:val="white"/>
        </w:rPr>
      </w:pPr>
      <w:proofErr w:type="spellStart"/>
      <w:r>
        <w:rPr>
          <w:highlight w:val="white"/>
        </w:rPr>
        <w:t>Legislatívno</w:t>
      </w:r>
      <w:proofErr w:type="spellEnd"/>
      <w:r>
        <w:rPr>
          <w:highlight w:val="white"/>
        </w:rPr>
        <w:t xml:space="preserve"> - technická úprava</w:t>
      </w:r>
    </w:p>
    <w:p w14:paraId="0000004C" w14:textId="77777777" w:rsidR="00B67B6B" w:rsidRDefault="00B67B6B">
      <w:pPr>
        <w:jc w:val="both"/>
        <w:rPr>
          <w:b/>
          <w:highlight w:val="white"/>
        </w:rPr>
      </w:pPr>
    </w:p>
    <w:p w14:paraId="0000004D" w14:textId="77777777" w:rsidR="00B67B6B" w:rsidRDefault="005B0DF7">
      <w:pPr>
        <w:jc w:val="both"/>
      </w:pPr>
      <w:r>
        <w:rPr>
          <w:b/>
          <w:highlight w:val="white"/>
        </w:rPr>
        <w:t>K bodu 10 [§ 360b písm. c)]</w:t>
      </w:r>
    </w:p>
    <w:p w14:paraId="0000004E" w14:textId="77777777" w:rsidR="00B67B6B" w:rsidRDefault="00B67B6B">
      <w:pPr>
        <w:jc w:val="both"/>
      </w:pPr>
    </w:p>
    <w:p w14:paraId="0000004F" w14:textId="7A6C7C37" w:rsidR="00B67B6B" w:rsidRDefault="005B0DF7">
      <w:pPr>
        <w:ind w:firstLine="720"/>
        <w:jc w:val="both"/>
        <w:rPr>
          <w:highlight w:val="white"/>
        </w:rPr>
      </w:pPr>
      <w:r>
        <w:rPr>
          <w:highlight w:val="white"/>
        </w:rPr>
        <w:t>V množstve prípadov sa tieto útoky dejú najmä prostredníctvom elektronických komunikačných prostriedkov alebo cez sociálne siete. Páchatelia sa tiež môžu rozhodnúť zastrašiť obeť napríklad prost</w:t>
      </w:r>
      <w:r>
        <w:rPr>
          <w:highlight w:val="white"/>
        </w:rPr>
        <w:t>redníctvom zhromažďovania a následného rozširovania materiálu osobnej povahy, iniciovať takýto útok tr</w:t>
      </w:r>
      <w:r w:rsidR="00A27493">
        <w:rPr>
          <w:highlight w:val="white"/>
        </w:rPr>
        <w:t>etími stranami, alebo sa na tak</w:t>
      </w:r>
      <w:r>
        <w:rPr>
          <w:highlight w:val="white"/>
        </w:rPr>
        <w:t>omto útoku tretích strán podieľať, preto sa zavádza aj nová skutková podstata trestného činu nebezpečného elektronického o</w:t>
      </w:r>
      <w:r>
        <w:rPr>
          <w:highlight w:val="white"/>
        </w:rPr>
        <w:t xml:space="preserve">bťažovania, ktorá vychádza z čl. 9 návrhu Smernice Európskeho parlamentu a Rady o boji proti násiliu na ženách a domácemu násiliu a v našom trestnom práve doteraz chýba. </w:t>
      </w:r>
    </w:p>
    <w:p w14:paraId="00000050" w14:textId="77777777" w:rsidR="00B67B6B" w:rsidRDefault="00B67B6B">
      <w:pPr>
        <w:ind w:firstLine="720"/>
        <w:jc w:val="both"/>
        <w:rPr>
          <w:highlight w:val="white"/>
        </w:rPr>
      </w:pPr>
    </w:p>
    <w:p w14:paraId="00000051" w14:textId="77777777" w:rsidR="00B67B6B" w:rsidRDefault="005B0DF7">
      <w:pPr>
        <w:ind w:firstLine="720"/>
        <w:jc w:val="both"/>
        <w:rPr>
          <w:highlight w:val="white"/>
        </w:rPr>
      </w:pPr>
      <w:r>
        <w:rPr>
          <w:highlight w:val="white"/>
        </w:rPr>
        <w:t>Ako uvádza návrh smernice v bode 18, “Používanie informačných a komunikačných techno</w:t>
      </w:r>
      <w:r>
        <w:rPr>
          <w:highlight w:val="white"/>
        </w:rPr>
        <w:t>lógií nesie riziko jednoduchého, rýchleho a rozsiahleho šírenia niektorých foriem kybernetického násilia, ktoré obeti spôsobuje alebo prehlbuje ťažkú a dlhodobú ujmu. Potenciál takéhoto šírenia, ktoré je predpokladom spáchania závažných trestných činov v o</w:t>
      </w:r>
      <w:r>
        <w:rPr>
          <w:highlight w:val="white"/>
        </w:rPr>
        <w:t>blasti kybernetického násilia vymedzeného v tejto smernici, by sa mal premietnuť v prvku sprístupňovania určitého materiálu prostredníctvom informačných a komunikačných technológií „veľkému počtu“ koncových používateľov. Pojem „veľký počet“ by sa mal chápa</w:t>
      </w:r>
      <w:r>
        <w:rPr>
          <w:highlight w:val="white"/>
        </w:rPr>
        <w:t>ť ako dosiahnutie významného počtu koncových používateľov predmetných technológií, čím sa umožní prístup veľkého počtu osôb k danému materiálu a jeho ďalšie potenciálne šírenie. Uvedený pojem by sa mal vykladať a uplatňovať s prihliadnutím na príslušné oko</w:t>
      </w:r>
      <w:r>
        <w:rPr>
          <w:highlight w:val="white"/>
        </w:rPr>
        <w:t>lnosti vrátane technológií použitých na sprístupnenie daného materiálu a prostriedkov, ktoré tieto technológie ponúkajú na jeho šírenie.”</w:t>
      </w:r>
    </w:p>
    <w:p w14:paraId="00000052" w14:textId="77777777" w:rsidR="00B67B6B" w:rsidRDefault="00B67B6B">
      <w:pPr>
        <w:ind w:firstLine="720"/>
        <w:jc w:val="both"/>
        <w:rPr>
          <w:highlight w:val="white"/>
        </w:rPr>
      </w:pPr>
    </w:p>
    <w:p w14:paraId="00000053" w14:textId="77777777" w:rsidR="00B67B6B" w:rsidRDefault="005B0DF7">
      <w:pPr>
        <w:ind w:firstLine="720"/>
        <w:jc w:val="both"/>
      </w:pPr>
      <w:r>
        <w:rPr>
          <w:highlight w:val="white"/>
        </w:rPr>
        <w:t xml:space="preserve">Podľa bodu 21 návrhu smernice, </w:t>
      </w:r>
      <w:r>
        <w:t>“S cieľom zabrániť začatiu útoku tretích strán alebo účasti na takomto útoku namiereno</w:t>
      </w:r>
      <w:r>
        <w:t xml:space="preserve">m priamo na inú osobu spočívajúcom v sprístupnení výhražného alebo urážlivého materiálu veľkému počtu koncových používateľov by sa mali stanoviť minimálne pravidlá </w:t>
      </w:r>
      <w:r>
        <w:lastRenderedPageBreak/>
        <w:t>týkajúce sa trestného činu kybernetického obťažovania. Takéto rozsiahle útoky vrátane koordi</w:t>
      </w:r>
      <w:r>
        <w:t>novaných online hromadných útokov môžu prerásť do napadnutia v reálnom svete alebo spôsobiť závažnú duševnú ujmu, pričom v extrémnych prípadoch môžu viesť až k samovražde obete. Často sú zacielené na prominentné političky, novinárky alebo iné známe osobnos</w:t>
      </w:r>
      <w:r>
        <w:t>ti, môžu sa však vyskytnúť aj za iných okolností, napríklad na univerzitách alebo v školách. Takéto online násilie by sa malo riešiť najmä vtedy, ak sa útoky vyskytujú vo veľkom rozsahu, napríklad majú podobu hromadného obťažovania veľkým množstvom ľudí.”</w:t>
      </w:r>
    </w:p>
    <w:p w14:paraId="00000054" w14:textId="77777777" w:rsidR="00B67B6B" w:rsidRDefault="00B67B6B">
      <w:pPr>
        <w:ind w:firstLine="720"/>
        <w:jc w:val="both"/>
      </w:pPr>
    </w:p>
    <w:p w14:paraId="00000055" w14:textId="665E12B4" w:rsidR="00B67B6B" w:rsidRDefault="005B0DF7">
      <w:pPr>
        <w:ind w:firstLine="720"/>
        <w:jc w:val="both"/>
      </w:pPr>
      <w:r>
        <w:t xml:space="preserve">Vzhľadom na veľké nebezpečenstvo vzniku takejto činnosti už v </w:t>
      </w:r>
      <w:r w:rsidR="001F5391">
        <w:t>súčasnosti a vzhľadom na narasta</w:t>
      </w:r>
      <w:bookmarkStart w:id="0" w:name="_GoBack"/>
      <w:bookmarkEnd w:id="0"/>
      <w:r>
        <w:t xml:space="preserve">júce prípady online násilia voči predstaviteľom a predstaviteľkám verejného života a ľudí venujúcich sa obhajobe a presadzovaniu ľudských práv, je potrebné túto </w:t>
      </w:r>
      <w:r>
        <w:t xml:space="preserve">právnu úpravu prijať už teraz a nečakať na implementáciu smernice. </w:t>
      </w:r>
    </w:p>
    <w:p w14:paraId="00000056" w14:textId="77777777" w:rsidR="00B67B6B" w:rsidRDefault="00B67B6B">
      <w:pPr>
        <w:jc w:val="both"/>
        <w:rPr>
          <w:b/>
          <w:highlight w:val="white"/>
        </w:rPr>
      </w:pPr>
    </w:p>
    <w:p w14:paraId="00000057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_heading=h.gjdgxs" w:colFirst="0" w:colLast="0"/>
      <w:bookmarkEnd w:id="1"/>
    </w:p>
    <w:p w14:paraId="00000058" w14:textId="77777777" w:rsidR="00B67B6B" w:rsidRDefault="005B0DF7">
      <w:pPr>
        <w:jc w:val="both"/>
        <w:rPr>
          <w:b/>
          <w:u w:val="single"/>
        </w:rPr>
      </w:pPr>
      <w:r>
        <w:rPr>
          <w:b/>
          <w:color w:val="000000"/>
          <w:highlight w:val="white"/>
          <w:u w:val="single"/>
        </w:rPr>
        <w:t>Čl. II</w:t>
      </w:r>
    </w:p>
    <w:p w14:paraId="00000059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5A" w14:textId="77777777" w:rsidR="00B67B6B" w:rsidRDefault="005B0DF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 ohľadom n</w:t>
      </w:r>
      <w:r>
        <w:rPr>
          <w:color w:val="000000"/>
          <w:highlight w:val="white"/>
        </w:rPr>
        <w:t xml:space="preserve">a predpokladaný priebeh legislatívneho procesu sa navrhuje nadobudnutie účinnosti od 1. </w:t>
      </w:r>
      <w:r>
        <w:rPr>
          <w:highlight w:val="white"/>
        </w:rPr>
        <w:t xml:space="preserve">septembra </w:t>
      </w:r>
      <w:r>
        <w:rPr>
          <w:color w:val="000000"/>
        </w:rPr>
        <w:t>202</w:t>
      </w:r>
      <w:r>
        <w:t>4</w:t>
      </w:r>
      <w:r>
        <w:rPr>
          <w:color w:val="000000"/>
        </w:rPr>
        <w:t>.</w:t>
      </w:r>
    </w:p>
    <w:p w14:paraId="0000005B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5C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5D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5E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5F" w14:textId="77777777" w:rsidR="00B67B6B" w:rsidRDefault="00B67B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B67B6B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1D028" w14:textId="77777777" w:rsidR="005B0DF7" w:rsidRDefault="005B0DF7">
      <w:r>
        <w:separator/>
      </w:r>
    </w:p>
  </w:endnote>
  <w:endnote w:type="continuationSeparator" w:id="0">
    <w:p w14:paraId="494DA45A" w14:textId="77777777" w:rsidR="005B0DF7" w:rsidRDefault="005B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1" w14:textId="77777777" w:rsidR="00B67B6B" w:rsidRDefault="00B67B6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AF1E" w14:textId="77777777" w:rsidR="005B0DF7" w:rsidRDefault="005B0DF7">
      <w:r>
        <w:separator/>
      </w:r>
    </w:p>
  </w:footnote>
  <w:footnote w:type="continuationSeparator" w:id="0">
    <w:p w14:paraId="1F7D8DBD" w14:textId="77777777" w:rsidR="005B0DF7" w:rsidRDefault="005B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0" w14:textId="77777777" w:rsidR="00B67B6B" w:rsidRDefault="00B67B6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46F"/>
    <w:multiLevelType w:val="multilevel"/>
    <w:tmpl w:val="35D6C7B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6B"/>
    <w:rsid w:val="001F5391"/>
    <w:rsid w:val="005B0DF7"/>
    <w:rsid w:val="00A27493"/>
    <w:rsid w:val="00B6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AE60"/>
  <w15:docId w15:val="{1028ABD7-7262-4BE9-B48A-B8E9771E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rPr>
      <w:u w:val="single"/>
    </w:rPr>
  </w:style>
  <w:style w:type="table" w:customStyle="1" w:styleId="TableNormal4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rPr>
      <w:rFonts w:ascii="Helvetica Neue" w:hAnsi="Helvetica Neue" w:cs="Arial Unicode MS"/>
      <w:color w:val="000000"/>
      <w:sz w:val="22"/>
      <w:szCs w:val="22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report-on-the-round-table-human-rights-defenders-in-the-council-of-eur/1680aaa81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legislativne-procesy/SK/LP/2022/5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consilium.europa.eu/doc/document/ST-7388-2023-INIT/en/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ra.europa.eu/en/publication/2023/civic-space-2023-update?page=1&amp;pid=84e5c0ba-2ac8-4f42-bb6d-db74c1fb73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lp.sk/wp-content/uploads/Individual-submission-SNCHR_UPR-4th-cycl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Pg1uJ2clD+rCKNpvQp0gqGlZQ==">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Števulová, Zuzana</cp:lastModifiedBy>
  <cp:revision>2</cp:revision>
  <dcterms:created xsi:type="dcterms:W3CDTF">2022-04-07T11:09:00Z</dcterms:created>
  <dcterms:modified xsi:type="dcterms:W3CDTF">2024-03-27T09:01:00Z</dcterms:modified>
</cp:coreProperties>
</file>