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č. 300/1993 Z. z. o mene a priezvisku v znení neskorších predpisov a ktorým sa menia a dopĺňajú niektoré ďalšie zákony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 navrhovaného materiálu: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1815"/>
        <w:gridCol w:w="1740"/>
        <w:gridCol w:w="1755"/>
        <w:tblGridChange w:id="0">
          <w:tblGrid>
            <w:gridCol w:w="3750"/>
            <w:gridCol w:w="1815"/>
            <w:gridCol w:w="174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Vplyv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Vplyvy na služby pre občana z toho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Vplyvy na manželstvo, rodičovstvo a rodinu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zmeny majú pozitívny dopad na možnosť ľudí mať vplyv na základné aspekty vlastnej identity, medzi ktoré bezpochyby patrí aj priezvisko dotknutej osoby a jej detí.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sk-SK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B6193"/>
  </w:style>
  <w:style w:type="paragraph" w:styleId="Pta">
    <w:name w:val="footer"/>
    <w:basedOn w:val="Normlny"/>
    <w:link w:val="Pt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B619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2EZMtg/tf5TVUvOHKj9zfz8E2A==">CgMxLjAyCGguZ2pkZ3hzOAByITFrck5aS2Rwc210WmhIVENWbDZLSWJzY3ByTFdVZTY2VA==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2023-11-20T10:14:00Z</dcterms:created>
</cp:coreProperties>
</file>