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Dôvodová správa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Všeobecná časť</w:t>
      </w:r>
    </w:p>
    <w:p w:rsidR="00000000" w:rsidDel="00000000" w:rsidP="00000000" w:rsidRDefault="00000000" w:rsidRPr="00000000" w14:paraId="00000003">
      <w:pPr>
        <w:spacing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Poslankyne Národnej rady Slovenskej republiky Lucia Plaváková, Simona Petrík, Beáta Jurík a Zuzana Števulová predkladajú na rokovanie Národnej rady Slovenskej republiky novelu zákona o mene a priezvisku a ďalších súvisiacich pr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edpisov.</w:t>
      </w:r>
    </w:p>
    <w:p w:rsidR="00000000" w:rsidDel="00000000" w:rsidP="00000000" w:rsidRDefault="00000000" w:rsidRPr="00000000" w14:paraId="00000004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Navrhovaná zmena zákona o mene a priezvisku a ďalších súvisiacich predpisov sa zameriava na odstraňovanie problémov a znevýhodnení vyplývajúcich z praxe, a to konkrétne: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Možnosť aj v prípade nezosobášených rodičov určiť pre ich dieťa priezvisko, ktoré bude zložené z obidvoch priezvisk jeho rodičov. Podľa súčasnej právnej úpravy môže dieťa nadobudnúť iba priezvisko po jednom z rodičov. Vzhľadom na narastajúci počet detí, ktoré sa rodia rodičom, ktorí nie sú zosobášení, súčasná právna úprava nereflektuje potreby vyplývajúce zo zmenenej spoločenskej reality v porovnaní s obdobím, keď zákon pôvodne vznikal.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Možnosť zvoliť si spoločné priezvisko zložené z obidvoch priezvisk osôb uzatvárajúcich manželstvo pre obidve osoby uzatvárajúce manželstvo. Podľa súčasnej právnej úpravy snúbenci môžu vyhlásiť, že priezvisko jedného z nich bude ich spoločným priezviskom a jeden z nich si zároveň ponechá svoje doterajšie priezvisko. To znamená, že v prípade, ak manželstvo uzatvára napríklad Peter Drábik a Soňa Lehotská, tak podľa súčasnej právnej úpravy môžu mať po uzatvorení manželstva priezviská Drábik a Drábik-Lehotská, pričom ich deti môžu mať priezvisko Drábik/Drábiková. Podľa navrhovanej úpravy by sa manželia mohli volať Peter Drábik Lehotský a Soňa Drábik Lehotská a ich deti by mohli mať spoločné priezvisko Drábik Lehotský/Drábik Lehotská.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Možnosť mať ženské priezvisko bez koncovky slovenského prechyľovania pre všetky ženy, ktoré si to želajú, a to bez ohľadu na ich národnosť a potrebu jej deklarácie.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Umožniť osobám, ktoré uzatvorili manželstvo alebo iný riadne osvedčený vzťah v súlade s právnym poriadkom iného štátu zosúladiť si priezvisko prijaté pri uzatvorení manželstva alebo iného riadne osvedčeného vzťahu (napr. registrovaného partnerstva) s priezviskom evidovaným matrikou na Slovensku. Súčasná právna úprava vytvára nežiaduci stav, kedy slovenskí občania, ktorí uzatvorili manželstvo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páry rovnakého pohlavia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 alebo registrované partnerstvo (páry rovnakého aj odlišného pohlavia) majú dve odlišné identity s dvomi odlišnými priezviskami v rôznych krajinách. Jednu v krajine, v ktorej zväzok uzavreli (priezvisko prijaté pri jeho uzatvorení) a druhú na Slovensku (pôvodné priezvisko). Nemožnosť zosúladiť si priezviská je zásahom do práva na súkromie, ktorý nemá legitímne odôvodnenie.  </w:t>
      </w:r>
    </w:p>
    <w:p w:rsidR="00000000" w:rsidDel="00000000" w:rsidP="00000000" w:rsidRDefault="00000000" w:rsidRPr="00000000" w14:paraId="00000009">
      <w:pPr>
        <w:spacing w:line="276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Návrh zákona je v súlade s Ústavou Slovenskej republiky, ústavnými zákonmi a inými zákonmi, medzinárodnými zmluvami a inými medzinárodnými dokumentami, ktorými je Slovenská republika viazaná.</w:t>
      </w:r>
    </w:p>
    <w:p w:rsidR="00000000" w:rsidDel="00000000" w:rsidP="00000000" w:rsidRDefault="00000000" w:rsidRPr="00000000" w14:paraId="0000000A">
      <w:pPr>
        <w:spacing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72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Osobitná časť  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Čl. I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 bodu 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4 ods.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Navrhuje sa zavedenie možnosti určiť pre deti nezosobášených rodičov priezvisko, ktoré bude pozostávať z priezvisk obidvoch rodičov.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 bodu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 6 ods. 3 písm. d)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prípade, ak jeden z manželov, ktorý prijal spoločné priezvisko žiada prijať priezvisko, ktoré používal pred uzavretím manželstva, umožňuje sa, aby poradie priezvisk bolo stanovené v samotnej žiadosti a nebolo predurčené vopred. 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 bodu 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6 ods. 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Nové ustanovenie umožňuje osobám, ktoré uzatvorili manželstvo alebo iný riadne osvedčený vzťah v súlade s právnym poriadkom iného štátu zosúladiť si priezvisko prijaté pri uzatvorení manželstva alebo iného riadne osvedčeného vzťahu (napr. registrovaného partnerstva) s priezviskom evidovaným matrikou na Slovensku.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 bodu 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7 ods. 2 písm. 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Legislatívno-technická úprava v súvislosti so zmenou, ktorá všetkým ženám, bez ohľadu na ich národnosť a potrebuje jej deklarácie, umožňuje požiadať o zápis priezviska bez koncovky slovenského prechyľovania. 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Čl. II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Navrhuje sa umožniť všetkým ženám požiadať o zápis priezviska bez koncovky slovenského prechyľovania, a to bez toho, aby to bolo spojené s ich národnosť a potrebou jej deklarovania.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Čl. III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K bodu 1 až 3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6 ods. 3 písm. b) a d)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Navrhovaná úprava zavádza pre snúbencov možnosť určiť si spoločné priezvisko, ktoré bude pre obidvoch snúbencov totožné v podobe spojenia priezvisk obidvoch snúbencov, a to v poradí, ktoré si určia dohodou. 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 bodu 4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 7 ods. 2 písm. 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Určenie spoločného priezviska zloženého z priezvisk obidvoch snúbencov sa bude vzťahovať aj na určenie priezviska ich detí.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Čl. IV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 ohľadom na predpokladaný priebeh legislatívneho procesu sa navrhuje nadobudnutie účinnosti od 1. septembra 2024.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720" w:hanging="72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ILXBVMrdkVI4ddRkMBlKKiCEqA==">CgMxLjAyCWguMzBqMHpsbDgAciExTUVJUDkta3lhUTJiMmZTMm9xY2dVZllPYkhjR0xVTTU=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