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after="200" w:before="2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4">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Národnej rady Slovenskej republiky č. 245/2008 Z. z. </w:t>
      </w:r>
      <w:r w:rsidDel="00000000" w:rsidR="00000000" w:rsidRPr="00000000">
        <w:rPr>
          <w:rFonts w:ascii="Times New Roman" w:cs="Times New Roman" w:eastAsia="Times New Roman" w:hAnsi="Times New Roman"/>
          <w:sz w:val="24"/>
          <w:szCs w:val="24"/>
          <w:highlight w:val="white"/>
          <w:rtl w:val="0"/>
        </w:rPr>
        <w:t xml:space="preserve">o výchove a vzdelávaní (školský zákon) a o zmene a doplnení niektorých zákonov</w:t>
      </w:r>
      <w:r w:rsidDel="00000000" w:rsidR="00000000" w:rsidRPr="00000000">
        <w:rPr>
          <w:rFonts w:ascii="Times New Roman" w:cs="Times New Roman" w:eastAsia="Times New Roman" w:hAnsi="Times New Roman"/>
          <w:sz w:val="24"/>
          <w:szCs w:val="24"/>
          <w:rtl w:val="0"/>
        </w:rPr>
        <w:t xml:space="preserve"> predkladá na rokovanie Národnej rady Slovenskej republiky poslankyňa Národnej rady Slovenskej republiky Tina Gažovičová.</w:t>
      </w:r>
    </w:p>
    <w:p w:rsidR="00000000" w:rsidDel="00000000" w:rsidP="00000000" w:rsidRDefault="00000000" w:rsidRPr="00000000" w14:paraId="00000005">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vytvoriť podporný mechanizmus, ktorý uľahčí prípravu školy na vzdelávanie dieťaťa so zdravotným znevýhodnením. </w:t>
      </w:r>
    </w:p>
    <w:p w:rsidR="00000000" w:rsidDel="00000000" w:rsidP="00000000" w:rsidRDefault="00000000" w:rsidRPr="00000000" w14:paraId="00000006">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súčasnej právnej úpravy dieťa so zdravotným znevýhodnením (ZZ) má právo byť vzdelávané v spádovej materskej alebo spádovej základnej škole podľa trvalého bydliska. Avšak školy nemajú vždy vytvorené podmienky pre špeciálne výchovno-vzdelávacie potreby dieťaťa so ZZ a v praxi sa stáva, že riaditeľ školy odmietne prijať do školy dieťa so ZZ s odôvodnením, že škola nemá na jeho vzdelávanie vhodné podmienky. Podľa súčasnej právnej úpravy sa zápis do základnej školy uskutočňuje v apríli (</w:t>
      </w:r>
      <w:r w:rsidDel="00000000" w:rsidR="00000000" w:rsidRPr="00000000">
        <w:rPr>
          <w:rFonts w:ascii="Times New Roman" w:cs="Times New Roman" w:eastAsia="Times New Roman" w:hAnsi="Times New Roman"/>
          <w:sz w:val="24"/>
          <w:szCs w:val="24"/>
          <w:highlight w:val="white"/>
          <w:rtl w:val="0"/>
        </w:rPr>
        <w:t xml:space="preserve">§ 20, ods. 2 školského zákona</w:t>
      </w:r>
      <w:r w:rsidDel="00000000" w:rsidR="00000000" w:rsidRPr="00000000">
        <w:rPr>
          <w:rFonts w:ascii="Times New Roman" w:cs="Times New Roman" w:eastAsia="Times New Roman" w:hAnsi="Times New Roman"/>
          <w:sz w:val="24"/>
          <w:szCs w:val="24"/>
          <w:rtl w:val="0"/>
        </w:rPr>
        <w:t xml:space="preserve">), čo predstavuje krátky časový úsek, v ktorom sa príslušná škola môže na vzdelávanie dieťaťa so ZZ pripraviť a to obzvlášť, ak dieťa s podobnou diagnózou dovtedy v škole nevzdelávali.</w:t>
      </w:r>
    </w:p>
    <w:p w:rsidR="00000000" w:rsidDel="00000000" w:rsidP="00000000" w:rsidRDefault="00000000" w:rsidRPr="00000000" w14:paraId="00000007">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reaguje na tieto skúsenosti z praxe a dáva zákonným zástupcom dieťaťa so ZZ nástroj na to, aby so školou o nástupe dieťaťa so ZZ aktívne komunikovali už s časovým predstihom. Tým sa obe strany začnú na nástup dieťaťa do školy pripravovať vopred. Získajú čas sa navzájom spoznať a začnú tvoriť podmienky vzdelávania tak, aby v čase zápisu už obe strany boli na nástup pripravené. </w:t>
      </w:r>
    </w:p>
    <w:p w:rsidR="00000000" w:rsidDel="00000000" w:rsidP="00000000" w:rsidRDefault="00000000" w:rsidRPr="00000000" w14:paraId="00000008">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nálezmi Ústavného súdu Slovenskej republiky, inými všeobecne záväznými právnymi predpismi, medzinárodnými zmluvami, ktorými je Slovenská republika viazaná a súčasne je v súlade s právom Európskej únie.</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nemá vplyvy na rozpočet verejnej správy, vplyvy na podnikateľské prostredie, vplyvy na informatizáciu spoločnosti, vplyvy na životné prostredie a nemá ani vplyvy na služby pre občana. Návrh zákona má pozitívne sociálne vplyvy a vplyvy na manželstvo, rodičovstvo a rodinu.  </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200" w:before="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00" w:before="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00" w:befor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0E">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Čl. I</w:t>
      </w:r>
    </w:p>
    <w:p w:rsidR="00000000" w:rsidDel="00000000" w:rsidP="00000000" w:rsidRDefault="00000000" w:rsidRPr="00000000" w14:paraId="0000000F">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Návrhom sa do školského zákona dopĺňa nový </w:t>
      </w:r>
      <w:r w:rsidDel="00000000" w:rsidR="00000000" w:rsidRPr="00000000">
        <w:rPr>
          <w:rFonts w:ascii="Times New Roman" w:cs="Times New Roman" w:eastAsia="Times New Roman" w:hAnsi="Times New Roman"/>
          <w:sz w:val="24"/>
          <w:szCs w:val="24"/>
          <w:highlight w:val="white"/>
          <w:rtl w:val="0"/>
        </w:rPr>
        <w:t xml:space="preserve">§ 145d, ktorý je zameraný na včasnú spoluprácu medzi zákonnými zástupcami </w:t>
      </w:r>
      <w:r w:rsidDel="00000000" w:rsidR="00000000" w:rsidRPr="00000000">
        <w:rPr>
          <w:rFonts w:ascii="Times New Roman" w:cs="Times New Roman" w:eastAsia="Times New Roman" w:hAnsi="Times New Roman"/>
          <w:sz w:val="24"/>
          <w:szCs w:val="24"/>
          <w:rtl w:val="0"/>
        </w:rPr>
        <w:t xml:space="preserve">dieťaťa so zdravotným znevýhodnením (ZZ) a spádovou materskou alebo spádovou základnou školou podľa trvalého pobytu. </w:t>
      </w:r>
    </w:p>
    <w:p w:rsidR="00000000" w:rsidDel="00000000" w:rsidP="00000000" w:rsidRDefault="00000000" w:rsidRPr="00000000" w14:paraId="00000010">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dáva zákonným zástupcom dieťaťa so zdravotným znevýhodnením možnosť podať spádovej materskej škole alebo spádovej základnej škole ohlásenie o plánovanom nástupe dieťaťa so zdravotným znevýhodnením. Ohlásenie podáva v písomnej podobe, a to listinne alebo elektronicky. Zákonní zástupcovia môžu túto možnosť využiť </w:t>
      </w:r>
      <w:r w:rsidDel="00000000" w:rsidR="00000000" w:rsidRPr="00000000">
        <w:rPr>
          <w:rFonts w:ascii="Times New Roman" w:cs="Times New Roman" w:eastAsia="Times New Roman" w:hAnsi="Times New Roman"/>
          <w:sz w:val="24"/>
          <w:szCs w:val="24"/>
          <w:highlight w:val="white"/>
          <w:rtl w:val="0"/>
        </w:rPr>
        <w:t xml:space="preserve">najskôr </w:t>
      </w:r>
      <w:r w:rsidDel="00000000" w:rsidR="00000000" w:rsidRPr="00000000">
        <w:rPr>
          <w:rFonts w:ascii="Times New Roman" w:cs="Times New Roman" w:eastAsia="Times New Roman" w:hAnsi="Times New Roman"/>
          <w:sz w:val="24"/>
          <w:szCs w:val="24"/>
          <w:rtl w:val="0"/>
        </w:rPr>
        <w:t xml:space="preserve">tri roky pred začiatkom školského roka, v ktorom má dieťa začať plniť povinnú školskú dochádzku, povinné predprimárne vzdelávanie alebo pred plánovaným nástupom dieťaťa do materskej školy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Riaditeľ školy na základe ohlásenia o plánovanom nástupe začne pripravovať nástup dieťaťa so zdravotným znevýhodnením a to v spolupráci so zákonnými zástupcami, pedagogickými a odbornými zamestnancami školy a inými odborníkmi, ktorí s dieťaťom pracujú, napríklad zástupcom zariadenia poradenstva a prevencie, zástupcom poskytovateľa sociálnej služby včasnej intervencie alebo </w:t>
      </w:r>
      <w:r w:rsidDel="00000000" w:rsidR="00000000" w:rsidRPr="00000000">
        <w:rPr>
          <w:rFonts w:ascii="Times New Roman" w:cs="Times New Roman" w:eastAsia="Times New Roman" w:hAnsi="Times New Roman"/>
          <w:sz w:val="24"/>
          <w:szCs w:val="24"/>
          <w:highlight w:val="white"/>
          <w:rtl w:val="0"/>
        </w:rPr>
        <w:t xml:space="preserve">všeobecným lekárom pre deti a dorast alebo lekárom so špecializáciou v príslušnom špecializačnom odbore</w:t>
      </w:r>
      <w:r w:rsidDel="00000000" w:rsidR="00000000" w:rsidRPr="00000000">
        <w:rPr>
          <w:rFonts w:ascii="Times New Roman" w:cs="Times New Roman" w:eastAsia="Times New Roman" w:hAnsi="Times New Roman"/>
          <w:sz w:val="24"/>
          <w:szCs w:val="24"/>
          <w:rtl w:val="0"/>
        </w:rPr>
        <w:t xml:space="preserve">. Príprava nástupu sa zameriava na prípravu podmienok pre výchovu a vzdelávanie dieťaťa s ohľadom na jeho zdravotné znevýhodnenie, jeho </w:t>
      </w:r>
      <w:r w:rsidDel="00000000" w:rsidR="00000000" w:rsidRPr="00000000">
        <w:rPr>
          <w:rFonts w:ascii="Times New Roman" w:cs="Times New Roman" w:eastAsia="Times New Roman" w:hAnsi="Times New Roman"/>
          <w:sz w:val="24"/>
          <w:szCs w:val="24"/>
          <w:highlight w:val="white"/>
          <w:rtl w:val="0"/>
        </w:rPr>
        <w:t xml:space="preserve">výchovno-vzdelávacie potreby a individuálne osobitosti.</w:t>
      </w:r>
    </w:p>
    <w:p w:rsidR="00000000" w:rsidDel="00000000" w:rsidP="00000000" w:rsidRDefault="00000000" w:rsidRPr="00000000" w14:paraId="00000012">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Súčasťou prípravy nástupu môže byť aj včasná príprava na poskytovanie podporných opatrení. Legislatívny návrh tak nadväzuje na reformu podporných opatrení, ktorá bola do školského zákona zavedená v roku 2023. Do školského zákona boli pridané </w:t>
      </w:r>
      <w:r w:rsidDel="00000000" w:rsidR="00000000" w:rsidRPr="00000000">
        <w:rPr>
          <w:rFonts w:ascii="Times New Roman" w:cs="Times New Roman" w:eastAsia="Times New Roman" w:hAnsi="Times New Roman"/>
          <w:sz w:val="24"/>
          <w:szCs w:val="24"/>
          <w:highlight w:val="white"/>
          <w:rtl w:val="0"/>
        </w:rPr>
        <w:t xml:space="preserve">§145a a §145b, ktoré upresnili, čo sú podporné opatrenia a ako sa postupuje pri ich predpisovaní. Zároveň bol do zákona č. 597/2003 Z. z. o financovaní základných škôl, stredných škôl a školských zariadení doplnený nový príspevok na podporné opatrenia. </w:t>
      </w:r>
    </w:p>
    <w:p w:rsidR="00000000" w:rsidDel="00000000" w:rsidP="00000000" w:rsidRDefault="00000000" w:rsidRPr="00000000" w14:paraId="00000014">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Predkladaná legislatívna iniciatíva </w:t>
      </w:r>
      <w:r w:rsidDel="00000000" w:rsidR="00000000" w:rsidRPr="00000000">
        <w:rPr>
          <w:rFonts w:ascii="Times New Roman" w:cs="Times New Roman" w:eastAsia="Times New Roman" w:hAnsi="Times New Roman"/>
          <w:sz w:val="24"/>
          <w:szCs w:val="24"/>
          <w:rtl w:val="0"/>
        </w:rPr>
        <w:t xml:space="preserve">v tomto smere rozširuje časové pôsobenie systému podporných opatrení. Umožňuje, aby zákonní zástupcovia spádovej škole už pred nástupom predložili vyjadrenie na poskytnutie podporného opatrenia na základe ktorého bude môcť škola podať žiadosť o príspevok na podporné opatrenie aj v čase, keď dieťa ešte nie je v škole zapísané. Tento postup je dôležitý pri časovo náročnejších podporných opatreniach, napríklad pri </w:t>
      </w:r>
      <w:r w:rsidDel="00000000" w:rsidR="00000000" w:rsidRPr="00000000">
        <w:rPr>
          <w:rFonts w:ascii="Times New Roman" w:cs="Times New Roman" w:eastAsia="Times New Roman" w:hAnsi="Times New Roman"/>
          <w:sz w:val="24"/>
          <w:szCs w:val="24"/>
          <w:highlight w:val="white"/>
          <w:rtl w:val="0"/>
        </w:rPr>
        <w:t xml:space="preserve">odstraňovaní fyzických bariér v priestoroch školy </w:t>
      </w:r>
      <w:r w:rsidDel="00000000" w:rsidR="00000000" w:rsidRPr="00000000">
        <w:rPr>
          <w:rFonts w:ascii="Times New Roman" w:cs="Times New Roman" w:eastAsia="Times New Roman" w:hAnsi="Times New Roman"/>
          <w:sz w:val="24"/>
          <w:szCs w:val="24"/>
          <w:rtl w:val="0"/>
        </w:rPr>
        <w:t xml:space="preserve">(podporné opatrenie podľa </w:t>
      </w:r>
      <w:r w:rsidDel="00000000" w:rsidR="00000000" w:rsidRPr="00000000">
        <w:rPr>
          <w:rFonts w:ascii="Times New Roman" w:cs="Times New Roman" w:eastAsia="Times New Roman" w:hAnsi="Times New Roman"/>
          <w:sz w:val="24"/>
          <w:szCs w:val="24"/>
          <w:highlight w:val="white"/>
          <w:rtl w:val="0"/>
        </w:rPr>
        <w:t xml:space="preserve">§ 145a, ods. 2, písm. 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Súčasťou ohlásenia o plánovanom nástupe je čestné vyhlásenie zákonného zástupcu, že má úmysel zapísať dieťa do spádovej školy. </w:t>
      </w:r>
      <w:r w:rsidDel="00000000" w:rsidR="00000000" w:rsidRPr="00000000">
        <w:rPr>
          <w:rFonts w:ascii="Times New Roman" w:cs="Times New Roman" w:eastAsia="Times New Roman" w:hAnsi="Times New Roman"/>
          <w:sz w:val="24"/>
          <w:szCs w:val="24"/>
          <w:highlight w:val="white"/>
          <w:rtl w:val="0"/>
        </w:rPr>
        <w:t xml:space="preserve">Ak sa zmení trvalý pobyt dieťaťa alebo iná relevantná skutočnosť, pričom zákonný zástupca dieťaťa je povinný školu o tejto zmene bezodkladne informovať. Cieľom týchto ustanovení je zabezpečiť, že sa nástup dieťaťa bude pripravovať iba v tých prípadoch, kedy je skutočne plánovaný. </w:t>
      </w:r>
    </w:p>
    <w:p w:rsidR="00000000" w:rsidDel="00000000" w:rsidP="00000000" w:rsidRDefault="00000000" w:rsidRPr="00000000" w14:paraId="00000016">
      <w:pPr>
        <w:spacing w:after="200" w:before="20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Čl. II</w:t>
      </w:r>
    </w:p>
    <w:p w:rsidR="00000000" w:rsidDel="00000000" w:rsidP="00000000" w:rsidRDefault="00000000" w:rsidRPr="00000000" w14:paraId="00000018">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účinnosť zákona k 1. septembru 2024, t.j. od nasledujúceho školského roka.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00"/>
      <w:outlineLvl w:val="0"/>
    </w:pPr>
    <w:rPr>
      <w:sz w:val="40"/>
      <w:szCs w:val="40"/>
    </w:rPr>
  </w:style>
  <w:style w:type="paragraph" w:styleId="Nadpis2">
    <w:name w:val="heading 2"/>
    <w:basedOn w:val="Normlny"/>
    <w:next w:val="Normlny"/>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y"/>
    <w:next w:val="Normlny"/>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y"/>
    <w:next w:val="Normlny"/>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y"/>
    <w:next w:val="Normlny"/>
    <w:uiPriority w:val="9"/>
    <w:semiHidden w:val="1"/>
    <w:unhideWhenUsed w:val="1"/>
    <w:qFormat w:val="1"/>
    <w:pPr>
      <w:keepNext w:val="1"/>
      <w:keepLines w:val="1"/>
      <w:spacing w:after="80" w:before="240"/>
      <w:outlineLvl w:val="4"/>
    </w:pPr>
    <w:rPr>
      <w:color w:val="666666"/>
    </w:rPr>
  </w:style>
  <w:style w:type="paragraph" w:styleId="Nadpis6">
    <w:name w:val="heading 6"/>
    <w:basedOn w:val="Normlny"/>
    <w:next w:val="Normlny"/>
    <w:uiPriority w:val="9"/>
    <w:semiHidden w:val="1"/>
    <w:unhideWhenUsed w:val="1"/>
    <w:qFormat w:val="1"/>
    <w:pPr>
      <w:keepNext w:val="1"/>
      <w:keepLines w:val="1"/>
      <w:spacing w:after="80" w:before="240"/>
      <w:outlineLvl w:val="5"/>
    </w:pPr>
    <w:rPr>
      <w:i w:val="1"/>
      <w:color w:val="666666"/>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60"/>
    </w:pPr>
    <w:rPr>
      <w:sz w:val="52"/>
      <w:szCs w:val="52"/>
    </w:rPr>
  </w:style>
  <w:style w:type="paragraph" w:styleId="Podtitul">
    <w:name w:val="Subtitle"/>
    <w:basedOn w:val="Normlny"/>
    <w:next w:val="Normlny"/>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3N3A9/egcxtE1TswzjyMtqmQ==">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2024-03-24T21:07:00Z</dcterms:created>
</cp:coreProperties>
</file>