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69D7" w:rsidRDefault="00E37544">
      <w:pP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Dôvodová správa</w:t>
      </w:r>
    </w:p>
    <w:p w14:paraId="00000002" w14:textId="77777777" w:rsidR="008B69D7" w:rsidRDefault="008B69D7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7777777" w:rsidR="008B69D7" w:rsidRDefault="00E375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Všeobecná časť</w:t>
      </w:r>
    </w:p>
    <w:p w14:paraId="00000004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Návrh zákona o zmene a doplnení zákona č. 300/2005 Z. z. Trestný zákon v znení neskorších predpisov (ďalej iba „</w:t>
      </w:r>
      <w:r>
        <w:rPr>
          <w:rFonts w:ascii="Times New Roman" w:eastAsia="Times New Roman" w:hAnsi="Times New Roman" w:cs="Times New Roman"/>
        </w:rPr>
        <w:t>Trestný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zákon</w:t>
      </w:r>
      <w:r>
        <w:rPr>
          <w:rFonts w:ascii="Times New Roman" w:eastAsia="Times New Roman" w:hAnsi="Times New Roman" w:cs="Times New Roman"/>
          <w:color w:val="000000"/>
        </w:rPr>
        <w:t xml:space="preserve">“) </w:t>
      </w:r>
      <w:r>
        <w:rPr>
          <w:rFonts w:ascii="Times New Roman" w:eastAsia="Times New Roman" w:hAnsi="Times New Roman" w:cs="Times New Roman"/>
        </w:rPr>
        <w:t>predkladajú</w:t>
      </w:r>
      <w:r>
        <w:rPr>
          <w:rFonts w:ascii="Times New Roman" w:eastAsia="Times New Roman" w:hAnsi="Times New Roman" w:cs="Times New Roman"/>
          <w:color w:val="000000"/>
        </w:rPr>
        <w:t xml:space="preserve"> poslanky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color w:val="000000"/>
        </w:rPr>
        <w:t xml:space="preserve"> Národnej rady Slovenskej republiky Beáta Jurík</w:t>
      </w:r>
      <w:r>
        <w:rPr>
          <w:rFonts w:ascii="Times New Roman" w:eastAsia="Times New Roman" w:hAnsi="Times New Roman" w:cs="Times New Roman"/>
        </w:rPr>
        <w:t xml:space="preserve">, Lucia Plaváková, Zuzana </w:t>
      </w:r>
      <w:proofErr w:type="spellStart"/>
      <w:r>
        <w:rPr>
          <w:rFonts w:ascii="Times New Roman" w:eastAsia="Times New Roman" w:hAnsi="Times New Roman" w:cs="Times New Roman"/>
        </w:rPr>
        <w:t>Števulová</w:t>
      </w:r>
      <w:proofErr w:type="spellEnd"/>
      <w:r>
        <w:rPr>
          <w:rFonts w:ascii="Times New Roman" w:eastAsia="Times New Roman" w:hAnsi="Times New Roman" w:cs="Times New Roman"/>
        </w:rPr>
        <w:t xml:space="preserve"> a Simona Petrík. </w:t>
      </w:r>
    </w:p>
    <w:p w14:paraId="00000006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Cieľom navrhovanej úpravy je zabezpečiť právny rámec, ktorý efektívne ochráni osoby pred rôznymi formami rodovo-podmieneného násilia, vrátane kybernetického a dopomôže vytvoriť bezpečné prostredie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offl</w:t>
      </w:r>
      <w:r>
        <w:rPr>
          <w:rFonts w:ascii="Times New Roman" w:eastAsia="Times New Roman" w:hAnsi="Times New Roman" w:cs="Times New Roman"/>
          <w:color w:val="000000"/>
        </w:rPr>
        <w:t>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aj online. Návrh okrem novej skutkovej podstaty sexuálneho obťažovania zahŕňa aj formy kybernetického násilia, ktorým dnes osoby, najmä no nie výlučne ženy čelia čoraz častejšie, ako je napríklad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mobbing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krádež identity, ponižovanie či nežiadúce zdieľ</w:t>
      </w:r>
      <w:r>
        <w:rPr>
          <w:rFonts w:ascii="Times New Roman" w:eastAsia="Times New Roman" w:hAnsi="Times New Roman" w:cs="Times New Roman"/>
          <w:color w:val="000000"/>
        </w:rPr>
        <w:t xml:space="preserve">anie intímnych fotografií alebo videí bez súhlasu. </w:t>
      </w:r>
      <w:r>
        <w:rPr>
          <w:rFonts w:ascii="Times New Roman" w:eastAsia="Times New Roman" w:hAnsi="Times New Roman" w:cs="Times New Roman"/>
        </w:rPr>
        <w:t>Zároveň sa navrhuje doplnenie osobitného motívu z nenávisti, skutkovej podstaty trestného činu hanobenie národa, rasy a presvedčenia a podnecovania k národnostnej, rasovej a etnickej nenávisti tak, že sa r</w:t>
      </w:r>
      <w:r>
        <w:rPr>
          <w:rFonts w:ascii="Times New Roman" w:eastAsia="Times New Roman" w:hAnsi="Times New Roman" w:cs="Times New Roman"/>
        </w:rPr>
        <w:t xml:space="preserve">ozširuje príslušnosť k určitej skupine obyvateľstva o “sexuálnu orientáciu”, „pohlavie“ a “rodovú identitu”. </w:t>
      </w:r>
    </w:p>
    <w:p w14:paraId="00000008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Rodovo-podmienené násilie je nielen hrubým porušením základných ľudských práv osôb, ktoré ho zažívajú, ale aj rastúcim celosvetovým problémom s v</w:t>
      </w:r>
      <w:r>
        <w:rPr>
          <w:rFonts w:ascii="Times New Roman" w:eastAsia="Times New Roman" w:hAnsi="Times New Roman" w:cs="Times New Roman"/>
          <w:color w:val="000000"/>
        </w:rPr>
        <w:t xml:space="preserve">ýznamnými hospodárskymi a sociálnymi dôsledkami a aj preto je potrebné, aby naň štát dostatočne a efektívne odpovedal.  </w:t>
      </w:r>
    </w:p>
    <w:p w14:paraId="0000000A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Online komunikácia a prítomnosť dominantných online platforiem tiež zohrala významnú úlohu pri intenzívnejšom používaní internetu a so</w:t>
      </w:r>
      <w:r>
        <w:rPr>
          <w:rFonts w:ascii="Times New Roman" w:eastAsia="Times New Roman" w:hAnsi="Times New Roman" w:cs="Times New Roman"/>
          <w:color w:val="000000"/>
        </w:rPr>
        <w:t>ciálnych médií a viedla v posledných rokoch k výraznému nárastu verejného podnecovania k násiliu a nenávisti, a to aj na základe pohlavia, rodu alebo rodovej identity. Jednoduché, rýchle a rozsiahle šírenie nenávistných prejavov prostredníctvom digitálneho</w:t>
      </w:r>
      <w:r>
        <w:rPr>
          <w:rFonts w:ascii="Times New Roman" w:eastAsia="Times New Roman" w:hAnsi="Times New Roman" w:cs="Times New Roman"/>
          <w:color w:val="000000"/>
        </w:rPr>
        <w:t xml:space="preserve"> slova je posilnené efektom straty zábran na internete, pretože predpokladaná anonymita na internete a pocit beztrestnosti znižujú zábranu ľudí šíriť takéto nenávistné prejavy. </w:t>
      </w:r>
    </w:p>
    <w:p w14:paraId="0000000C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8B69D7" w:rsidRDefault="00E37544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Sexuálne obťažovanie </w:t>
      </w:r>
    </w:p>
    <w:p w14:paraId="0000000F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0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Sexuálne obťažovanie je tiež súčasťou rodovo-podmiene</w:t>
      </w:r>
      <w:r>
        <w:rPr>
          <w:rFonts w:ascii="Times New Roman" w:eastAsia="Times New Roman" w:hAnsi="Times New Roman" w:cs="Times New Roman"/>
          <w:color w:val="000000"/>
        </w:rPr>
        <w:t>ného násilia. Náš antidiskriminačný zákon z roku 2004 definuje v § 2a ods. 4 a 5 sexuálne obťažovanie ako formu diskriminácie. Z tejto definície vychádza aj predkladateľkami navrhovaná skutková podstata. Popri už existujúcich civilných sankciách (upustenie</w:t>
      </w:r>
      <w:r>
        <w:rPr>
          <w:rFonts w:ascii="Times New Roman" w:eastAsia="Times New Roman" w:hAnsi="Times New Roman" w:cs="Times New Roman"/>
          <w:color w:val="000000"/>
        </w:rPr>
        <w:t xml:space="preserve"> od konania, ospravedlnenie, náhrada nemajetkovej ujmy) je však potrebná aj trestnoprávna úprava sankcii. </w:t>
      </w:r>
    </w:p>
    <w:p w14:paraId="00000011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výskumov vyplýva, že sú to najmä ženy, ktoré vo väčšej miere zažívajú sexuálne obťažovanie. Avšak obeťou sexuálneho obťažovania môže byť aj akákoľ</w:t>
      </w:r>
      <w:r>
        <w:rPr>
          <w:rFonts w:ascii="Times New Roman" w:eastAsia="Times New Roman" w:hAnsi="Times New Roman" w:cs="Times New Roman"/>
          <w:color w:val="000000"/>
        </w:rPr>
        <w:t>vek iná osoba – vrátane mužov. Podľa celoeurópskeho prieskumu Agentúry pre základné práva FRA z roku 2014, ktorý sa venoval násiliu na ženách, zažilo na Slovensku sexuálne obťažovanie až 49% žien a dievčat vo veku od 15 rokov počas svojho života, zatiaľ čo</w:t>
      </w:r>
      <w:r>
        <w:rPr>
          <w:rFonts w:ascii="Times New Roman" w:eastAsia="Times New Roman" w:hAnsi="Times New Roman" w:cs="Times New Roman"/>
          <w:color w:val="000000"/>
        </w:rPr>
        <w:t xml:space="preserve"> za posledných 12 mesiacov to bolo 29%. Šesť najzávažnejších foriem sexuálneho obťažovania zažilo 40% žien a dievčat. </w:t>
      </w:r>
    </w:p>
    <w:p w14:paraId="00000013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Najnovší prieskum sexuálneho obťažovania zrealizovaný Inštitútom pre výskum práce a rodiny v rámci národného projektu Prevencia a elimin</w:t>
      </w:r>
      <w:r>
        <w:rPr>
          <w:rFonts w:ascii="Times New Roman" w:eastAsia="Times New Roman" w:hAnsi="Times New Roman" w:cs="Times New Roman"/>
          <w:color w:val="000000"/>
        </w:rPr>
        <w:t xml:space="preserve">ácia rodovej diskriminácie tiež potvrdil, že so sexuálnym zneužívaním sa stretla viac ako polovica (54%) slovenskej populácie a viac ako dve </w:t>
      </w:r>
      <w:r>
        <w:rPr>
          <w:rFonts w:ascii="Times New Roman" w:eastAsia="Times New Roman" w:hAnsi="Times New Roman" w:cs="Times New Roman"/>
          <w:color w:val="000000"/>
        </w:rPr>
        <w:lastRenderedPageBreak/>
        <w:t>tretiny žien, najmä mladších ako 34 rokov. Z prieskumu vyplynulo, že fyzického neželaného sexuálneho správania, ako</w:t>
      </w:r>
      <w:r>
        <w:rPr>
          <w:rFonts w:ascii="Times New Roman" w:eastAsia="Times New Roman" w:hAnsi="Times New Roman" w:cs="Times New Roman"/>
          <w:color w:val="000000"/>
        </w:rPr>
        <w:t xml:space="preserve"> aj sexuálneho nátlaku sa podľa respondentov dopúšťajú blízki ľudia, ako aj cudzí ľudia, pričom všetky typy sexuálneho obťažovania zažilo až šesť percent populácie. </w:t>
      </w:r>
    </w:p>
    <w:p w14:paraId="00000015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Prieskum taktiež ukázal, že len štvrtina obetí sexuálneho zneužívania sa so svojou skúsen</w:t>
      </w:r>
      <w:r>
        <w:rPr>
          <w:rFonts w:ascii="Times New Roman" w:eastAsia="Times New Roman" w:hAnsi="Times New Roman" w:cs="Times New Roman"/>
          <w:color w:val="000000"/>
        </w:rPr>
        <w:t>osťou niekomu zdôverila, najčastejšie blízkej osobe. Hlavnými faktormi nenahlasovania sú</w:t>
      </w:r>
      <w:r>
        <w:rPr>
          <w:rFonts w:ascii="Times New Roman" w:eastAsia="Times New Roman" w:hAnsi="Times New Roman" w:cs="Times New Roman"/>
        </w:rPr>
        <w:t xml:space="preserve"> - podobne </w:t>
      </w:r>
      <w:r>
        <w:rPr>
          <w:rFonts w:ascii="Times New Roman" w:eastAsia="Times New Roman" w:hAnsi="Times New Roman" w:cs="Times New Roman"/>
          <w:color w:val="000000"/>
        </w:rPr>
        <w:t>ako v iných prípadoch rodovo-podmieneného násilia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color w:val="000000"/>
        </w:rPr>
        <w:t>nedôvera, pocit hanby, stigma, ale aj nedostatočná právna odpoveď - netrestanie a zľahčovanie obťažovania</w:t>
      </w:r>
      <w:r>
        <w:rPr>
          <w:rFonts w:ascii="Times New Roman" w:eastAsia="Times New Roman" w:hAnsi="Times New Roman" w:cs="Times New Roman"/>
          <w:color w:val="000000"/>
        </w:rPr>
        <w:t xml:space="preserve"> v spoločnosti. Aj preto viac než 94 percent respondentov a respondentiek uviedlo, že by mala existovať zákonná možnosť postihovať sexuálne obťažovanie na verejnosti aj vzhľadom na veľký počet incidentov.</w:t>
      </w:r>
    </w:p>
    <w:p w14:paraId="00000017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Takáto úprava je odporúčaná Istanbulským dohovorom a jej efektivitu tiež potvrdzuje aj dobrá prax z iných  štátov EÚ. Sexuálne obťažovanie je závažným zásahom do ľudskej dôstojnosti a bez adekvátnej odpovede môže vyústiť do závažnejšej formy trestného činu</w:t>
      </w:r>
      <w:r>
        <w:rPr>
          <w:rFonts w:ascii="Times New Roman" w:eastAsia="Times New Roman" w:hAnsi="Times New Roman" w:cs="Times New Roman"/>
          <w:color w:val="000000"/>
        </w:rPr>
        <w:t xml:space="preserve"> - a dôjsť napr. k znásilnenie. </w:t>
      </w:r>
    </w:p>
    <w:p w14:paraId="00000019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Predkladateľky považujú za nutné pripomenúť, že v minulosti už bolo do trestného zákona zaradené trestnoprávne sankcionovanie diskriminácie  - a to  diskriminácie skupiny osôb ako skutkovej podstaty trestného činu. V nepos</w:t>
      </w:r>
      <w:r>
        <w:rPr>
          <w:rFonts w:ascii="Times New Roman" w:eastAsia="Times New Roman" w:hAnsi="Times New Roman" w:cs="Times New Roman"/>
          <w:color w:val="000000"/>
        </w:rPr>
        <w:t>lednom rade naše trestné právo momentálne nedisponuje prostriedkom, ktorý by nielen trestal takéto neprijateľné správanie, ale slúžil aj preventívne.</w:t>
      </w:r>
    </w:p>
    <w:p w14:paraId="0000001B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C" w14:textId="77777777" w:rsidR="008B69D7" w:rsidRDefault="00E37544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Kybernetické násilie </w:t>
      </w:r>
    </w:p>
    <w:p w14:paraId="0000001D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E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výskumov vyplýva, že každá tretia žena zažije vo svojom živote nejakú formu nási</w:t>
      </w:r>
      <w:r>
        <w:rPr>
          <w:rFonts w:ascii="Times New Roman" w:eastAsia="Times New Roman" w:hAnsi="Times New Roman" w:cs="Times New Roman"/>
          <w:color w:val="000000"/>
        </w:rPr>
        <w:t>lia a napriek pomerne novému rastúcemu javu internetového prepojenia sa odhaduje, že každá desiata žena vo veku nad 15 rokov už zažila nejakú formu kybernetického násilia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</w:rPr>
        <w:t>. Prístup k internetu sa rýchlo stáva nevyhnutnosťou hospodárskeho blahobytu a dokonc</w:t>
      </w:r>
      <w:r>
        <w:rPr>
          <w:rFonts w:ascii="Times New Roman" w:eastAsia="Times New Roman" w:hAnsi="Times New Roman" w:cs="Times New Roman"/>
          <w:color w:val="000000"/>
        </w:rPr>
        <w:t>a sa čoraz viac považuje za základné ľudské právo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</w:rPr>
        <w:t>. Je preto mimoriadne dôležité zabezpečiť, aby bol tento online priestor bezpečným pre všetky osoby, vrátane žien a dievčat.</w:t>
      </w:r>
    </w:p>
    <w:p w14:paraId="0000001F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0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 tiež  potrebné pripomenúť, že kybernetické násilie sa riadi rovnakými mocenskými vzorcami a spôsobmi konania 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násilie – je však uľahčené technológiami a často sprevádza aj iné formy násilia. Aj preto údaje z prieskumu agentúry FRA ukazujú, že</w:t>
      </w:r>
      <w:r>
        <w:rPr>
          <w:rFonts w:ascii="Times New Roman" w:eastAsia="Times New Roman" w:hAnsi="Times New Roman" w:cs="Times New Roman"/>
          <w:color w:val="000000"/>
        </w:rPr>
        <w:t xml:space="preserve"> 77 % žien, ktoré zažili kybernetické obťažovanie, sa stretlo aj s minimálne jednou formou sexuálneho a/alebo fyzického násilia zo strany intímneho partnera a 7 z 10 žien, ktoré zažili kybernetické sledovanie, sa stretlo aj s minimálne jednou formou fyzick</w:t>
      </w:r>
      <w:r>
        <w:rPr>
          <w:rFonts w:ascii="Times New Roman" w:eastAsia="Times New Roman" w:hAnsi="Times New Roman" w:cs="Times New Roman"/>
          <w:color w:val="000000"/>
        </w:rPr>
        <w:t>ého a/alebo sexuálneho násilia zo strany intímneho partnera. 11 % žien dostalo nevyžiadané, urážlivé sexuálne ladené e-maily alebo SMS správy alebo nevhodné, urážlivé návrhy na sociálnych sieťach, 5 % žien v EÚ sa stretlo s jednou alebo viacerými formami k</w:t>
      </w:r>
      <w:r>
        <w:rPr>
          <w:rFonts w:ascii="Times New Roman" w:eastAsia="Times New Roman" w:hAnsi="Times New Roman" w:cs="Times New Roman"/>
          <w:color w:val="000000"/>
        </w:rPr>
        <w:t>ybernetického prenasledovania od veku 15 rokov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21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2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 výskumov tiež vieme, že ženy sú, podobne ako pri iných formách rodovo-podmieneného násilia, obeťami kybernetického násilia neúmerne viac ako muži. Napríklad podľa prieskumu vyše 9 000 nemeckých používate</w:t>
      </w:r>
      <w:r>
        <w:rPr>
          <w:rFonts w:ascii="Times New Roman" w:eastAsia="Times New Roman" w:hAnsi="Times New Roman" w:cs="Times New Roman"/>
          <w:color w:val="000000"/>
        </w:rPr>
        <w:t xml:space="preserve">ľov internetu vo veku od 10 do 50 rokov obeťami online sexuálneho obťažovania a kybernetického prenasledovania boli s výrazne vyššou pravdepodobnosťou ženy než muži a vplyv týchto foriem násilia bol pre obete traumatizujúcejší. Toto potvrdzuje aj fakt, že </w:t>
      </w:r>
      <w:r>
        <w:rPr>
          <w:rFonts w:ascii="Times New Roman" w:eastAsia="Times New Roman" w:hAnsi="Times New Roman" w:cs="Times New Roman"/>
          <w:color w:val="000000"/>
        </w:rPr>
        <w:t>hoci sa muži pravdepodobne o niečo viac stretávajú „miernejšími“ formami online obťažovania (napr. urážky a ponižovanie), ženy, najmä mladé ženy vo veku 18 až 24 rokov, sa neúmerne stretávajú so závažnými druhmi ako kybernetické prenasledovanie a online se</w:t>
      </w:r>
      <w:r>
        <w:rPr>
          <w:rFonts w:ascii="Times New Roman" w:eastAsia="Times New Roman" w:hAnsi="Times New Roman" w:cs="Times New Roman"/>
          <w:color w:val="000000"/>
        </w:rPr>
        <w:t>xuálnym obťažovaním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23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4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Kybernetické násilie môže mať rôzne formy, ktoré majú rôzny vplyv na obete tohto násilia a neprimeraným spôsobom môžu zasahovať do jej súkromného či pracovného života: môže sa jednať o kybernetické prenasledovanie, nedobrovoľnú porno</w:t>
      </w:r>
      <w:r>
        <w:rPr>
          <w:rFonts w:ascii="Times New Roman" w:eastAsia="Times New Roman" w:hAnsi="Times New Roman" w:cs="Times New Roman"/>
          <w:color w:val="000000"/>
        </w:rPr>
        <w:t>grafiu („porno z pomsty“), rodovo motivované urážky a obťažovanie či podnecovanie k nenávisti, odsudzovanie za prejav sexuality („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slut-shaming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“), nevyžiadanú pornografiu (posielanie nevhodných správ, materiálov), online sexuálne vydieranie („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sextortion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“), </w:t>
      </w:r>
      <w:r>
        <w:rPr>
          <w:rFonts w:ascii="Times New Roman" w:eastAsia="Times New Roman" w:hAnsi="Times New Roman" w:cs="Times New Roman"/>
          <w:color w:val="000000"/>
        </w:rPr>
        <w:t>vyhrážanie sa, zverejňovanie osobných údajov („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doxing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“) a ďalšie. </w:t>
      </w:r>
    </w:p>
    <w:p w14:paraId="00000025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Kybernetické prenasledovanie aj obťažovanie sú často kombinované s inými formami „tradičného“ alebo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prenasledovania a obťažovania a môžu vyústiť aj do napadnutia či znásilnenia a v</w:t>
      </w:r>
      <w:r>
        <w:rPr>
          <w:rFonts w:ascii="Times New Roman" w:eastAsia="Times New Roman" w:hAnsi="Times New Roman" w:cs="Times New Roman"/>
          <w:color w:val="000000"/>
        </w:rPr>
        <w:t xml:space="preserve"> najhorších prípadoch aj vraždy. Aj preto je nutné upraviť právny rámec tak, aby pôsobil prevenčne a zároveň aby poskytol dostatočnú ochranu osobám, ktoré túto formu násilia už zažívajú. </w:t>
      </w:r>
    </w:p>
    <w:p w14:paraId="00000027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8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Kybernetické obťažovanie možno definovať ako ohrozujúce správanie, </w:t>
      </w:r>
      <w:r>
        <w:rPr>
          <w:rFonts w:ascii="Times New Roman" w:eastAsia="Times New Roman" w:hAnsi="Times New Roman" w:cs="Times New Roman"/>
          <w:color w:val="000000"/>
        </w:rPr>
        <w:t xml:space="preserve">ktoré sa prejavuje napr. nežiaducimi návrhmi namierenými na inú osobu prostredníctvom foriem online komunikácie, nevyžiadanými, výhražnými alebo obscénnymi správami a emailmi so sexuálnym obsahom, útokmi na sociálnych sieťach,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spamovaním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(kde páchateľ posi</w:t>
      </w:r>
      <w:r>
        <w:rPr>
          <w:rFonts w:ascii="Times New Roman" w:eastAsia="Times New Roman" w:hAnsi="Times New Roman" w:cs="Times New Roman"/>
          <w:color w:val="000000"/>
        </w:rPr>
        <w:t>ela obeti väčší počet nevyžiadaných správ), vyhrážaním sa fyzickým a/alebo sexuálnym obťažovaním alebo ďalšími formami fyzického násilia alebo nenávistnými prejavmi.</w:t>
      </w:r>
    </w:p>
    <w:p w14:paraId="00000029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Tzv. „nedobrovoľná pornografia“, známa aj ako „porno z pomsty“ je toxickým a nebezpečným </w:t>
      </w:r>
      <w:r>
        <w:rPr>
          <w:rFonts w:ascii="Times New Roman" w:eastAsia="Times New Roman" w:hAnsi="Times New Roman" w:cs="Times New Roman"/>
          <w:color w:val="000000"/>
        </w:rPr>
        <w:t xml:space="preserve">javom, ktorý pozostáva z online šírenie fotografií alebo videí zobrazujúcich sexuálny styk bez súhlasu osoby. Páchateľ je často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expartner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ktorý snímky alebo videá získa počas predchádzajúceho vzťahu a následne sa po ukončení vzťahu snaží obeť verejne potu</w:t>
      </w:r>
      <w:r>
        <w:rPr>
          <w:rFonts w:ascii="Times New Roman" w:eastAsia="Times New Roman" w:hAnsi="Times New Roman" w:cs="Times New Roman"/>
          <w:color w:val="000000"/>
        </w:rPr>
        <w:t xml:space="preserve">piť a ponížiť ako odplatu. Páchatelia však nemusia byť nevyhnutne partneri alebo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expartneri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motívom nie je vždy pomsta. Snímky môžu byť získané aj preniknutím do počítača, účtov v sociálnych médiách alebo do telefónu obete a môžu byť zamerané na spôsoben</w:t>
      </w:r>
      <w:r>
        <w:rPr>
          <w:rFonts w:ascii="Times New Roman" w:eastAsia="Times New Roman" w:hAnsi="Times New Roman" w:cs="Times New Roman"/>
          <w:color w:val="000000"/>
        </w:rPr>
        <w:t xml:space="preserve">ie škody danej osobe v reálnom živote (napr. dosiahnutie jej vyhodenia z práce). </w:t>
      </w:r>
    </w:p>
    <w:p w14:paraId="0000002B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Prípady virtuálneho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mobbingu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teda využívanie sociálnych sietí na komentovanie názorov inej osoby, pričom s ňou vo väčšine vulgárnym spôsobom páchatelia nesúhlasia sa zvyšuj</w:t>
      </w:r>
      <w:r>
        <w:rPr>
          <w:rFonts w:ascii="Times New Roman" w:eastAsia="Times New Roman" w:hAnsi="Times New Roman" w:cs="Times New Roman"/>
          <w:color w:val="000000"/>
        </w:rPr>
        <w:t xml:space="preserve">ú úmerne s pomyslenou polarizáciou spoločnosti. Dôvodom môže byť aj pocit bezpečia, ktorý je umocnený možnosťou skrývať svoju pravú identitu za falošné internetové profily, čo sa premieta hlavne v diskusiách na sociálnych sieťach. </w:t>
      </w:r>
    </w:p>
    <w:p w14:paraId="0000002D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Slovenské národné stred</w:t>
      </w:r>
      <w:r>
        <w:rPr>
          <w:rFonts w:ascii="Times New Roman" w:eastAsia="Times New Roman" w:hAnsi="Times New Roman" w:cs="Times New Roman"/>
        </w:rPr>
        <w:t>isko pre ľudské práva (SNSĽP) v dokumente “Individuálne podanie Slovenského národného strediska pre ľudské práva k štvrtému preskúmavaniu Slovenskej republiky v rámci Univerzálneho periodického hodnotenia v Rade OSN pre ľudské práva” z októbra 2023 uvádza,</w:t>
      </w:r>
      <w:r>
        <w:rPr>
          <w:rFonts w:ascii="Times New Roman" w:eastAsia="Times New Roman" w:hAnsi="Times New Roman" w:cs="Times New Roman"/>
        </w:rPr>
        <w:t xml:space="preserve"> že v r. 2022 a 2023 vykonalo prieskumy týkajúce sa špecificky bezpečnosti obrankýň ľudských práv venujúcich sa reprodukčným právam a LGBTI+ právam, pričom zo strany obhajkýň a obhajcov týchto práv boli reportované: obťažovanie, online vyhrážanie, organizo</w:t>
      </w:r>
      <w:r>
        <w:rPr>
          <w:rFonts w:ascii="Times New Roman" w:eastAsia="Times New Roman" w:hAnsi="Times New Roman" w:cs="Times New Roman"/>
        </w:rPr>
        <w:t>vané zosmiešňujúce kampane a nenávistná rétorika (vrátane zo strany vrcholových politikov, cirkevných alebo verejných autorít), ktoré často zahŕňali útoky na ich skutočnú alebo domnelú identitu. SNSĽP odporúča zlepšiť bezpečnosť novinárov a ochrancov ľudsk</w:t>
      </w:r>
      <w:r>
        <w:rPr>
          <w:rFonts w:ascii="Times New Roman" w:eastAsia="Times New Roman" w:hAnsi="Times New Roman" w:cs="Times New Roman"/>
        </w:rPr>
        <w:t>ých práv aj prostredníctvom zavedenia právnych garancií ich ochrany</w:t>
      </w:r>
      <w:r>
        <w:rPr>
          <w:rFonts w:ascii="Times New Roman" w:eastAsia="Times New Roman" w:hAnsi="Times New Roman" w:cs="Times New Roman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2F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0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 zmene právnej úpravy, ktorá reflektuje závažnosť kybernetického násilia nás nabáda aj nedávno schválená Smernica Európskeho parlamentu a Rady o boji proti násiliu na ženách a domácem</w:t>
      </w:r>
      <w:r>
        <w:rPr>
          <w:rFonts w:ascii="Times New Roman" w:eastAsia="Times New Roman" w:hAnsi="Times New Roman" w:cs="Times New Roman"/>
          <w:color w:val="000000"/>
        </w:rPr>
        <w:t xml:space="preserve">u násiliu. Náš návrh zákona predpokladá aplikovanie najdôležitejších častí Smernice Európskej únie a Rady v časti online násilia tak, aby sa obete týchto trestných činov vedeli ľahšie domôcť svojich práv. </w:t>
      </w:r>
    </w:p>
    <w:p w14:paraId="00000031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2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Slovenský právny poriadok doposiaľ nedostatočne c</w:t>
      </w:r>
      <w:r>
        <w:rPr>
          <w:rFonts w:ascii="Times New Roman" w:eastAsia="Times New Roman" w:hAnsi="Times New Roman" w:cs="Times New Roman"/>
          <w:color w:val="000000"/>
        </w:rPr>
        <w:t xml:space="preserve">hránil práva osôb zažívajúcich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aj online násilie a dnes je načase modernizovať právny systém tak, aby odpovedal na tieto závažné porušenia ľudských práv. </w:t>
      </w:r>
    </w:p>
    <w:p w14:paraId="00000033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34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 zákona je v súlade s Ústavou Slovenskej republiky, s ústavnými zákonmi a nálezmi Ústavného súdu Slovenskej republiky, so zákonmi a ostatnými všeobecne záväznými právnymi  predpismi platnými v Slovenskej republike, s medzinárodnými zmluvami, ktorými j</w:t>
      </w:r>
      <w:r>
        <w:rPr>
          <w:rFonts w:ascii="Times New Roman" w:eastAsia="Times New Roman" w:hAnsi="Times New Roman" w:cs="Times New Roman"/>
        </w:rPr>
        <w:t>e Slovenská republika viazaná, ako aj s právom Európskej únie.</w:t>
      </w:r>
    </w:p>
    <w:p w14:paraId="00000035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14:paraId="00000037" w14:textId="77777777" w:rsidR="008B69D7" w:rsidRDefault="00E375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Osobitná časť </w:t>
      </w:r>
    </w:p>
    <w:p w14:paraId="00000038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9" w14:textId="77777777" w:rsidR="008B69D7" w:rsidRDefault="00E37544">
      <w:pPr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</w:rPr>
        <w:t>Čl. I</w:t>
      </w:r>
    </w:p>
    <w:p w14:paraId="0000003A" w14:textId="77777777" w:rsidR="008B69D7" w:rsidRDefault="008B69D7">
      <w:pPr>
        <w:rPr>
          <w:rFonts w:ascii="Times New Roman" w:eastAsia="Times New Roman" w:hAnsi="Times New Roman" w:cs="Times New Roman"/>
          <w:b/>
          <w:color w:val="000000"/>
        </w:rPr>
      </w:pPr>
    </w:p>
    <w:p w14:paraId="0000003B" w14:textId="77777777" w:rsidR="008B69D7" w:rsidRDefault="00E37544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 bodu 1 </w:t>
      </w:r>
      <w:r>
        <w:rPr>
          <w:rFonts w:ascii="Times New Roman" w:eastAsia="Times New Roman" w:hAnsi="Times New Roman" w:cs="Times New Roman"/>
          <w:b/>
        </w:rPr>
        <w:t>až</w:t>
      </w:r>
      <w:r>
        <w:rPr>
          <w:rFonts w:ascii="Times New Roman" w:eastAsia="Times New Roman" w:hAnsi="Times New Roman" w:cs="Times New Roman"/>
          <w:b/>
          <w:color w:val="000000"/>
        </w:rPr>
        <w:t xml:space="preserve"> 9</w:t>
      </w:r>
    </w:p>
    <w:p w14:paraId="0000003C" w14:textId="77777777" w:rsidR="008B69D7" w:rsidRDefault="008B69D7">
      <w:pPr>
        <w:rPr>
          <w:rFonts w:ascii="Times New Roman" w:eastAsia="Times New Roman" w:hAnsi="Times New Roman" w:cs="Times New Roman"/>
        </w:rPr>
      </w:pPr>
    </w:p>
    <w:p w14:paraId="0000003D" w14:textId="77777777" w:rsidR="008B69D7" w:rsidRDefault="00E3754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Legislat</w:t>
      </w:r>
      <w:r>
        <w:rPr>
          <w:rFonts w:ascii="Times" w:eastAsia="Times" w:hAnsi="Times" w:cs="Times"/>
        </w:rPr>
        <w:t>í</w:t>
      </w:r>
      <w:r>
        <w:rPr>
          <w:rFonts w:ascii="Times New Roman" w:eastAsia="Times New Roman" w:hAnsi="Times New Roman" w:cs="Times New Roman"/>
        </w:rPr>
        <w:t xml:space="preserve">vno-technická úprava. </w:t>
      </w:r>
    </w:p>
    <w:p w14:paraId="0000003E" w14:textId="77777777" w:rsidR="008B69D7" w:rsidRDefault="008B69D7">
      <w:pPr>
        <w:rPr>
          <w:rFonts w:ascii="Times New Roman" w:eastAsia="Times New Roman" w:hAnsi="Times New Roman" w:cs="Times New Roman"/>
          <w:b/>
        </w:rPr>
      </w:pPr>
    </w:p>
    <w:p w14:paraId="0000003F" w14:textId="77777777" w:rsidR="008B69D7" w:rsidRDefault="008B69D7">
      <w:pPr>
        <w:rPr>
          <w:rFonts w:ascii="Times New Roman" w:eastAsia="Times New Roman" w:hAnsi="Times New Roman" w:cs="Times New Roman"/>
          <w:b/>
        </w:rPr>
      </w:pPr>
    </w:p>
    <w:p w14:paraId="00000040" w14:textId="77777777" w:rsidR="008B69D7" w:rsidRDefault="00E37544">
      <w:pPr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K bodu 10</w:t>
      </w:r>
    </w:p>
    <w:p w14:paraId="00000041" w14:textId="77777777" w:rsidR="008B69D7" w:rsidRDefault="008B69D7">
      <w:pPr>
        <w:jc w:val="both"/>
        <w:rPr>
          <w:rFonts w:ascii="Times" w:eastAsia="Times" w:hAnsi="Times" w:cs="Times"/>
        </w:rPr>
      </w:pPr>
    </w:p>
    <w:p w14:paraId="00000042" w14:textId="77777777" w:rsidR="008B69D7" w:rsidRDefault="00E37544">
      <w:pPr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</w:rPr>
        <w:t xml:space="preserve">Navrhuje sa doplnenie osobitného motívu z nenávisti o motív “rodová identita”, pre ktorú ľudia čelia najzávažnejším nenávistným činom. Navrhovanou zmenou sa v súlade s európskym </w:t>
      </w:r>
      <w:proofErr w:type="spellStart"/>
      <w:r>
        <w:rPr>
          <w:rFonts w:ascii="Times" w:eastAsia="Times" w:hAnsi="Times" w:cs="Times"/>
          <w:color w:val="000000"/>
        </w:rPr>
        <w:t>ľudskoprávnym</w:t>
      </w:r>
      <w:proofErr w:type="spellEnd"/>
      <w:r>
        <w:rPr>
          <w:rFonts w:ascii="Times" w:eastAsia="Times" w:hAnsi="Times" w:cs="Times"/>
          <w:color w:val="000000"/>
        </w:rPr>
        <w:t xml:space="preserve"> štandardom a v záujme zabezpečenia kompatibility slovenskej práv</w:t>
      </w:r>
      <w:r>
        <w:rPr>
          <w:rFonts w:ascii="Times" w:eastAsia="Times" w:hAnsi="Times" w:cs="Times"/>
          <w:color w:val="000000"/>
        </w:rPr>
        <w:t xml:space="preserve">nej úpravy s právnou úpravou krajín Európskej únie odstraňuje absencia tohto osobitného motívu, ktorý patrí k základnému výpočtu motívov viažucich sa na príslušnosť k určitej skupine obyvateľstva, obdobne ako tomu je napríklad v antidiskriminačnom zákone. </w:t>
      </w:r>
      <w:r>
        <w:rPr>
          <w:rFonts w:ascii="Times" w:eastAsia="Times" w:hAnsi="Times" w:cs="Times"/>
          <w:color w:val="000000"/>
        </w:rPr>
        <w:t xml:space="preserve">Doplnenie rodovej identity odporúča aj </w:t>
      </w:r>
      <w:r>
        <w:rPr>
          <w:rFonts w:ascii="Times New Roman" w:eastAsia="Times New Roman" w:hAnsi="Times New Roman" w:cs="Times New Roman"/>
        </w:rPr>
        <w:t xml:space="preserve">Európska komisia proti rasizmu a intolerancii (ECRI) a Výbor pre odstránenie diskriminácie žien (CEDAW), ktoré okrem iného navrhujú, aby náš právny poriadok jednoznačne zakazoval nenávistné prejavy voči </w:t>
      </w:r>
      <w:proofErr w:type="spellStart"/>
      <w:r>
        <w:rPr>
          <w:rFonts w:ascii="Times New Roman" w:eastAsia="Times New Roman" w:hAnsi="Times New Roman" w:cs="Times New Roman"/>
        </w:rPr>
        <w:t>transrodovým</w:t>
      </w:r>
      <w:proofErr w:type="spellEnd"/>
      <w:r>
        <w:rPr>
          <w:rFonts w:ascii="Times New Roman" w:eastAsia="Times New Roman" w:hAnsi="Times New Roman" w:cs="Times New Roman"/>
        </w:rPr>
        <w:t xml:space="preserve"> osobám.</w:t>
      </w:r>
    </w:p>
    <w:p w14:paraId="00000043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4" w14:textId="77777777" w:rsidR="008B69D7" w:rsidRDefault="00E37544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K bodu </w:t>
      </w:r>
      <w:r>
        <w:rPr>
          <w:rFonts w:ascii="Times New Roman" w:eastAsia="Times New Roman" w:hAnsi="Times New Roman" w:cs="Times New Roman"/>
          <w:b/>
        </w:rPr>
        <w:t>11</w:t>
      </w:r>
    </w:p>
    <w:p w14:paraId="00000045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46" w14:textId="77777777" w:rsidR="008B69D7" w:rsidRDefault="00E3754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Navrhuje sa doplniť </w:t>
      </w:r>
      <w:r>
        <w:rPr>
          <w:rFonts w:ascii="Times New Roman" w:eastAsia="Times New Roman" w:hAnsi="Times New Roman" w:cs="Times New Roman"/>
          <w:color w:val="000000"/>
        </w:rPr>
        <w:t>do znenia skutkovej podstaty zločinu týrania blízkej a zverenej osoby kontrolu alebo monitorovanie každodenných aktivít. Element kontroly je jedným z kľúčových indikátorov násilia voči blízkej osobe. V tejto súvislosti sa tiež navrhuje doplniť slovo „slobo</w:t>
      </w:r>
      <w:r>
        <w:rPr>
          <w:rFonts w:ascii="Times New Roman" w:eastAsia="Times New Roman" w:hAnsi="Times New Roman" w:cs="Times New Roman"/>
          <w:color w:val="000000"/>
        </w:rPr>
        <w:t xml:space="preserve">du“ na konci odseku, nakoľko vzorce a formy násilného správania menované v tomto odseku sú okrem obmedzovania bezpečnosti aj formou obmedzovania práva na slobodu. </w:t>
      </w:r>
    </w:p>
    <w:p w14:paraId="00000047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8" w14:textId="77777777" w:rsidR="008B69D7" w:rsidRDefault="008B69D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9" w14:textId="77777777" w:rsidR="008B69D7" w:rsidRDefault="00E3754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 bodu 12</w:t>
      </w:r>
    </w:p>
    <w:p w14:paraId="0000004A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4B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Navrhuje sa zavedenie nového trestného činu sexuálneho obťažovania, ktorého objektom je ochrana slobody a ľudskej dôstojnosti pred správaním sexuálneho charakteru, ktoré vytvára zastrašujúce, nepriateľské, ponižujúce, </w:t>
      </w:r>
      <w:proofErr w:type="spellStart"/>
      <w:r>
        <w:rPr>
          <w:rFonts w:ascii="Times New Roman" w:eastAsia="Times New Roman" w:hAnsi="Times New Roman" w:cs="Times New Roman"/>
        </w:rPr>
        <w:t>zneúcťujúce</w:t>
      </w:r>
      <w:proofErr w:type="spellEnd"/>
      <w:r>
        <w:rPr>
          <w:rFonts w:ascii="Times New Roman" w:eastAsia="Times New Roman" w:hAnsi="Times New Roman" w:cs="Times New Roman"/>
        </w:rPr>
        <w:t xml:space="preserve"> alebo urážlivé prostredie.</w:t>
      </w:r>
      <w:r>
        <w:rPr>
          <w:rFonts w:ascii="Times New Roman" w:eastAsia="Times New Roman" w:hAnsi="Times New Roman" w:cs="Times New Roman"/>
        </w:rPr>
        <w:t xml:space="preserve"> Toto môže zahŕňať napríklad nútenie k obnažovaniu či k sebaukájaniu, vynucovanie si sexu alebo iných sexuálnych aktivít, vystavovanie osoby pornografickému alebo inému hrubému a urážlivému materiálu proti jej vôli, sexuálne gestá alebo sugestívne pohyby t</w:t>
      </w:r>
      <w:r>
        <w:rPr>
          <w:rFonts w:ascii="Times New Roman" w:eastAsia="Times New Roman" w:hAnsi="Times New Roman" w:cs="Times New Roman"/>
        </w:rPr>
        <w:t xml:space="preserve">ela smerom k druhej osobe a ďalšie podobné </w:t>
      </w:r>
      <w:proofErr w:type="spellStart"/>
      <w:r>
        <w:rPr>
          <w:rFonts w:ascii="Times New Roman" w:eastAsia="Times New Roman" w:hAnsi="Times New Roman" w:cs="Times New Roman"/>
        </w:rPr>
        <w:t>aktivity.V</w:t>
      </w:r>
      <w:proofErr w:type="spellEnd"/>
      <w:r>
        <w:rPr>
          <w:rFonts w:ascii="Times New Roman" w:eastAsia="Times New Roman" w:hAnsi="Times New Roman" w:cs="Times New Roman"/>
        </w:rPr>
        <w:t xml:space="preserve"> kvalifikovaných skutkových podstatách sa poskytuje osobitná zvýšená ochrana chráneným osobám (napr. deťom či osobám vyššieho veku). Prísnejšie sa trestá tiež obťažovanie z pomsty či z dôvodu nenávisti p</w:t>
      </w:r>
      <w:r>
        <w:rPr>
          <w:rFonts w:ascii="Times New Roman" w:eastAsia="Times New Roman" w:hAnsi="Times New Roman" w:cs="Times New Roman"/>
        </w:rPr>
        <w:t>re príslušnosť k niektorej rase, národu, národnosti, etnickej skupine, pre ich skutočný alebo domnelý pôvod, farbu pleti, pohlavie, sexuálnu orientáciu, politické presvedčenie alebo náboženské vyznanie, ako aj spoločné konanie viacerých osôb.</w:t>
      </w:r>
    </w:p>
    <w:p w14:paraId="0000004C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4D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 bodu 13 až</w:t>
      </w:r>
      <w:r>
        <w:rPr>
          <w:rFonts w:ascii="Times New Roman" w:eastAsia="Times New Roman" w:hAnsi="Times New Roman" w:cs="Times New Roman"/>
          <w:b/>
        </w:rPr>
        <w:t xml:space="preserve"> 16</w:t>
      </w:r>
    </w:p>
    <w:p w14:paraId="0000004E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4F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Navrhuje sa upraviť súčasnú definíciu § 360a Nebezpečné prenasledovanie tak, aby ob­jek­tív­na strán­ka viac nemusela </w:t>
      </w:r>
      <w:proofErr w:type="spellStart"/>
      <w:r>
        <w:rPr>
          <w:rFonts w:ascii="Times New Roman" w:eastAsia="Times New Roman" w:hAnsi="Times New Roman" w:cs="Times New Roman"/>
        </w:rPr>
        <w:t>splňať</w:t>
      </w:r>
      <w:proofErr w:type="spellEnd"/>
      <w:r>
        <w:rPr>
          <w:rFonts w:ascii="Times New Roman" w:eastAsia="Times New Roman" w:hAnsi="Times New Roman" w:cs="Times New Roman"/>
        </w:rPr>
        <w:t xml:space="preserve"> podmienky “</w:t>
      </w:r>
      <w:proofErr w:type="spellStart"/>
      <w:r>
        <w:rPr>
          <w:rFonts w:ascii="Times New Roman" w:eastAsia="Times New Roman" w:hAnsi="Times New Roman" w:cs="Times New Roman"/>
        </w:rPr>
        <w:t>dl­ho­do­bosti</w:t>
      </w:r>
      <w:proofErr w:type="spellEnd"/>
      <w:r>
        <w:rPr>
          <w:rFonts w:ascii="Times New Roman" w:eastAsia="Times New Roman" w:hAnsi="Times New Roman" w:cs="Times New Roman"/>
        </w:rPr>
        <w:t>”, “dô­vod­nej” oba­vy a “podstatným spôsobom” zhoršiť kva­li­tu ži­vo­ta osoby, ktorá je jeho obeťou</w:t>
      </w:r>
      <w:r>
        <w:rPr>
          <w:rFonts w:ascii="Times New Roman" w:eastAsia="Times New Roman" w:hAnsi="Times New Roman" w:cs="Times New Roman"/>
        </w:rPr>
        <w:t xml:space="preserve">, pretože je dô­le­ži­té zjednodušiť po­sú­de­nie a vy­hod­no­te­nie poj­mo­vých zna­kov v tomto trestnom čine. </w:t>
      </w:r>
    </w:p>
    <w:p w14:paraId="00000050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51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 bodu 17</w:t>
      </w:r>
    </w:p>
    <w:p w14:paraId="00000052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53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Vzhľadom na veľké riziko, ktoré už v súčasnosti ženy aktívne vo verejnom priestore čelia a vzhľadom na narastajúce prípady online n</w:t>
      </w:r>
      <w:r>
        <w:rPr>
          <w:rFonts w:ascii="Times New Roman" w:eastAsia="Times New Roman" w:hAnsi="Times New Roman" w:cs="Times New Roman"/>
        </w:rPr>
        <w:t>ásilia, je potrebné prijať do slovenského právneho poriadku právnu úpravu vychádzajúcu zo Smernice o boji proti násiliu na ženách a domácemu násiliu už teraz, keďže sú vážne ohrozené ľudské práva. Existujúcu právnu úpravu trestného činu nebezpečného elektr</w:t>
      </w:r>
      <w:r>
        <w:rPr>
          <w:rFonts w:ascii="Times New Roman" w:eastAsia="Times New Roman" w:hAnsi="Times New Roman" w:cs="Times New Roman"/>
        </w:rPr>
        <w:t xml:space="preserve">onického obťažovania je potrebné spresniť a uviesť do súladu so znením smernice, konkrétne s čl. 7, 8 a 9. </w:t>
      </w:r>
    </w:p>
    <w:p w14:paraId="00000054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55" w14:textId="77777777" w:rsidR="008B69D7" w:rsidRDefault="00E37544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V množstve prípadov sa tieto útoky dejú najmä prostredníctvom elektronických komunikačných prostriedkov alebo cez sociálne siete. Páchatelia sa tie</w:t>
      </w:r>
      <w:r>
        <w:rPr>
          <w:rFonts w:ascii="Times New Roman" w:eastAsia="Times New Roman" w:hAnsi="Times New Roman" w:cs="Times New Roman"/>
          <w:highlight w:val="white"/>
        </w:rPr>
        <w:t xml:space="preserve">ž môžu rozhodnúť zastrašiť obeť napríklad prostredníctvom zhromažďovania a následného rozširovania materiálu osobnej povahy, iniciovať takýto útok tretími stranami, alebo sa na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taktomto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útoku tretích strán podieľať.  </w:t>
      </w:r>
    </w:p>
    <w:p w14:paraId="00000056" w14:textId="77777777" w:rsidR="008B69D7" w:rsidRDefault="008B69D7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57" w14:textId="77777777" w:rsidR="008B69D7" w:rsidRDefault="00E37544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Ako uvádza návrh smernice v bode 18, </w:t>
      </w:r>
      <w:r>
        <w:rPr>
          <w:rFonts w:ascii="Times New Roman" w:eastAsia="Times New Roman" w:hAnsi="Times New Roman" w:cs="Times New Roman"/>
          <w:highlight w:val="white"/>
        </w:rPr>
        <w:t xml:space="preserve">“Používanie informačných a komunikačných technológií nesie riziko jednoduchého, rýchleho a rozsiahleho šírenia niektorých foriem kybernetického násilia, ktoré obeti spôsobuje alebo prehlbuje ťažkú a dlhodobú ujmu. Potenciál </w:t>
      </w:r>
      <w:r>
        <w:rPr>
          <w:rFonts w:ascii="Times New Roman" w:eastAsia="Times New Roman" w:hAnsi="Times New Roman" w:cs="Times New Roman"/>
          <w:highlight w:val="white"/>
        </w:rPr>
        <w:lastRenderedPageBreak/>
        <w:t>takéhoto šírenia, ktoré je predp</w:t>
      </w:r>
      <w:r>
        <w:rPr>
          <w:rFonts w:ascii="Times New Roman" w:eastAsia="Times New Roman" w:hAnsi="Times New Roman" w:cs="Times New Roman"/>
          <w:highlight w:val="white"/>
        </w:rPr>
        <w:t>okladom spáchania závažných trestných činov v oblasti kybernetického násilia vymedzeného v tejto smernici, by sa mal premietnuť v prvku sprístupňovania určitého materiálu prostredníctvom informačných a komunikačných technológií „veľkému počtu“ koncových po</w:t>
      </w:r>
      <w:r>
        <w:rPr>
          <w:rFonts w:ascii="Times New Roman" w:eastAsia="Times New Roman" w:hAnsi="Times New Roman" w:cs="Times New Roman"/>
          <w:highlight w:val="white"/>
        </w:rPr>
        <w:t>užívateľov. Pojem „veľký počet“ by sa mal chápať ako dosiahnutie významného počtu koncových používateľov predmetných technológií, čím sa umožní prístup veľkého počtu osôb k danému materiálu a jeho ďalšie potenciálne šírenie. Uvedený pojem by sa mal vyklada</w:t>
      </w:r>
      <w:r>
        <w:rPr>
          <w:rFonts w:ascii="Times New Roman" w:eastAsia="Times New Roman" w:hAnsi="Times New Roman" w:cs="Times New Roman"/>
          <w:highlight w:val="white"/>
        </w:rPr>
        <w:t>ť a uplatňovať s prihliadnutím na príslušné okolnosti vrátane technológií použitých na sprístupnenie daného materiálu a prostriedkov, ktoré tieto technológie ponúkajú na jeho šírenie.”</w:t>
      </w:r>
    </w:p>
    <w:p w14:paraId="00000058" w14:textId="77777777" w:rsidR="008B69D7" w:rsidRDefault="008B69D7">
      <w:pPr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59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Podľa bodu 21 návrhu smernice, </w:t>
      </w:r>
      <w:r>
        <w:rPr>
          <w:rFonts w:ascii="Times New Roman" w:eastAsia="Times New Roman" w:hAnsi="Times New Roman" w:cs="Times New Roman"/>
        </w:rPr>
        <w:t>“S cieľom zabrániť začatiu útoku tretíc</w:t>
      </w:r>
      <w:r>
        <w:rPr>
          <w:rFonts w:ascii="Times New Roman" w:eastAsia="Times New Roman" w:hAnsi="Times New Roman" w:cs="Times New Roman"/>
        </w:rPr>
        <w:t>h strán alebo účasti na takomto útoku namierenom priamo na inú osobu spočívajúcom v sprístupnení výhražného alebo urážlivého materiálu veľkému počtu koncových používateľov by sa mali stanoviť minimálne pravidlá týkajúce sa trestného činu kybernetického obť</w:t>
      </w:r>
      <w:r>
        <w:rPr>
          <w:rFonts w:ascii="Times New Roman" w:eastAsia="Times New Roman" w:hAnsi="Times New Roman" w:cs="Times New Roman"/>
        </w:rPr>
        <w:t>ažovania. Takéto rozsiahle útoky vrátane koordinovaných online hromadných útokov môžu prerásť do napadnutia v reálnom svete alebo spôsobiť závažnú duševnú ujmu, pričom v extrémnych prípadoch môžu viesť až k samovražde obete. Často sú zacielené na prominent</w:t>
      </w:r>
      <w:r>
        <w:rPr>
          <w:rFonts w:ascii="Times New Roman" w:eastAsia="Times New Roman" w:hAnsi="Times New Roman" w:cs="Times New Roman"/>
        </w:rPr>
        <w:t xml:space="preserve">né političky, novinárky alebo iné známe osobnosti, môžu sa však vyskytnúť aj za iných okolností, napríklad na univerzitách alebo v školách. Takéto online násilie by sa malo riešiť najmä vtedy, ak sa útoky vyskytujú vo veľkom rozsahu, napríklad majú podobu </w:t>
      </w:r>
      <w:r>
        <w:rPr>
          <w:rFonts w:ascii="Times New Roman" w:eastAsia="Times New Roman" w:hAnsi="Times New Roman" w:cs="Times New Roman"/>
        </w:rPr>
        <w:t>hromadného obťažovania veľkým množstvom ľudí.”</w:t>
      </w:r>
    </w:p>
    <w:p w14:paraId="0000005A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5B" w14:textId="77777777" w:rsidR="008B69D7" w:rsidRDefault="00E3754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 bodu 17</w:t>
      </w:r>
    </w:p>
    <w:p w14:paraId="0000005C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5D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Navrhuje sa doplnenie skutkovej podstaty trestného činu hanobenie národa, rasy a presvedčenia tak, že sa rozširuje príslušnosť k určitej skupine obyvateľstva o “sexuálnu orientáciu”, „pohlavie“ a “</w:t>
      </w:r>
      <w:r>
        <w:rPr>
          <w:rFonts w:ascii="Times New Roman" w:eastAsia="Times New Roman" w:hAnsi="Times New Roman" w:cs="Times New Roman"/>
        </w:rPr>
        <w:t xml:space="preserve">rodovú identitu”, pre ktoré ľudia čelia najzávažnejším nenávistným činom. Navrhovanou zmenou sa v súlade s európskym </w:t>
      </w:r>
      <w:proofErr w:type="spellStart"/>
      <w:r>
        <w:rPr>
          <w:rFonts w:ascii="Times New Roman" w:eastAsia="Times New Roman" w:hAnsi="Times New Roman" w:cs="Times New Roman"/>
        </w:rPr>
        <w:t>ľudskoprávnym</w:t>
      </w:r>
      <w:proofErr w:type="spellEnd"/>
      <w:r>
        <w:rPr>
          <w:rFonts w:ascii="Times New Roman" w:eastAsia="Times New Roman" w:hAnsi="Times New Roman" w:cs="Times New Roman"/>
        </w:rPr>
        <w:t xml:space="preserve"> štandardom odstraňuje absencia týchto dôvodov, ktoré patria k základnému výpočtu viažucich sa na príslušnosť k určitej skupin</w:t>
      </w:r>
      <w:r>
        <w:rPr>
          <w:rFonts w:ascii="Times New Roman" w:eastAsia="Times New Roman" w:hAnsi="Times New Roman" w:cs="Times New Roman"/>
        </w:rPr>
        <w:t>e obyvateľstva, obdobne ako tomu je napríklad v antidiskriminačnom zákone.</w:t>
      </w:r>
    </w:p>
    <w:p w14:paraId="0000005E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5F" w14:textId="77777777" w:rsidR="008B69D7" w:rsidRDefault="00E3754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 bodu 18</w:t>
      </w:r>
    </w:p>
    <w:p w14:paraId="00000060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61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Navrhuje sa úprava skutkovej podstaty trestného činu podnecovania k nenávisti tak, že sa že sa rozširuje príslušnosť k určitej skupine obyvateľstva o “sexuálnu orientáci</w:t>
      </w:r>
      <w:r>
        <w:rPr>
          <w:rFonts w:ascii="Times New Roman" w:eastAsia="Times New Roman" w:hAnsi="Times New Roman" w:cs="Times New Roman"/>
        </w:rPr>
        <w:t xml:space="preserve">u”, „pohlavie“ a “rodovú identitu”, pre ktoré ľudia čelia najzávažnejším nenávistným činom. Navrhovanou zmenou sa v súlade s európskym </w:t>
      </w:r>
      <w:proofErr w:type="spellStart"/>
      <w:r>
        <w:rPr>
          <w:rFonts w:ascii="Times New Roman" w:eastAsia="Times New Roman" w:hAnsi="Times New Roman" w:cs="Times New Roman"/>
        </w:rPr>
        <w:t>ľudskoprávnym</w:t>
      </w:r>
      <w:proofErr w:type="spellEnd"/>
      <w:r>
        <w:rPr>
          <w:rFonts w:ascii="Times New Roman" w:eastAsia="Times New Roman" w:hAnsi="Times New Roman" w:cs="Times New Roman"/>
        </w:rPr>
        <w:t xml:space="preserve"> štandardom odstraňuje absencia týchto dôvodov, ktoré patria k základnému výpočtu viažucich sa na príslušnos</w:t>
      </w:r>
      <w:r>
        <w:rPr>
          <w:rFonts w:ascii="Times New Roman" w:eastAsia="Times New Roman" w:hAnsi="Times New Roman" w:cs="Times New Roman"/>
        </w:rPr>
        <w:t xml:space="preserve">ť k určitej skupine obyvateľstva, obdobne ako tomu je napríklad v antidiskriminačnom zákone. Zároveň sa navrhuje doplniť využitie elektronických komunikačných služieb, počítačového systému alebo počítačovej sieti do definície s cieľom zabezpečiť efektívnu </w:t>
      </w:r>
      <w:r>
        <w:rPr>
          <w:rFonts w:ascii="Times New Roman" w:eastAsia="Times New Roman" w:hAnsi="Times New Roman" w:cs="Times New Roman"/>
        </w:rPr>
        <w:t xml:space="preserve">právnu odpoveď na podnecovanie k nenávisti online. </w:t>
      </w:r>
    </w:p>
    <w:p w14:paraId="00000062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63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</w:p>
    <w:p w14:paraId="00000064" w14:textId="77777777" w:rsidR="008B69D7" w:rsidRDefault="00E3754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Čl. II</w:t>
      </w:r>
    </w:p>
    <w:p w14:paraId="00000065" w14:textId="77777777" w:rsidR="008B69D7" w:rsidRDefault="008B69D7">
      <w:pPr>
        <w:jc w:val="both"/>
        <w:rPr>
          <w:rFonts w:ascii="Times New Roman" w:eastAsia="Times New Roman" w:hAnsi="Times New Roman" w:cs="Times New Roman"/>
        </w:rPr>
      </w:pPr>
      <w:bookmarkStart w:id="1" w:name="_heading=h.7fwtgcogv88t" w:colFirst="0" w:colLast="0"/>
      <w:bookmarkEnd w:id="1"/>
    </w:p>
    <w:p w14:paraId="00000066" w14:textId="77777777" w:rsidR="008B69D7" w:rsidRDefault="00E37544">
      <w:pPr>
        <w:jc w:val="both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 xml:space="preserve">S ohľadom na predpokladaný priebeh legislatívneho procesu sa navrhuje nadobudnutie účinnosti od 1. septembra 2024. </w:t>
      </w:r>
    </w:p>
    <w:sectPr w:rsidR="008B69D7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0C609" w14:textId="77777777" w:rsidR="00E37544" w:rsidRDefault="00E37544">
      <w:r>
        <w:separator/>
      </w:r>
    </w:p>
  </w:endnote>
  <w:endnote w:type="continuationSeparator" w:id="0">
    <w:p w14:paraId="4DCB51D8" w14:textId="77777777" w:rsidR="00E37544" w:rsidRDefault="00E3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1C06" w14:textId="77777777" w:rsidR="00E37544" w:rsidRDefault="00E37544">
      <w:r>
        <w:separator/>
      </w:r>
    </w:p>
  </w:footnote>
  <w:footnote w:type="continuationSeparator" w:id="0">
    <w:p w14:paraId="4AB69B15" w14:textId="77777777" w:rsidR="00E37544" w:rsidRDefault="00E37544">
      <w:r>
        <w:continuationSeparator/>
      </w:r>
    </w:p>
  </w:footnote>
  <w:footnote w:id="1">
    <w:p w14:paraId="00000067" w14:textId="77777777" w:rsidR="008B69D7" w:rsidRDefault="00E375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Agentúra Európskej únie pre základné práva FRA (2014). Násilie páchané na ženách: celoeurópsky prieskum – hlavné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výsledky. Luxemburg: Úrad pre vydávanie publikácií Európskej únie, s. 104. K dispozícii na: http://fra.europa.eu/en/publication/2014/violence-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against-women-eu-wide-survey-main-results-report.</w:t>
      </w:r>
    </w:p>
  </w:footnote>
  <w:footnote w:id="2">
    <w:p w14:paraId="00000068" w14:textId="77777777" w:rsidR="008B69D7" w:rsidRDefault="00E37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Rada OSN pre ľudské práva (2016). Článok 32: Podpora, ochrana a využívanie ľudských práv na internete. K dispozícii na: https://www.article19.org/data/files/Internet_Statement_Adopted.pdf</w:t>
      </w:r>
    </w:p>
  </w:footnote>
  <w:footnote w:id="3">
    <w:p w14:paraId="00000069" w14:textId="77777777" w:rsidR="008B69D7" w:rsidRDefault="00E375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FRA, (2014).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ásilie páchané na ženách: celoeurópsky prieskum. Správa o hlavných výsledkoch, 29, 95. K dispozícii na: http://fra.europa.eu/en/publication/2014/violence-against-women-eu-wide-survey-main-results-report].</w:t>
      </w:r>
    </w:p>
  </w:footnote>
  <w:footnote w:id="4">
    <w:p w14:paraId="0000006A" w14:textId="77777777" w:rsidR="008B69D7" w:rsidRDefault="00E37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Center (2014).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Harassment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dispozícii na: http://www.pewinternet.org/2014/10/22/</w:t>
      </w:r>
    </w:p>
    <w:p w14:paraId="0000006B" w14:textId="77777777" w:rsidR="008B69D7" w:rsidRDefault="00E375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online-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harassment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/.</w:t>
      </w:r>
    </w:p>
  </w:footnote>
  <w:footnote w:id="5">
    <w:p w14:paraId="0000006C" w14:textId="77777777" w:rsidR="008B69D7" w:rsidRDefault="00E37544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https://www.snslp.sk/wp-content/uploads/Individual-submission-SNCHR_UPR-4th</w:t>
        </w:r>
        <w:r>
          <w:rPr>
            <w:color w:val="1155CC"/>
            <w:sz w:val="20"/>
            <w:szCs w:val="20"/>
            <w:u w:val="single"/>
          </w:rPr>
          <w:t>-cycle.pdf</w:t>
        </w:r>
      </w:hyperlink>
      <w:r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5452"/>
    <w:multiLevelType w:val="multilevel"/>
    <w:tmpl w:val="24F058F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D7"/>
    <w:rsid w:val="008B69D7"/>
    <w:rsid w:val="00BB36A1"/>
    <w:rsid w:val="00E3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D4E2F-9CFE-4640-91EA-3433A091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27DA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27DA0"/>
  </w:style>
  <w:style w:type="character" w:styleId="Odkaznapoznmkupodiarou">
    <w:name w:val="footnote reference"/>
    <w:basedOn w:val="Predvolenpsmoodseku"/>
    <w:uiPriority w:val="99"/>
    <w:unhideWhenUsed/>
    <w:rsid w:val="00427DA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27DA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01A52"/>
    <w:pPr>
      <w:ind w:left="720"/>
      <w:contextualSpacing/>
    </w:pPr>
  </w:style>
  <w:style w:type="character" w:customStyle="1" w:styleId="awspan">
    <w:name w:val="awspan"/>
    <w:basedOn w:val="Predvolenpsmoodseku"/>
    <w:rsid w:val="0020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nslp.sk/wp-content/uploads/Individual-submission-SNCHR_UPR-4th-cyc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jLVxxwiWceMZQCCFc+u7gK0yw==">CgMxLjAyDmguN2Z3dGdjb2d2ODh0MgloLjMwajB6bGw4AHIhMU5EMVdVY3R5eHQ5Q1lFbXJsVU9JNG5uSDlJMmp3ZG9P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Jurík, Beáta, (asistent)</dc:creator>
  <cp:lastModifiedBy>Jurík, Beáta, (asistent)</cp:lastModifiedBy>
  <cp:revision>3</cp:revision>
  <cp:lastPrinted>2024-03-27T08:03:00Z</cp:lastPrinted>
  <dcterms:created xsi:type="dcterms:W3CDTF">2024-03-26T09:10:00Z</dcterms:created>
  <dcterms:modified xsi:type="dcterms:W3CDTF">2024-03-27T08:03:00Z</dcterms:modified>
</cp:coreProperties>
</file>