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31BE2DD2" w14:textId="4EF7D09A" w:rsidR="00700B3D" w:rsidRPr="000065A4" w:rsidRDefault="00054C41" w:rsidP="004B70CF">
      <w:pPr>
        <w:ind w:left="2124" w:hanging="2124"/>
        <w:jc w:val="both"/>
        <w:rPr>
          <w:rFonts w:ascii="Times New Roman" w:eastAsia="Times New Roman" w:hAnsi="Times New Roman" w:cs="Times New Roman"/>
          <w:sz w:val="24"/>
          <w:szCs w:val="24"/>
          <w:lang w:eastAsia="sk-SK"/>
        </w:rPr>
      </w:pPr>
      <w:r w:rsidRPr="001F1B43">
        <w:rPr>
          <w:rFonts w:ascii="Times New Roman" w:eastAsia="Calibri" w:hAnsi="Times New Roman" w:cs="Times New Roman"/>
          <w:b/>
          <w:sz w:val="24"/>
          <w:szCs w:val="24"/>
        </w:rPr>
        <w:t>Názov materiálu:</w:t>
      </w:r>
      <w:r w:rsidR="00700B3D" w:rsidRPr="00700B3D">
        <w:rPr>
          <w:rFonts w:ascii="Times New Roman" w:eastAsia="Times New Roman" w:hAnsi="Times New Roman" w:cs="Times New Roman"/>
          <w:sz w:val="20"/>
          <w:szCs w:val="20"/>
          <w:lang w:eastAsia="sk-SK"/>
        </w:rPr>
        <w:t xml:space="preserve"> </w:t>
      </w:r>
      <w:r w:rsidR="00700B3D">
        <w:rPr>
          <w:rFonts w:ascii="Times New Roman" w:eastAsia="Times New Roman" w:hAnsi="Times New Roman" w:cs="Times New Roman"/>
          <w:sz w:val="20"/>
          <w:szCs w:val="20"/>
          <w:lang w:eastAsia="sk-SK"/>
        </w:rPr>
        <w:tab/>
      </w:r>
      <w:bookmarkStart w:id="0" w:name="_Hlk135049439"/>
      <w:r w:rsidR="007C5318">
        <w:rPr>
          <w:rFonts w:ascii="Times New Roman" w:eastAsia="Times New Roman" w:hAnsi="Times New Roman" w:cs="Times New Roman"/>
          <w:sz w:val="24"/>
          <w:szCs w:val="24"/>
          <w:lang w:eastAsia="sk-SK"/>
        </w:rPr>
        <w:t>Vládny návrh</w:t>
      </w:r>
      <w:bookmarkStart w:id="1" w:name="_GoBack"/>
      <w:bookmarkEnd w:id="1"/>
      <w:r w:rsidR="00700B3D" w:rsidRPr="000065A4">
        <w:rPr>
          <w:rFonts w:ascii="Times New Roman" w:eastAsia="Times New Roman" w:hAnsi="Times New Roman" w:cs="Times New Roman"/>
          <w:sz w:val="24"/>
          <w:szCs w:val="24"/>
          <w:lang w:eastAsia="sk-SK"/>
        </w:rPr>
        <w:t xml:space="preserve"> zákona, ktorým sa mení a dopĺňa zákon č. 311/2001 Z. z. Zákonník práce v znení neskorších predpisov   </w:t>
      </w:r>
    </w:p>
    <w:bookmarkEnd w:id="0"/>
    <w:p w14:paraId="76961D92" w14:textId="67F0A4FB" w:rsidR="00054C41" w:rsidRPr="001F1B43" w:rsidRDefault="00054C41" w:rsidP="00054C41">
      <w:pPr>
        <w:jc w:val="both"/>
        <w:rPr>
          <w:rFonts w:ascii="Times New Roman" w:eastAsia="Calibri" w:hAnsi="Times New Roman" w:cs="Times New Roman"/>
          <w:b/>
          <w:sz w:val="24"/>
          <w:szCs w:val="24"/>
        </w:rPr>
      </w:pPr>
    </w:p>
    <w:p w14:paraId="18F21EA3" w14:textId="31AE502A" w:rsidR="00700B3D" w:rsidRPr="000065A4" w:rsidRDefault="00054C41" w:rsidP="00700B3D">
      <w:pPr>
        <w:rPr>
          <w:rFonts w:ascii="Times New Roman" w:eastAsia="Times New Roman" w:hAnsi="Times New Roman" w:cs="Times New Roman"/>
          <w:sz w:val="24"/>
          <w:szCs w:val="24"/>
          <w:lang w:eastAsia="sk-SK"/>
        </w:rPr>
      </w:pPr>
      <w:r w:rsidRPr="001F1B43">
        <w:rPr>
          <w:rFonts w:ascii="Times New Roman" w:eastAsia="Calibri" w:hAnsi="Times New Roman" w:cs="Times New Roman"/>
          <w:b/>
          <w:sz w:val="24"/>
          <w:szCs w:val="24"/>
        </w:rPr>
        <w:t>Predkladateľ:</w:t>
      </w:r>
      <w:r w:rsidR="00700B3D">
        <w:rPr>
          <w:rFonts w:ascii="Times New Roman" w:eastAsia="Calibri" w:hAnsi="Times New Roman" w:cs="Times New Roman"/>
          <w:b/>
          <w:sz w:val="24"/>
          <w:szCs w:val="24"/>
        </w:rPr>
        <w:tab/>
      </w:r>
      <w:r w:rsidR="00700B3D" w:rsidRPr="000065A4">
        <w:rPr>
          <w:rFonts w:ascii="Times New Roman" w:eastAsia="Times New Roman" w:hAnsi="Times New Roman" w:cs="Times New Roman"/>
          <w:sz w:val="24"/>
          <w:szCs w:val="24"/>
          <w:lang w:eastAsia="sk-SK"/>
        </w:rPr>
        <w:t>Ministerstvo práce, sociálnych vecí a rodiny Slovenskej republiky</w:t>
      </w:r>
    </w:p>
    <w:p w14:paraId="77F96BF6" w14:textId="1B8E18FA" w:rsidR="00054C41" w:rsidRPr="001F1B43" w:rsidRDefault="00054C41" w:rsidP="00054C41">
      <w:pPr>
        <w:jc w:val="both"/>
        <w:rPr>
          <w:rFonts w:ascii="Times New Roman" w:eastAsia="Calibri" w:hAnsi="Times New Roman" w:cs="Times New Roman"/>
          <w:b/>
          <w:sz w:val="24"/>
          <w:szCs w:val="24"/>
        </w:rPr>
      </w:pP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054C41" w:rsidRPr="00895898" w14:paraId="200C7519" w14:textId="77777777" w:rsidTr="00142154">
        <w:tc>
          <w:tcPr>
            <w:tcW w:w="3681" w:type="dxa"/>
          </w:tcPr>
          <w:p w14:paraId="06A5A4C5" w14:textId="77777777" w:rsidR="00054C41" w:rsidRPr="00895898" w:rsidRDefault="00054C41" w:rsidP="00142154">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14:paraId="1BAEDC68"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14:paraId="1E4A3629" w14:textId="77777777" w:rsidR="00054C41" w:rsidRPr="00895898" w:rsidRDefault="00054C41" w:rsidP="00142154">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054C41" w:rsidRPr="00895898" w14:paraId="40D2DDFC" w14:textId="77777777" w:rsidTr="00142154">
        <w:trPr>
          <w:trHeight w:val="227"/>
        </w:trPr>
        <w:tc>
          <w:tcPr>
            <w:tcW w:w="3681" w:type="dxa"/>
          </w:tcPr>
          <w:p w14:paraId="18F50E63" w14:textId="1EC43257" w:rsidR="00054C41" w:rsidRPr="00895898" w:rsidRDefault="00054C41" w:rsidP="00142154">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sidR="00A000DA">
              <w:rPr>
                <w:rFonts w:ascii="Times New Roman" w:eastAsia="Calibri" w:hAnsi="Times New Roman" w:cs="Times New Roman"/>
                <w:i/>
                <w:iCs/>
                <w:color w:val="000000"/>
                <w:sz w:val="20"/>
              </w:rPr>
              <w:t xml:space="preserve"> a poplatk</w:t>
            </w:r>
            <w:r w:rsidR="00A000DA" w:rsidRPr="00A000DA">
              <w:rPr>
                <w:rFonts w:ascii="Times New Roman" w:eastAsia="Calibri" w:hAnsi="Times New Roman" w:cs="Times New Roman"/>
                <w:i/>
                <w:iCs/>
                <w:color w:val="000000"/>
                <w:sz w:val="20"/>
              </w:rPr>
              <w:t>y</w:t>
            </w:r>
            <w:r w:rsidR="00A000DA" w:rsidRPr="00A000DA">
              <w:rPr>
                <w:rFonts w:ascii="Times New Roman" w:hAnsi="Times New Roman" w:cs="Times New Roman"/>
                <w:sz w:val="24"/>
                <w:szCs w:val="24"/>
              </w:rPr>
              <w:t>,</w:t>
            </w:r>
            <w:r w:rsidR="00A000DA">
              <w:rPr>
                <w:rFonts w:ascii="Times New Roman" w:hAnsi="Times New Roman" w:cs="Times New Roman"/>
                <w:b/>
                <w:bCs/>
                <w:sz w:val="24"/>
                <w:szCs w:val="24"/>
              </w:rPr>
              <w:t xml:space="preserve"> </w:t>
            </w:r>
            <w:r w:rsidR="00A000DA" w:rsidRPr="00A000DA">
              <w:rPr>
                <w:rFonts w:ascii="Times New Roman" w:eastAsia="Calibri" w:hAnsi="Times New Roman" w:cs="Times New Roman"/>
                <w:i/>
                <w:iCs/>
                <w:color w:val="000000"/>
                <w:sz w:val="20"/>
              </w:rPr>
              <w:t xml:space="preserve">ktorých cieľom je znižovať negatívne </w:t>
            </w:r>
            <w:proofErr w:type="spellStart"/>
            <w:r w:rsidR="00A000DA" w:rsidRPr="00A000DA">
              <w:rPr>
                <w:rFonts w:ascii="Times New Roman" w:eastAsia="Calibri" w:hAnsi="Times New Roman" w:cs="Times New Roman"/>
                <w:i/>
                <w:iCs/>
                <w:color w:val="000000"/>
                <w:sz w:val="20"/>
              </w:rPr>
              <w:t>externality</w:t>
            </w:r>
            <w:proofErr w:type="spellEnd"/>
          </w:p>
        </w:tc>
        <w:tc>
          <w:tcPr>
            <w:tcW w:w="2693" w:type="dxa"/>
            <w:shd w:val="clear" w:color="auto" w:fill="FFC000"/>
          </w:tcPr>
          <w:p w14:paraId="0C35985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7F21700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2A3B7BD5" w14:textId="77777777" w:rsidTr="00142154">
        <w:tc>
          <w:tcPr>
            <w:tcW w:w="3681" w:type="dxa"/>
          </w:tcPr>
          <w:p w14:paraId="749ADDB1" w14:textId="6814776F"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sidR="00A000DA">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14:paraId="7437C4A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1A7F8C7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5890A2A1" w14:textId="77777777" w:rsidTr="00142154">
        <w:tc>
          <w:tcPr>
            <w:tcW w:w="3681" w:type="dxa"/>
          </w:tcPr>
          <w:p w14:paraId="470A575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14:paraId="72C6ABCE"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4AB9E4F0"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1915EE9C" w14:textId="77777777" w:rsidTr="00142154">
        <w:tc>
          <w:tcPr>
            <w:tcW w:w="3681" w:type="dxa"/>
          </w:tcPr>
          <w:p w14:paraId="3FBBD35B"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14:paraId="23A80DDF" w14:textId="4EB5F0F7" w:rsidR="00054C41" w:rsidRPr="00895898" w:rsidRDefault="00224ED2" w:rsidP="00142154">
            <w:pPr>
              <w:jc w:val="center"/>
              <w:rPr>
                <w:rFonts w:ascii="Times New Roman" w:eastAsia="Calibri" w:hAnsi="Times New Roman" w:cs="Times New Roman"/>
                <w:i/>
                <w:sz w:val="20"/>
              </w:rPr>
            </w:pPr>
            <w:r>
              <w:rPr>
                <w:rFonts w:ascii="Times New Roman" w:eastAsia="Calibri" w:hAnsi="Times New Roman" w:cs="Times New Roman"/>
                <w:i/>
                <w:sz w:val="20"/>
              </w:rPr>
              <w:t>147</w:t>
            </w:r>
          </w:p>
        </w:tc>
        <w:tc>
          <w:tcPr>
            <w:tcW w:w="2693" w:type="dxa"/>
            <w:shd w:val="clear" w:color="auto" w:fill="92D050"/>
          </w:tcPr>
          <w:p w14:paraId="0128E64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784F8A51" w14:textId="77777777" w:rsidTr="00142154">
        <w:tc>
          <w:tcPr>
            <w:tcW w:w="3681" w:type="dxa"/>
          </w:tcPr>
          <w:p w14:paraId="796F837A"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14:paraId="4613DC7D" w14:textId="1CC3E1CB" w:rsidR="00054C41" w:rsidRPr="00895898" w:rsidRDefault="00224ED2" w:rsidP="00142154">
            <w:pPr>
              <w:jc w:val="center"/>
              <w:rPr>
                <w:rFonts w:ascii="Times New Roman" w:eastAsia="Calibri" w:hAnsi="Times New Roman" w:cs="Times New Roman"/>
                <w:b/>
                <w:i/>
                <w:sz w:val="20"/>
              </w:rPr>
            </w:pPr>
            <w:r>
              <w:rPr>
                <w:rFonts w:ascii="Times New Roman" w:eastAsia="Calibri" w:hAnsi="Times New Roman" w:cs="Times New Roman"/>
                <w:b/>
                <w:i/>
                <w:sz w:val="20"/>
              </w:rPr>
              <w:t>147</w:t>
            </w:r>
          </w:p>
        </w:tc>
        <w:tc>
          <w:tcPr>
            <w:tcW w:w="2693" w:type="dxa"/>
            <w:shd w:val="clear" w:color="auto" w:fill="92D050"/>
          </w:tcPr>
          <w:p w14:paraId="02FE7EB5"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r>
      <w:tr w:rsidR="00054C41" w:rsidRPr="00895898" w14:paraId="4440B6DF" w14:textId="77777777" w:rsidTr="00142154">
        <w:tc>
          <w:tcPr>
            <w:tcW w:w="3681" w:type="dxa"/>
          </w:tcPr>
          <w:p w14:paraId="1E7A37D9" w14:textId="05E931F4"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sidR="00E030DA">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14:paraId="51BD31F5" w14:textId="77777777" w:rsidR="00054C41" w:rsidRPr="00895898" w:rsidRDefault="00054C41" w:rsidP="00142154">
            <w:pPr>
              <w:jc w:val="center"/>
              <w:rPr>
                <w:rFonts w:ascii="Times New Roman" w:eastAsia="Calibri" w:hAnsi="Times New Roman" w:cs="Times New Roman"/>
                <w:b/>
                <w:i/>
                <w:sz w:val="20"/>
              </w:rPr>
            </w:pPr>
          </w:p>
        </w:tc>
        <w:tc>
          <w:tcPr>
            <w:tcW w:w="2693" w:type="dxa"/>
            <w:shd w:val="clear" w:color="auto" w:fill="92D050"/>
          </w:tcPr>
          <w:p w14:paraId="623271B2" w14:textId="77777777" w:rsidR="00054C41" w:rsidRPr="00895898" w:rsidRDefault="00054C41" w:rsidP="00142154">
            <w:pPr>
              <w:jc w:val="center"/>
              <w:rPr>
                <w:rFonts w:ascii="Times New Roman" w:eastAsia="Calibri" w:hAnsi="Times New Roman" w:cs="Times New Roman"/>
                <w:b/>
                <w:i/>
                <w:sz w:val="20"/>
              </w:rPr>
            </w:pPr>
          </w:p>
        </w:tc>
      </w:tr>
      <w:tr w:rsidR="00054C41" w:rsidRPr="00895898" w14:paraId="5592CF42" w14:textId="77777777" w:rsidTr="00142154">
        <w:tc>
          <w:tcPr>
            <w:tcW w:w="3681" w:type="dxa"/>
          </w:tcPr>
          <w:p w14:paraId="01B4507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E. Vplyv na </w:t>
            </w:r>
            <w:proofErr w:type="spellStart"/>
            <w:r w:rsidRPr="00895898">
              <w:rPr>
                <w:rFonts w:ascii="Times New Roman" w:eastAsia="Calibri" w:hAnsi="Times New Roman" w:cs="Times New Roman"/>
                <w:i/>
                <w:sz w:val="20"/>
              </w:rPr>
              <w:t>mikro</w:t>
            </w:r>
            <w:proofErr w:type="spellEnd"/>
            <w:r w:rsidRPr="00895898">
              <w:rPr>
                <w:rFonts w:ascii="Times New Roman" w:eastAsia="Calibri" w:hAnsi="Times New Roman" w:cs="Times New Roman"/>
                <w:i/>
                <w:sz w:val="20"/>
              </w:rPr>
              <w:t>, malé a stredné podniky</w:t>
            </w:r>
          </w:p>
        </w:tc>
        <w:tc>
          <w:tcPr>
            <w:tcW w:w="2693" w:type="dxa"/>
            <w:shd w:val="clear" w:color="auto" w:fill="FFC000"/>
          </w:tcPr>
          <w:p w14:paraId="7D80D68C"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52B3C4D4"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22C30EA7" w14:textId="77777777" w:rsidTr="00142154">
        <w:tc>
          <w:tcPr>
            <w:tcW w:w="3681" w:type="dxa"/>
          </w:tcPr>
          <w:p w14:paraId="7C25F36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14:paraId="56F8EF12" w14:textId="414B6AB7" w:rsidR="00054C41" w:rsidRPr="00895898" w:rsidRDefault="00224ED2" w:rsidP="00142154">
            <w:pPr>
              <w:jc w:val="center"/>
              <w:rPr>
                <w:rFonts w:ascii="Times New Roman" w:eastAsia="Calibri" w:hAnsi="Times New Roman" w:cs="Times New Roman"/>
                <w:b/>
                <w:i/>
                <w:sz w:val="20"/>
              </w:rPr>
            </w:pPr>
            <w:r>
              <w:rPr>
                <w:rFonts w:ascii="Times New Roman" w:eastAsia="Calibri" w:hAnsi="Times New Roman" w:cs="Times New Roman"/>
                <w:i/>
                <w:sz w:val="20"/>
              </w:rPr>
              <w:t>147</w:t>
            </w:r>
          </w:p>
        </w:tc>
        <w:tc>
          <w:tcPr>
            <w:tcW w:w="2693" w:type="dxa"/>
            <w:shd w:val="clear" w:color="auto" w:fill="92D050"/>
          </w:tcPr>
          <w:p w14:paraId="26F86839"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51AAD86C" w14:textId="77777777" w:rsidTr="00142154">
        <w:tc>
          <w:tcPr>
            <w:tcW w:w="9067" w:type="dxa"/>
            <w:gridSpan w:val="3"/>
            <w:shd w:val="clear" w:color="auto" w:fill="auto"/>
          </w:tcPr>
          <w:p w14:paraId="3015DC22" w14:textId="77777777" w:rsidR="00054C41" w:rsidRPr="00895898" w:rsidRDefault="00054C41" w:rsidP="00142154">
            <w:pPr>
              <w:jc w:val="center"/>
              <w:rPr>
                <w:rFonts w:ascii="Times New Roman" w:eastAsia="Calibri" w:hAnsi="Times New Roman" w:cs="Times New Roman"/>
                <w:b/>
                <w:bCs/>
                <w:i/>
                <w:sz w:val="20"/>
              </w:rPr>
            </w:pPr>
          </w:p>
        </w:tc>
      </w:tr>
      <w:tr w:rsidR="00054C41" w:rsidRPr="00895898" w14:paraId="0478A44B" w14:textId="77777777" w:rsidTr="00142154">
        <w:tc>
          <w:tcPr>
            <w:tcW w:w="3681" w:type="dxa"/>
          </w:tcPr>
          <w:p w14:paraId="223D796F" w14:textId="5E2E036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sidR="00E030DA">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14:paraId="2B6854C4"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14:paraId="5C88BAF1"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054C41" w:rsidRPr="00895898" w14:paraId="5011BAE2" w14:textId="77777777" w:rsidTr="00142154">
        <w:tc>
          <w:tcPr>
            <w:tcW w:w="3681" w:type="dxa"/>
          </w:tcPr>
          <w:p w14:paraId="23438493"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14:paraId="7041BF23"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c>
          <w:tcPr>
            <w:tcW w:w="2693" w:type="dxa"/>
            <w:shd w:val="clear" w:color="auto" w:fill="92D050"/>
          </w:tcPr>
          <w:p w14:paraId="254E8359"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774"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3506"/>
        <w:gridCol w:w="1036"/>
        <w:gridCol w:w="1135"/>
        <w:gridCol w:w="1294"/>
        <w:gridCol w:w="939"/>
        <w:gridCol w:w="1326"/>
        <w:gridCol w:w="979"/>
        <w:gridCol w:w="979"/>
        <w:gridCol w:w="976"/>
        <w:gridCol w:w="986"/>
        <w:gridCol w:w="1122"/>
      </w:tblGrid>
      <w:tr w:rsidR="00BC4CCF" w:rsidRPr="00895898" w14:paraId="10CEFB11" w14:textId="77777777" w:rsidTr="00BC4CCF">
        <w:trPr>
          <w:trHeight w:val="1644"/>
        </w:trPr>
        <w:tc>
          <w:tcPr>
            <w:tcW w:w="496"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
                <w:bCs/>
                <w:color w:val="000000"/>
                <w:sz w:val="20"/>
                <w:szCs w:val="20"/>
                <w:lang w:eastAsia="sk-SK"/>
              </w:rPr>
              <w:t>P.č</w:t>
            </w:r>
            <w:proofErr w:type="spellEnd"/>
            <w:r w:rsidRPr="00895898">
              <w:rPr>
                <w:rFonts w:ascii="Times New Roman" w:eastAsia="Times New Roman" w:hAnsi="Times New Roman" w:cs="Times New Roman"/>
                <w:b/>
                <w:bCs/>
                <w:color w:val="000000"/>
                <w:sz w:val="20"/>
                <w:szCs w:val="20"/>
                <w:lang w:eastAsia="sk-SK"/>
              </w:rPr>
              <w:t>.</w:t>
            </w:r>
          </w:p>
        </w:tc>
        <w:tc>
          <w:tcPr>
            <w:tcW w:w="3506"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36" w:type="dxa"/>
            <w:shd w:val="clear" w:color="auto" w:fill="BFBFBF"/>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35"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294"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 xml:space="preserve">SK/EÚ úplná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xml:space="preserve">./EÚ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s možnosťou voľby</w:t>
            </w:r>
          </w:p>
        </w:tc>
        <w:tc>
          <w:tcPr>
            <w:tcW w:w="939"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326"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Kategória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w:t>
            </w:r>
          </w:p>
        </w:tc>
        <w:tc>
          <w:tcPr>
            <w:tcW w:w="979"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79"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MSP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76"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86"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Vplyv na kategóriu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 v €</w:t>
            </w:r>
          </w:p>
        </w:tc>
        <w:tc>
          <w:tcPr>
            <w:tcW w:w="1122"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054C41" w:rsidRPr="00895898" w14:paraId="11758B9A" w14:textId="77777777" w:rsidTr="00BC4CCF">
        <w:trPr>
          <w:trHeight w:val="533"/>
        </w:trPr>
        <w:tc>
          <w:tcPr>
            <w:tcW w:w="496" w:type="dxa"/>
            <w:vAlign w:val="center"/>
          </w:tcPr>
          <w:p w14:paraId="6F827851" w14:textId="475ABA9A" w:rsidR="00054C41" w:rsidRPr="00895898" w:rsidRDefault="00D67DC2" w:rsidP="0014215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tc>
        <w:tc>
          <w:tcPr>
            <w:tcW w:w="3506" w:type="dxa"/>
            <w:shd w:val="clear" w:color="auto" w:fill="auto"/>
            <w:vAlign w:val="center"/>
          </w:tcPr>
          <w:p w14:paraId="7B4E9DA7" w14:textId="21F4A6A7" w:rsidR="00054C41" w:rsidRPr="00895898" w:rsidRDefault="00D67DC2" w:rsidP="00142154">
            <w:pPr>
              <w:spacing w:after="0" w:line="240" w:lineRule="auto"/>
              <w:rPr>
                <w:rFonts w:ascii="Times New Roman" w:eastAsia="Times New Roman" w:hAnsi="Times New Roman" w:cs="Times New Roman"/>
                <w:sz w:val="20"/>
                <w:szCs w:val="20"/>
                <w:lang w:eastAsia="sk-SK"/>
              </w:rPr>
            </w:pPr>
            <w:r w:rsidRPr="00D67DC2">
              <w:rPr>
                <w:rFonts w:ascii="Times New Roman" w:eastAsia="Times New Roman" w:hAnsi="Times New Roman" w:cs="Times New Roman"/>
                <w:sz w:val="20"/>
                <w:szCs w:val="20"/>
                <w:lang w:eastAsia="sk-SK"/>
              </w:rPr>
              <w:t>Spracovanie žiadosti zamestnanca o výplatu mzdy</w:t>
            </w:r>
            <w:r w:rsidR="00EC1E97">
              <w:rPr>
                <w:rFonts w:ascii="Times New Roman" w:eastAsia="Times New Roman" w:hAnsi="Times New Roman" w:cs="Times New Roman"/>
                <w:sz w:val="20"/>
                <w:szCs w:val="20"/>
                <w:lang w:eastAsia="sk-SK"/>
              </w:rPr>
              <w:t xml:space="preserve"> dodávateľom služby</w:t>
            </w:r>
            <w:r w:rsidRPr="00D67DC2">
              <w:rPr>
                <w:rFonts w:ascii="Times New Roman" w:eastAsia="Times New Roman" w:hAnsi="Times New Roman" w:cs="Times New Roman"/>
                <w:sz w:val="20"/>
                <w:szCs w:val="20"/>
                <w:lang w:eastAsia="sk-SK"/>
              </w:rPr>
              <w:t>, ak zamestn</w:t>
            </w:r>
            <w:r>
              <w:rPr>
                <w:rFonts w:ascii="Times New Roman" w:eastAsia="Times New Roman" w:hAnsi="Times New Roman" w:cs="Times New Roman"/>
                <w:sz w:val="20"/>
                <w:szCs w:val="20"/>
                <w:lang w:eastAsia="sk-SK"/>
              </w:rPr>
              <w:t>a</w:t>
            </w:r>
            <w:r w:rsidRPr="00D67DC2">
              <w:rPr>
                <w:rFonts w:ascii="Times New Roman" w:eastAsia="Times New Roman" w:hAnsi="Times New Roman" w:cs="Times New Roman"/>
                <w:sz w:val="20"/>
                <w:szCs w:val="20"/>
                <w:lang w:eastAsia="sk-SK"/>
              </w:rPr>
              <w:t xml:space="preserve">nec v rámci dodávky služieb zabezpečoval </w:t>
            </w:r>
            <w:r w:rsidR="00EC1E97">
              <w:rPr>
                <w:rFonts w:ascii="Times New Roman" w:eastAsia="Times New Roman" w:hAnsi="Times New Roman" w:cs="Times New Roman"/>
                <w:sz w:val="20"/>
                <w:szCs w:val="20"/>
                <w:lang w:eastAsia="sk-SK"/>
              </w:rPr>
              <w:t xml:space="preserve">pre dodávateľa služby </w:t>
            </w:r>
            <w:r w:rsidRPr="00D67DC2">
              <w:rPr>
                <w:rFonts w:ascii="Times New Roman" w:eastAsia="Times New Roman" w:hAnsi="Times New Roman" w:cs="Times New Roman"/>
                <w:sz w:val="20"/>
                <w:szCs w:val="20"/>
                <w:lang w:eastAsia="sk-SK"/>
              </w:rPr>
              <w:t>výkon stavebných prác a jeho zamestnávateľ mu nevypl</w:t>
            </w:r>
            <w:r>
              <w:rPr>
                <w:rFonts w:ascii="Times New Roman" w:eastAsia="Times New Roman" w:hAnsi="Times New Roman" w:cs="Times New Roman"/>
                <w:sz w:val="20"/>
                <w:szCs w:val="20"/>
                <w:lang w:eastAsia="sk-SK"/>
              </w:rPr>
              <w:t>a</w:t>
            </w:r>
            <w:r w:rsidRPr="00D67DC2">
              <w:rPr>
                <w:rFonts w:ascii="Times New Roman" w:eastAsia="Times New Roman" w:hAnsi="Times New Roman" w:cs="Times New Roman"/>
                <w:sz w:val="20"/>
                <w:szCs w:val="20"/>
                <w:lang w:eastAsia="sk-SK"/>
              </w:rPr>
              <w:t>til splatnú mzdu.</w:t>
            </w:r>
          </w:p>
        </w:tc>
        <w:tc>
          <w:tcPr>
            <w:tcW w:w="1036" w:type="dxa"/>
          </w:tcPr>
          <w:p w14:paraId="27B60F53" w14:textId="77777777" w:rsidR="00D67DC2" w:rsidRDefault="00D67DC2" w:rsidP="00D67DC2">
            <w:pPr>
              <w:spacing w:after="0" w:line="240" w:lineRule="auto"/>
              <w:rPr>
                <w:rFonts w:ascii="Times New Roman" w:eastAsia="Times New Roman" w:hAnsi="Times New Roman" w:cs="Times New Roman"/>
                <w:sz w:val="20"/>
                <w:szCs w:val="20"/>
                <w:lang w:eastAsia="sk-SK"/>
              </w:rPr>
            </w:pPr>
          </w:p>
          <w:p w14:paraId="196D518B" w14:textId="0E76A6D1" w:rsidR="00D67DC2" w:rsidRPr="00D67DC2" w:rsidRDefault="00D67DC2" w:rsidP="00D67DC2">
            <w:pPr>
              <w:spacing w:after="0" w:line="240" w:lineRule="auto"/>
              <w:rPr>
                <w:rFonts w:ascii="Times New Roman" w:eastAsia="Times New Roman" w:hAnsi="Times New Roman" w:cs="Times New Roman"/>
                <w:sz w:val="20"/>
                <w:szCs w:val="20"/>
                <w:lang w:eastAsia="sk-SK"/>
              </w:rPr>
            </w:pPr>
            <w:r w:rsidRPr="00D67DC2">
              <w:rPr>
                <w:rFonts w:ascii="Times New Roman" w:eastAsia="Times New Roman" w:hAnsi="Times New Roman" w:cs="Times New Roman"/>
                <w:sz w:val="20"/>
                <w:szCs w:val="20"/>
                <w:lang w:eastAsia="sk-SK"/>
              </w:rPr>
              <w:t>311/2001 Z. z.</w:t>
            </w:r>
          </w:p>
          <w:p w14:paraId="11DDF13B" w14:textId="77777777" w:rsidR="00D67DC2" w:rsidRPr="00D67DC2" w:rsidRDefault="00D67DC2" w:rsidP="00D67DC2">
            <w:pPr>
              <w:spacing w:after="0" w:line="240" w:lineRule="auto"/>
              <w:rPr>
                <w:rFonts w:ascii="Times New Roman" w:eastAsia="Times New Roman" w:hAnsi="Times New Roman" w:cs="Times New Roman"/>
                <w:sz w:val="20"/>
                <w:szCs w:val="20"/>
                <w:lang w:eastAsia="sk-SK"/>
              </w:rPr>
            </w:pPr>
          </w:p>
          <w:p w14:paraId="120314F8"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35" w:type="dxa"/>
            <w:shd w:val="clear" w:color="auto" w:fill="auto"/>
            <w:vAlign w:val="center"/>
          </w:tcPr>
          <w:p w14:paraId="2E520DDD" w14:textId="77777777" w:rsidR="00D67DC2" w:rsidRPr="00D67DC2" w:rsidRDefault="00D67DC2" w:rsidP="00D67DC2">
            <w:pPr>
              <w:spacing w:after="0" w:line="240" w:lineRule="auto"/>
              <w:rPr>
                <w:rFonts w:ascii="Times New Roman" w:eastAsia="Times New Roman" w:hAnsi="Times New Roman" w:cs="Times New Roman"/>
                <w:sz w:val="20"/>
                <w:szCs w:val="20"/>
                <w:lang w:eastAsia="sk-SK"/>
              </w:rPr>
            </w:pPr>
            <w:r w:rsidRPr="00D67DC2">
              <w:rPr>
                <w:rFonts w:ascii="Times New Roman" w:eastAsia="Times New Roman" w:hAnsi="Times New Roman" w:cs="Times New Roman"/>
                <w:sz w:val="20"/>
                <w:szCs w:val="20"/>
                <w:lang w:eastAsia="sk-SK"/>
              </w:rPr>
              <w:t>§ 130a ZP</w:t>
            </w:r>
          </w:p>
          <w:p w14:paraId="1CEAA750" w14:textId="77777777" w:rsidR="00D67DC2" w:rsidRPr="00D67DC2" w:rsidRDefault="00D67DC2" w:rsidP="00D67DC2">
            <w:pPr>
              <w:spacing w:after="0" w:line="240" w:lineRule="auto"/>
              <w:rPr>
                <w:rFonts w:ascii="Times New Roman" w:eastAsia="Times New Roman" w:hAnsi="Times New Roman" w:cs="Times New Roman"/>
                <w:sz w:val="20"/>
                <w:szCs w:val="20"/>
                <w:lang w:eastAsia="sk-SK"/>
              </w:rPr>
            </w:pPr>
          </w:p>
          <w:p w14:paraId="1B4826F8"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294" w:type="dxa"/>
            <w:vAlign w:val="center"/>
          </w:tcPr>
          <w:p w14:paraId="180A40DB" w14:textId="77777777" w:rsidR="00D67DC2" w:rsidRPr="00D67DC2" w:rsidRDefault="00D67DC2" w:rsidP="00D67DC2">
            <w:pPr>
              <w:spacing w:after="0" w:line="240" w:lineRule="auto"/>
              <w:rPr>
                <w:rFonts w:ascii="Times New Roman" w:eastAsia="Times New Roman" w:hAnsi="Times New Roman" w:cs="Times New Roman"/>
                <w:color w:val="000000"/>
                <w:sz w:val="20"/>
                <w:szCs w:val="20"/>
                <w:lang w:eastAsia="sk-SK"/>
              </w:rPr>
            </w:pPr>
            <w:r w:rsidRPr="00D67DC2">
              <w:rPr>
                <w:rFonts w:ascii="Times New Roman" w:eastAsia="Times New Roman" w:hAnsi="Times New Roman" w:cs="Times New Roman"/>
                <w:color w:val="000000"/>
                <w:sz w:val="20"/>
                <w:szCs w:val="20"/>
                <w:lang w:eastAsia="sk-SK"/>
              </w:rPr>
              <w:t>EÚ úplná harmonizácia</w:t>
            </w:r>
          </w:p>
          <w:p w14:paraId="5C66E15B" w14:textId="77777777" w:rsidR="00D67DC2" w:rsidRPr="00D67DC2" w:rsidRDefault="00D67DC2" w:rsidP="00D67DC2">
            <w:pPr>
              <w:spacing w:after="0" w:line="240" w:lineRule="auto"/>
              <w:rPr>
                <w:rFonts w:ascii="Times New Roman" w:eastAsia="Times New Roman" w:hAnsi="Times New Roman" w:cs="Times New Roman"/>
                <w:color w:val="000000"/>
                <w:sz w:val="20"/>
                <w:szCs w:val="20"/>
                <w:lang w:eastAsia="sk-SK"/>
              </w:rPr>
            </w:pPr>
          </w:p>
          <w:p w14:paraId="3A0BA66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9" w:type="dxa"/>
            <w:shd w:val="clear" w:color="auto" w:fill="auto"/>
            <w:noWrap/>
            <w:vAlign w:val="center"/>
          </w:tcPr>
          <w:p w14:paraId="6BFB7AA2" w14:textId="1693D9F4" w:rsidR="00054C41" w:rsidRPr="00816D27" w:rsidRDefault="00D67DC2" w:rsidP="00FB0399">
            <w:pPr>
              <w:spacing w:after="0" w:line="240" w:lineRule="auto"/>
              <w:rPr>
                <w:rFonts w:ascii="Times New Roman" w:eastAsia="Times New Roman" w:hAnsi="Times New Roman" w:cs="Times New Roman"/>
                <w:color w:val="000000"/>
                <w:sz w:val="20"/>
                <w:szCs w:val="20"/>
                <w:lang w:eastAsia="sk-SK"/>
              </w:rPr>
            </w:pPr>
            <w:r w:rsidRPr="00816D27">
              <w:rPr>
                <w:rFonts w:ascii="Times New Roman" w:eastAsia="Times New Roman" w:hAnsi="Times New Roman" w:cs="Times New Roman"/>
                <w:color w:val="000000"/>
                <w:sz w:val="20"/>
                <w:szCs w:val="20"/>
                <w:lang w:eastAsia="sk-SK"/>
              </w:rPr>
              <w:t>1.</w:t>
            </w:r>
            <w:r w:rsidR="00FB0399">
              <w:rPr>
                <w:rFonts w:ascii="Times New Roman" w:eastAsia="Times New Roman" w:hAnsi="Times New Roman" w:cs="Times New Roman"/>
                <w:color w:val="000000"/>
                <w:sz w:val="20"/>
                <w:szCs w:val="20"/>
                <w:lang w:eastAsia="sk-SK"/>
              </w:rPr>
              <w:t>8</w:t>
            </w:r>
            <w:r w:rsidRPr="00816D27">
              <w:rPr>
                <w:rFonts w:ascii="Times New Roman" w:eastAsia="Times New Roman" w:hAnsi="Times New Roman" w:cs="Times New Roman"/>
                <w:color w:val="000000"/>
                <w:sz w:val="20"/>
                <w:szCs w:val="20"/>
                <w:lang w:eastAsia="sk-SK"/>
              </w:rPr>
              <w:t>.2024</w:t>
            </w:r>
          </w:p>
        </w:tc>
        <w:tc>
          <w:tcPr>
            <w:tcW w:w="1326" w:type="dxa"/>
            <w:vAlign w:val="center"/>
          </w:tcPr>
          <w:p w14:paraId="26F458AC" w14:textId="77777777" w:rsidR="00D67DC2" w:rsidRPr="00D67DC2" w:rsidRDefault="00D67DC2" w:rsidP="00D67DC2">
            <w:pPr>
              <w:spacing w:after="0" w:line="240" w:lineRule="auto"/>
              <w:rPr>
                <w:rFonts w:ascii="Times New Roman" w:eastAsia="Times New Roman" w:hAnsi="Times New Roman" w:cs="Times New Roman"/>
                <w:sz w:val="20"/>
                <w:szCs w:val="20"/>
                <w:lang w:eastAsia="sk-SK"/>
              </w:rPr>
            </w:pPr>
            <w:r w:rsidRPr="00D67DC2">
              <w:rPr>
                <w:rFonts w:ascii="Times New Roman" w:eastAsia="Times New Roman" w:hAnsi="Times New Roman" w:cs="Times New Roman"/>
                <w:sz w:val="20"/>
                <w:szCs w:val="20"/>
                <w:lang w:eastAsia="sk-SK"/>
              </w:rPr>
              <w:t>dodávatelia služby v rámci stavebných prác</w:t>
            </w:r>
          </w:p>
          <w:p w14:paraId="06FA8957" w14:textId="77777777" w:rsidR="00D67DC2" w:rsidRPr="00D67DC2" w:rsidRDefault="00D67DC2" w:rsidP="00D67DC2">
            <w:pPr>
              <w:spacing w:after="0" w:line="240" w:lineRule="auto"/>
              <w:rPr>
                <w:rFonts w:ascii="Times New Roman" w:eastAsia="Times New Roman" w:hAnsi="Times New Roman" w:cs="Times New Roman"/>
                <w:sz w:val="20"/>
                <w:szCs w:val="20"/>
                <w:lang w:eastAsia="sk-SK"/>
              </w:rPr>
            </w:pPr>
          </w:p>
          <w:p w14:paraId="299C820D"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74360775" w14:textId="29D3BD41" w:rsidR="00054C41" w:rsidRPr="00895898" w:rsidRDefault="00FC59F6" w:rsidP="0014215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w:t>
            </w:r>
          </w:p>
        </w:tc>
        <w:tc>
          <w:tcPr>
            <w:tcW w:w="979" w:type="dxa"/>
            <w:shd w:val="clear" w:color="auto" w:fill="auto"/>
            <w:noWrap/>
            <w:vAlign w:val="center"/>
          </w:tcPr>
          <w:p w14:paraId="57C9126E" w14:textId="17FEE4D8" w:rsidR="00054C41" w:rsidRPr="00895898" w:rsidRDefault="00D67DC2" w:rsidP="00142154">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N</w:t>
            </w:r>
          </w:p>
        </w:tc>
        <w:tc>
          <w:tcPr>
            <w:tcW w:w="976" w:type="dxa"/>
            <w:shd w:val="clear" w:color="auto" w:fill="auto"/>
            <w:noWrap/>
            <w:vAlign w:val="center"/>
          </w:tcPr>
          <w:p w14:paraId="57D4FAC6" w14:textId="01C644F1" w:rsidR="00054C41" w:rsidRPr="00895898" w:rsidRDefault="00224ED2" w:rsidP="0014215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37</w:t>
            </w:r>
          </w:p>
        </w:tc>
        <w:tc>
          <w:tcPr>
            <w:tcW w:w="986" w:type="dxa"/>
            <w:shd w:val="clear" w:color="auto" w:fill="auto"/>
            <w:noWrap/>
            <w:vAlign w:val="center"/>
          </w:tcPr>
          <w:p w14:paraId="20A55E97" w14:textId="2255A512" w:rsidR="00054C41" w:rsidRPr="00895898" w:rsidRDefault="00224ED2" w:rsidP="00142154">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14</w:t>
            </w:r>
            <w:r w:rsidR="008A13BC">
              <w:rPr>
                <w:rFonts w:ascii="Times New Roman" w:eastAsia="Times New Roman" w:hAnsi="Times New Roman" w:cs="Times New Roman"/>
                <w:color w:val="000000"/>
                <w:sz w:val="20"/>
                <w:szCs w:val="20"/>
                <w:lang w:eastAsia="sk-SK"/>
              </w:rPr>
              <w:t>7</w:t>
            </w:r>
          </w:p>
        </w:tc>
        <w:tc>
          <w:tcPr>
            <w:tcW w:w="1122" w:type="dxa"/>
            <w:vAlign w:val="center"/>
          </w:tcPr>
          <w:p w14:paraId="032A8679" w14:textId="4B6EB364" w:rsidR="00054C41" w:rsidRPr="00895898" w:rsidRDefault="00D67DC2" w:rsidP="0014215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w:t>
            </w:r>
          </w:p>
        </w:tc>
      </w:tr>
      <w:tr w:rsidR="00054C41" w:rsidRPr="00895898" w14:paraId="3E85FB6C" w14:textId="77777777" w:rsidTr="00BC4CCF">
        <w:trPr>
          <w:trHeight w:val="522"/>
        </w:trPr>
        <w:tc>
          <w:tcPr>
            <w:tcW w:w="496" w:type="dxa"/>
            <w:vAlign w:val="center"/>
          </w:tcPr>
          <w:p w14:paraId="65795CE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06" w:type="dxa"/>
            <w:shd w:val="clear" w:color="auto" w:fill="auto"/>
            <w:vAlign w:val="center"/>
          </w:tcPr>
          <w:p w14:paraId="7BEDDF1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36" w:type="dxa"/>
          </w:tcPr>
          <w:p w14:paraId="6F95232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35" w:type="dxa"/>
            <w:shd w:val="clear" w:color="auto" w:fill="auto"/>
            <w:vAlign w:val="center"/>
          </w:tcPr>
          <w:p w14:paraId="4772F4F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294" w:type="dxa"/>
            <w:vAlign w:val="center"/>
          </w:tcPr>
          <w:p w14:paraId="202CD1E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9" w:type="dxa"/>
            <w:shd w:val="clear" w:color="auto" w:fill="auto"/>
            <w:noWrap/>
            <w:vAlign w:val="center"/>
          </w:tcPr>
          <w:p w14:paraId="727D051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26" w:type="dxa"/>
            <w:vAlign w:val="center"/>
          </w:tcPr>
          <w:p w14:paraId="41387D4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2F2BAC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3994905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76" w:type="dxa"/>
            <w:shd w:val="clear" w:color="auto" w:fill="auto"/>
            <w:noWrap/>
            <w:vAlign w:val="center"/>
          </w:tcPr>
          <w:p w14:paraId="1371B6C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6" w:type="dxa"/>
            <w:shd w:val="clear" w:color="auto" w:fill="auto"/>
            <w:noWrap/>
            <w:vAlign w:val="center"/>
          </w:tcPr>
          <w:p w14:paraId="0C7D454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22" w:type="dxa"/>
            <w:vAlign w:val="center"/>
          </w:tcPr>
          <w:p w14:paraId="3CD7D152"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0922CA33" w14:textId="77777777" w:rsidTr="00BC4CCF">
        <w:trPr>
          <w:trHeight w:val="522"/>
        </w:trPr>
        <w:tc>
          <w:tcPr>
            <w:tcW w:w="496" w:type="dxa"/>
            <w:vAlign w:val="center"/>
          </w:tcPr>
          <w:p w14:paraId="350B46C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06" w:type="dxa"/>
            <w:shd w:val="clear" w:color="auto" w:fill="auto"/>
            <w:vAlign w:val="center"/>
          </w:tcPr>
          <w:p w14:paraId="0CA669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36" w:type="dxa"/>
          </w:tcPr>
          <w:p w14:paraId="671FAD5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35" w:type="dxa"/>
            <w:shd w:val="clear" w:color="auto" w:fill="auto"/>
            <w:vAlign w:val="center"/>
          </w:tcPr>
          <w:p w14:paraId="454A93B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294" w:type="dxa"/>
            <w:vAlign w:val="center"/>
          </w:tcPr>
          <w:p w14:paraId="59119F8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9" w:type="dxa"/>
            <w:shd w:val="clear" w:color="auto" w:fill="auto"/>
            <w:noWrap/>
            <w:vAlign w:val="center"/>
          </w:tcPr>
          <w:p w14:paraId="14220C4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26" w:type="dxa"/>
            <w:vAlign w:val="center"/>
          </w:tcPr>
          <w:p w14:paraId="793D10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36AA08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342400C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76" w:type="dxa"/>
            <w:shd w:val="clear" w:color="auto" w:fill="auto"/>
            <w:noWrap/>
            <w:vAlign w:val="center"/>
          </w:tcPr>
          <w:p w14:paraId="643D8B2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6" w:type="dxa"/>
            <w:shd w:val="clear" w:color="auto" w:fill="auto"/>
            <w:noWrap/>
            <w:vAlign w:val="center"/>
          </w:tcPr>
          <w:p w14:paraId="280F78D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22" w:type="dxa"/>
            <w:vAlign w:val="center"/>
          </w:tcPr>
          <w:p w14:paraId="749B694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14F4C8F0" w14:textId="77777777" w:rsidTr="00BC4CCF">
        <w:trPr>
          <w:trHeight w:val="522"/>
        </w:trPr>
        <w:tc>
          <w:tcPr>
            <w:tcW w:w="496" w:type="dxa"/>
            <w:vAlign w:val="center"/>
          </w:tcPr>
          <w:p w14:paraId="16B3AE5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06" w:type="dxa"/>
            <w:shd w:val="clear" w:color="auto" w:fill="auto"/>
            <w:vAlign w:val="center"/>
          </w:tcPr>
          <w:p w14:paraId="06331E3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36" w:type="dxa"/>
          </w:tcPr>
          <w:p w14:paraId="721ACDB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35" w:type="dxa"/>
            <w:shd w:val="clear" w:color="auto" w:fill="auto"/>
            <w:vAlign w:val="center"/>
          </w:tcPr>
          <w:p w14:paraId="0952C5F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294" w:type="dxa"/>
            <w:vAlign w:val="center"/>
          </w:tcPr>
          <w:p w14:paraId="478252F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9" w:type="dxa"/>
            <w:shd w:val="clear" w:color="auto" w:fill="auto"/>
            <w:noWrap/>
            <w:vAlign w:val="center"/>
          </w:tcPr>
          <w:p w14:paraId="6DB51E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26" w:type="dxa"/>
            <w:vAlign w:val="center"/>
          </w:tcPr>
          <w:p w14:paraId="5860EA3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19075E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4AC36E7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76" w:type="dxa"/>
            <w:shd w:val="clear" w:color="auto" w:fill="auto"/>
            <w:noWrap/>
            <w:vAlign w:val="center"/>
          </w:tcPr>
          <w:p w14:paraId="46718EE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6" w:type="dxa"/>
            <w:shd w:val="clear" w:color="auto" w:fill="auto"/>
            <w:noWrap/>
            <w:vAlign w:val="center"/>
          </w:tcPr>
          <w:p w14:paraId="0D839B7F"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22" w:type="dxa"/>
            <w:vAlign w:val="center"/>
          </w:tcPr>
          <w:p w14:paraId="0CF1026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16C58F86" w14:textId="77777777" w:rsidTr="00BC4CCF">
        <w:trPr>
          <w:trHeight w:val="522"/>
        </w:trPr>
        <w:tc>
          <w:tcPr>
            <w:tcW w:w="496" w:type="dxa"/>
            <w:vAlign w:val="center"/>
          </w:tcPr>
          <w:p w14:paraId="0DCD4B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06" w:type="dxa"/>
            <w:shd w:val="clear" w:color="auto" w:fill="auto"/>
            <w:vAlign w:val="center"/>
          </w:tcPr>
          <w:p w14:paraId="17C9A25D"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36" w:type="dxa"/>
          </w:tcPr>
          <w:p w14:paraId="2D66994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35" w:type="dxa"/>
            <w:shd w:val="clear" w:color="auto" w:fill="auto"/>
            <w:vAlign w:val="center"/>
          </w:tcPr>
          <w:p w14:paraId="541354A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294" w:type="dxa"/>
            <w:vAlign w:val="center"/>
          </w:tcPr>
          <w:p w14:paraId="04A3109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9" w:type="dxa"/>
            <w:shd w:val="clear" w:color="auto" w:fill="auto"/>
            <w:noWrap/>
            <w:vAlign w:val="center"/>
          </w:tcPr>
          <w:p w14:paraId="7EC031B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26" w:type="dxa"/>
            <w:vAlign w:val="center"/>
          </w:tcPr>
          <w:p w14:paraId="2E412B6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152ADF1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28BE4D6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76" w:type="dxa"/>
            <w:shd w:val="clear" w:color="auto" w:fill="auto"/>
            <w:noWrap/>
            <w:vAlign w:val="center"/>
          </w:tcPr>
          <w:p w14:paraId="27AD2C0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6" w:type="dxa"/>
            <w:shd w:val="clear" w:color="auto" w:fill="auto"/>
            <w:noWrap/>
            <w:vAlign w:val="center"/>
          </w:tcPr>
          <w:p w14:paraId="397F1C2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22" w:type="dxa"/>
            <w:vAlign w:val="center"/>
          </w:tcPr>
          <w:p w14:paraId="5C67D7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3386FCD5" w14:textId="77777777" w:rsidTr="00BC4CCF">
        <w:trPr>
          <w:trHeight w:val="570"/>
        </w:trPr>
        <w:tc>
          <w:tcPr>
            <w:tcW w:w="496" w:type="dxa"/>
            <w:vAlign w:val="center"/>
          </w:tcPr>
          <w:p w14:paraId="341FC3D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06" w:type="dxa"/>
            <w:shd w:val="clear" w:color="auto" w:fill="auto"/>
            <w:vAlign w:val="center"/>
          </w:tcPr>
          <w:p w14:paraId="41A9303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36" w:type="dxa"/>
          </w:tcPr>
          <w:p w14:paraId="12AB029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35" w:type="dxa"/>
            <w:shd w:val="clear" w:color="auto" w:fill="auto"/>
            <w:vAlign w:val="center"/>
          </w:tcPr>
          <w:p w14:paraId="458F7AE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294" w:type="dxa"/>
            <w:vAlign w:val="center"/>
          </w:tcPr>
          <w:p w14:paraId="2C6AC92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9" w:type="dxa"/>
            <w:shd w:val="clear" w:color="auto" w:fill="auto"/>
            <w:noWrap/>
            <w:vAlign w:val="center"/>
          </w:tcPr>
          <w:p w14:paraId="17B3EA3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26" w:type="dxa"/>
            <w:vAlign w:val="center"/>
          </w:tcPr>
          <w:p w14:paraId="6C2BE11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6A663AC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6EE9592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76" w:type="dxa"/>
            <w:shd w:val="clear" w:color="auto" w:fill="auto"/>
            <w:noWrap/>
            <w:vAlign w:val="center"/>
          </w:tcPr>
          <w:p w14:paraId="090D1E5C"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6" w:type="dxa"/>
            <w:shd w:val="clear" w:color="auto" w:fill="auto"/>
            <w:noWrap/>
            <w:vAlign w:val="center"/>
          </w:tcPr>
          <w:p w14:paraId="57525B1B"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22" w:type="dxa"/>
            <w:vAlign w:val="center"/>
          </w:tcPr>
          <w:p w14:paraId="0D7DF0A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7EB0E4DE" w14:textId="77777777" w:rsidTr="00BC4CCF">
        <w:trPr>
          <w:trHeight w:val="504"/>
        </w:trPr>
        <w:tc>
          <w:tcPr>
            <w:tcW w:w="496" w:type="dxa"/>
            <w:vAlign w:val="center"/>
          </w:tcPr>
          <w:p w14:paraId="5C9E450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06" w:type="dxa"/>
            <w:shd w:val="clear" w:color="auto" w:fill="auto"/>
            <w:vAlign w:val="center"/>
          </w:tcPr>
          <w:p w14:paraId="3ECA181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36" w:type="dxa"/>
          </w:tcPr>
          <w:p w14:paraId="6A0B3DA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35" w:type="dxa"/>
            <w:shd w:val="clear" w:color="auto" w:fill="auto"/>
            <w:vAlign w:val="center"/>
          </w:tcPr>
          <w:p w14:paraId="4C4980A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294" w:type="dxa"/>
            <w:vAlign w:val="center"/>
          </w:tcPr>
          <w:p w14:paraId="3AD9044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9" w:type="dxa"/>
            <w:shd w:val="clear" w:color="auto" w:fill="auto"/>
            <w:noWrap/>
            <w:vAlign w:val="center"/>
          </w:tcPr>
          <w:p w14:paraId="3285AC1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26" w:type="dxa"/>
            <w:vAlign w:val="center"/>
          </w:tcPr>
          <w:p w14:paraId="4D281D8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1702048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4374C79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76" w:type="dxa"/>
            <w:shd w:val="clear" w:color="auto" w:fill="auto"/>
            <w:noWrap/>
            <w:vAlign w:val="center"/>
          </w:tcPr>
          <w:p w14:paraId="721A0B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6" w:type="dxa"/>
            <w:shd w:val="clear" w:color="auto" w:fill="auto"/>
            <w:noWrap/>
            <w:vAlign w:val="center"/>
          </w:tcPr>
          <w:p w14:paraId="6C3916C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22" w:type="dxa"/>
            <w:vAlign w:val="center"/>
          </w:tcPr>
          <w:p w14:paraId="652CB1E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06C32329" w14:textId="77777777" w:rsidTr="00BC4CCF">
        <w:trPr>
          <w:trHeight w:val="504"/>
        </w:trPr>
        <w:tc>
          <w:tcPr>
            <w:tcW w:w="496" w:type="dxa"/>
            <w:vAlign w:val="center"/>
          </w:tcPr>
          <w:p w14:paraId="63491A9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06" w:type="dxa"/>
            <w:shd w:val="clear" w:color="auto" w:fill="auto"/>
            <w:vAlign w:val="center"/>
          </w:tcPr>
          <w:p w14:paraId="068D520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36" w:type="dxa"/>
          </w:tcPr>
          <w:p w14:paraId="7691454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35" w:type="dxa"/>
            <w:shd w:val="clear" w:color="auto" w:fill="auto"/>
            <w:vAlign w:val="center"/>
          </w:tcPr>
          <w:p w14:paraId="3E1B104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294" w:type="dxa"/>
            <w:vAlign w:val="center"/>
          </w:tcPr>
          <w:p w14:paraId="2F4D48A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9" w:type="dxa"/>
            <w:shd w:val="clear" w:color="auto" w:fill="auto"/>
            <w:noWrap/>
            <w:vAlign w:val="center"/>
          </w:tcPr>
          <w:p w14:paraId="42E8A0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26" w:type="dxa"/>
            <w:vAlign w:val="center"/>
          </w:tcPr>
          <w:p w14:paraId="7159C8C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1C78D70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62DE2C3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76" w:type="dxa"/>
            <w:shd w:val="clear" w:color="auto" w:fill="auto"/>
            <w:noWrap/>
            <w:vAlign w:val="center"/>
          </w:tcPr>
          <w:p w14:paraId="0054144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6" w:type="dxa"/>
            <w:shd w:val="clear" w:color="auto" w:fill="auto"/>
            <w:noWrap/>
            <w:vAlign w:val="center"/>
          </w:tcPr>
          <w:p w14:paraId="349B96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22" w:type="dxa"/>
            <w:vAlign w:val="center"/>
          </w:tcPr>
          <w:p w14:paraId="4FE1067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4742F14C" w14:textId="77777777" w:rsidTr="00BC4CCF">
        <w:trPr>
          <w:trHeight w:val="504"/>
        </w:trPr>
        <w:tc>
          <w:tcPr>
            <w:tcW w:w="496" w:type="dxa"/>
            <w:vAlign w:val="center"/>
          </w:tcPr>
          <w:p w14:paraId="07289A6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06" w:type="dxa"/>
            <w:shd w:val="clear" w:color="auto" w:fill="auto"/>
            <w:vAlign w:val="center"/>
          </w:tcPr>
          <w:p w14:paraId="3BB78E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36" w:type="dxa"/>
          </w:tcPr>
          <w:p w14:paraId="0BD60F6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35" w:type="dxa"/>
            <w:shd w:val="clear" w:color="auto" w:fill="auto"/>
            <w:vAlign w:val="center"/>
          </w:tcPr>
          <w:p w14:paraId="2E194E4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294" w:type="dxa"/>
            <w:vAlign w:val="center"/>
          </w:tcPr>
          <w:p w14:paraId="1BDC3F8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9" w:type="dxa"/>
            <w:shd w:val="clear" w:color="auto" w:fill="auto"/>
            <w:noWrap/>
            <w:vAlign w:val="center"/>
          </w:tcPr>
          <w:p w14:paraId="6B7CDF3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26" w:type="dxa"/>
            <w:vAlign w:val="center"/>
          </w:tcPr>
          <w:p w14:paraId="308B8F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75028CE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9" w:type="dxa"/>
            <w:shd w:val="clear" w:color="auto" w:fill="auto"/>
            <w:noWrap/>
            <w:vAlign w:val="center"/>
          </w:tcPr>
          <w:p w14:paraId="7DE40B7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76" w:type="dxa"/>
            <w:shd w:val="clear" w:color="auto" w:fill="auto"/>
            <w:noWrap/>
            <w:vAlign w:val="center"/>
          </w:tcPr>
          <w:p w14:paraId="3098281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6" w:type="dxa"/>
            <w:shd w:val="clear" w:color="auto" w:fill="auto"/>
            <w:noWrap/>
            <w:vAlign w:val="center"/>
          </w:tcPr>
          <w:p w14:paraId="5847218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22" w:type="dxa"/>
            <w:vAlign w:val="center"/>
          </w:tcPr>
          <w:p w14:paraId="3BDDCE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bl>
    <w:p w14:paraId="392BDE53" w14:textId="7777FB91"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4B7EFCBA" w:rsidR="00054C41" w:rsidRPr="00D8247C"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53344E51" w14:textId="6EE7D0DF" w:rsidR="00616EAC" w:rsidRDefault="00616EAC" w:rsidP="00616EAC">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Predložený návrh zákona, </w:t>
      </w:r>
      <w:r w:rsidRPr="00616EAC">
        <w:rPr>
          <w:rFonts w:ascii="Times New Roman" w:eastAsia="Calibri" w:hAnsi="Times New Roman" w:cs="Times New Roman"/>
          <w:iCs/>
          <w:sz w:val="24"/>
          <w:szCs w:val="24"/>
        </w:rPr>
        <w:t xml:space="preserve">ktorým sa mení a dopĺňa zákon č. 311/2001 Z. z. Zákonník práce v znení neskorších predpisov </w:t>
      </w:r>
      <w:r>
        <w:rPr>
          <w:rFonts w:ascii="Times New Roman" w:eastAsia="Calibri" w:hAnsi="Times New Roman" w:cs="Times New Roman"/>
          <w:iCs/>
          <w:sz w:val="24"/>
          <w:szCs w:val="24"/>
        </w:rPr>
        <w:t xml:space="preserve">sa predkladá </w:t>
      </w:r>
      <w:r w:rsidRPr="00616EAC">
        <w:rPr>
          <w:rFonts w:ascii="Times New Roman" w:eastAsia="Calibri" w:hAnsi="Times New Roman" w:cs="Times New Roman"/>
          <w:iCs/>
          <w:sz w:val="24"/>
          <w:szCs w:val="24"/>
        </w:rPr>
        <w:t xml:space="preserve">z dôvodu vyhovieť odôvodnenému stanovisku Európskej komisie C(2023)93 </w:t>
      </w:r>
      <w:proofErr w:type="spellStart"/>
      <w:r w:rsidRPr="00616EAC">
        <w:rPr>
          <w:rFonts w:ascii="Times New Roman" w:eastAsia="Calibri" w:hAnsi="Times New Roman" w:cs="Times New Roman"/>
          <w:iCs/>
          <w:sz w:val="24"/>
          <w:szCs w:val="24"/>
        </w:rPr>
        <w:t>final</w:t>
      </w:r>
      <w:proofErr w:type="spellEnd"/>
      <w:r w:rsidRPr="00616EAC">
        <w:rPr>
          <w:rFonts w:ascii="Times New Roman" w:eastAsia="Calibri" w:hAnsi="Times New Roman" w:cs="Times New Roman"/>
          <w:iCs/>
          <w:sz w:val="24"/>
          <w:szCs w:val="24"/>
        </w:rPr>
        <w:t xml:space="preserve"> zo dňa 26. januára 2023, ktorá namieta nesúlad slovenských vnútroštátnych opatrení s čl. 12 smernice Európskeho parlamentu a Rady 2014/67/EÚ z 15. mája 2014 o presadzovaní smernice 96/71/ES o vysielaní pracovníkov v rámci poskytovania služieb, ktorou sa mení nariadenie (EÚ) č. 1024/2012 o administratívnej spolupráci prostredníctvom informačného systému o vnútornom trhu („nariadenie IMI“) Ú. v. EÚ L 159, 28.5.2014, s. 11 </w:t>
      </w:r>
      <w:r w:rsidR="00E97BA9">
        <w:rPr>
          <w:rFonts w:ascii="Times New Roman" w:eastAsia="Calibri" w:hAnsi="Times New Roman" w:cs="Times New Roman"/>
          <w:iCs/>
          <w:sz w:val="24"/>
          <w:szCs w:val="24"/>
        </w:rPr>
        <w:t>–</w:t>
      </w:r>
      <w:r w:rsidRPr="00616EAC">
        <w:rPr>
          <w:rFonts w:ascii="Times New Roman" w:eastAsia="Calibri" w:hAnsi="Times New Roman" w:cs="Times New Roman"/>
          <w:iCs/>
          <w:sz w:val="24"/>
          <w:szCs w:val="24"/>
        </w:rPr>
        <w:t xml:space="preserve"> 31</w:t>
      </w:r>
      <w:r w:rsidR="00E97BA9">
        <w:rPr>
          <w:rFonts w:ascii="Times New Roman" w:eastAsia="Calibri" w:hAnsi="Times New Roman" w:cs="Times New Roman"/>
          <w:iCs/>
          <w:sz w:val="24"/>
          <w:szCs w:val="24"/>
        </w:rPr>
        <w:t xml:space="preserve"> – ďalej len „smernica 2014/67/EÚ“</w:t>
      </w:r>
      <w:r w:rsidRPr="00616EAC">
        <w:rPr>
          <w:rFonts w:ascii="Times New Roman" w:eastAsia="Calibri" w:hAnsi="Times New Roman" w:cs="Times New Roman"/>
          <w:iCs/>
          <w:sz w:val="24"/>
          <w:szCs w:val="24"/>
        </w:rPr>
        <w:t>.</w:t>
      </w:r>
    </w:p>
    <w:p w14:paraId="14E16029" w14:textId="78DDE60C" w:rsidR="00616EAC" w:rsidRPr="00616EAC" w:rsidRDefault="00616EAC" w:rsidP="00616EAC">
      <w:pPr>
        <w:jc w:val="both"/>
        <w:rPr>
          <w:rFonts w:ascii="Times New Roman" w:eastAsia="Calibri" w:hAnsi="Times New Roman" w:cs="Times New Roman"/>
          <w:iCs/>
          <w:sz w:val="24"/>
          <w:szCs w:val="24"/>
        </w:rPr>
      </w:pPr>
      <w:r w:rsidRPr="00616EAC">
        <w:rPr>
          <w:rFonts w:ascii="Times New Roman" w:eastAsia="Calibri" w:hAnsi="Times New Roman" w:cs="Times New Roman"/>
          <w:iCs/>
          <w:sz w:val="24"/>
          <w:szCs w:val="24"/>
        </w:rPr>
        <w:t>Podľa Európskej komisie z porovnania článku 12 smernice 2014/67/EÚ a ustanovení Zákonníka práce vyplýva, že smernica vyžaduje zavedenie tzv. subdodávateľskej zodpovednosti podľa čl. 12 na nediskriminačnom základe, t. j. nielen na cezhraničné situácie, ale aj na vnútroštátne situácie, nakoľko subdodávateľská zodpovednosť zavedená v súčasnom § 5 ods. 11 Zákonníka práce sa týka len zodpovednosti za vyplatenie miezd, ak ide o priameho subdodávateľa, ktorý vysiela zamestnancov v rámci cezhraničného poskytovania služieb na územie Slovenskej republiky, ale netýka sa zodpovednosti za vyplatenie miezd, ak ide o priameho subdodávateľa, v rámci vnútroštátneho poskytovania služieb (výnimkou je právna úprava v § 58 Zákonníka práce, ktorá sa týka dočasného pridelenia). V tomto ohľade Európska komisia uvádza, že „</w:t>
      </w:r>
      <w:r w:rsidRPr="00EC1E97">
        <w:rPr>
          <w:rFonts w:ascii="Times New Roman" w:eastAsia="Calibri" w:hAnsi="Times New Roman" w:cs="Times New Roman"/>
          <w:i/>
          <w:sz w:val="24"/>
          <w:szCs w:val="24"/>
        </w:rPr>
        <w:t>Slovenská republika tým, že stanovila, že dodávateľ je zodpovedný len za nároky vyslaných pracovníkov, zaviedla prekážku slobody poskytovať služby, ktorá je v rozpore s požiadavkou nediskriminácie uvedenou v článku 12 smernice. Komisia zastáva názor, že zavedením tejto prekážky Slovenská republika porušuje článok 12 smernice</w:t>
      </w:r>
      <w:r w:rsidRPr="00616EAC">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p>
    <w:p w14:paraId="5D243826" w14:textId="5071E369" w:rsidR="00616EAC" w:rsidRDefault="00616EAC" w:rsidP="00616EAC">
      <w:pPr>
        <w:jc w:val="both"/>
        <w:rPr>
          <w:rFonts w:ascii="Times New Roman" w:eastAsia="Calibri" w:hAnsi="Times New Roman" w:cs="Times New Roman"/>
          <w:iCs/>
          <w:sz w:val="24"/>
          <w:szCs w:val="24"/>
        </w:rPr>
      </w:pPr>
      <w:r w:rsidRPr="00616EAC">
        <w:rPr>
          <w:rFonts w:ascii="Times New Roman" w:eastAsia="Calibri" w:hAnsi="Times New Roman" w:cs="Times New Roman"/>
          <w:iCs/>
          <w:sz w:val="24"/>
          <w:szCs w:val="24"/>
        </w:rPr>
        <w:t>Rozšírenie subdodávateľskej zodpovednosti za nevyplatenie mzdy</w:t>
      </w:r>
      <w:r w:rsidR="00FB0399">
        <w:rPr>
          <w:rFonts w:ascii="Times New Roman" w:eastAsia="Calibri" w:hAnsi="Times New Roman" w:cs="Times New Roman"/>
          <w:iCs/>
          <w:sz w:val="24"/>
          <w:szCs w:val="24"/>
        </w:rPr>
        <w:t xml:space="preserve"> – v tomto prípade už v konštrukcii právo zamestnanca na vyplatenie mzdy a povinnosť dodávateľa vyplatiť mzdu</w:t>
      </w:r>
      <w:r w:rsidRPr="00616EAC">
        <w:rPr>
          <w:rFonts w:ascii="Times New Roman" w:eastAsia="Calibri" w:hAnsi="Times New Roman" w:cs="Times New Roman"/>
          <w:iCs/>
          <w:sz w:val="24"/>
          <w:szCs w:val="24"/>
        </w:rPr>
        <w:t xml:space="preserve"> sa v zmysle smernice </w:t>
      </w:r>
      <w:r w:rsidR="00E97BA9" w:rsidRPr="00E97BA9">
        <w:rPr>
          <w:rFonts w:ascii="Times New Roman" w:eastAsia="Calibri" w:hAnsi="Times New Roman" w:cs="Times New Roman"/>
          <w:iCs/>
          <w:sz w:val="24"/>
          <w:szCs w:val="24"/>
        </w:rPr>
        <w:t>2014/67/EÚ</w:t>
      </w:r>
      <w:r w:rsidR="00E97BA9">
        <w:rPr>
          <w:rFonts w:ascii="Times New Roman" w:eastAsia="Calibri" w:hAnsi="Times New Roman" w:cs="Times New Roman"/>
          <w:iCs/>
          <w:sz w:val="24"/>
          <w:szCs w:val="24"/>
        </w:rPr>
        <w:t xml:space="preserve"> </w:t>
      </w:r>
      <w:r w:rsidRPr="00616EAC">
        <w:rPr>
          <w:rFonts w:ascii="Times New Roman" w:eastAsia="Calibri" w:hAnsi="Times New Roman" w:cs="Times New Roman"/>
          <w:iCs/>
          <w:sz w:val="24"/>
          <w:szCs w:val="24"/>
        </w:rPr>
        <w:t xml:space="preserve">týka zamestnancov v oblasti výkonu stavebných prác týkajúcich sa konštrukcie, opráv, údržby, prestavby alebo demolácie budov, ktorým ich zamestnávateľ nevyplatil splatnú </w:t>
      </w:r>
      <w:r w:rsidR="00A6731F">
        <w:rPr>
          <w:rFonts w:ascii="Times New Roman" w:eastAsia="Calibri" w:hAnsi="Times New Roman" w:cs="Times New Roman"/>
          <w:iCs/>
          <w:sz w:val="24"/>
          <w:szCs w:val="24"/>
        </w:rPr>
        <w:t xml:space="preserve">mzdu </w:t>
      </w:r>
      <w:r w:rsidRPr="00616EAC">
        <w:rPr>
          <w:rFonts w:ascii="Times New Roman" w:eastAsia="Calibri" w:hAnsi="Times New Roman" w:cs="Times New Roman"/>
          <w:iCs/>
          <w:sz w:val="24"/>
          <w:szCs w:val="24"/>
        </w:rPr>
        <w:t>a v tomto príp</w:t>
      </w:r>
      <w:r w:rsidR="001425E9">
        <w:rPr>
          <w:rFonts w:ascii="Times New Roman" w:eastAsia="Calibri" w:hAnsi="Times New Roman" w:cs="Times New Roman"/>
          <w:iCs/>
          <w:sz w:val="24"/>
          <w:szCs w:val="24"/>
        </w:rPr>
        <w:t>ade dodávateľ služby</w:t>
      </w:r>
      <w:r w:rsidR="00FB0399">
        <w:rPr>
          <w:rFonts w:ascii="Times New Roman" w:eastAsia="Calibri" w:hAnsi="Times New Roman" w:cs="Times New Roman"/>
          <w:iCs/>
          <w:sz w:val="24"/>
          <w:szCs w:val="24"/>
        </w:rPr>
        <w:t xml:space="preserve"> je povinný vyplatiť </w:t>
      </w:r>
      <w:r w:rsidRPr="00616EAC">
        <w:rPr>
          <w:rFonts w:ascii="Times New Roman" w:eastAsia="Calibri" w:hAnsi="Times New Roman" w:cs="Times New Roman"/>
          <w:iCs/>
          <w:sz w:val="24"/>
          <w:szCs w:val="24"/>
        </w:rPr>
        <w:t>mzd</w:t>
      </w:r>
      <w:r w:rsidR="00FB0399">
        <w:rPr>
          <w:rFonts w:ascii="Times New Roman" w:eastAsia="Calibri" w:hAnsi="Times New Roman" w:cs="Times New Roman"/>
          <w:iCs/>
          <w:sz w:val="24"/>
          <w:szCs w:val="24"/>
        </w:rPr>
        <w:t>u</w:t>
      </w:r>
      <w:r w:rsidRPr="00616EAC">
        <w:rPr>
          <w:rFonts w:ascii="Times New Roman" w:eastAsia="Calibri" w:hAnsi="Times New Roman" w:cs="Times New Roman"/>
          <w:iCs/>
          <w:sz w:val="24"/>
          <w:szCs w:val="24"/>
        </w:rPr>
        <w:t xml:space="preserve"> najviac v sume zodpovedajúcej minimálnej mzd</w:t>
      </w:r>
      <w:r w:rsidR="00A6731F">
        <w:rPr>
          <w:rFonts w:ascii="Times New Roman" w:eastAsia="Calibri" w:hAnsi="Times New Roman" w:cs="Times New Roman"/>
          <w:iCs/>
          <w:sz w:val="24"/>
          <w:szCs w:val="24"/>
        </w:rPr>
        <w:t>e</w:t>
      </w:r>
      <w:r w:rsidRPr="00616EAC">
        <w:rPr>
          <w:rFonts w:ascii="Times New Roman" w:eastAsia="Calibri" w:hAnsi="Times New Roman" w:cs="Times New Roman"/>
          <w:iCs/>
          <w:sz w:val="24"/>
          <w:szCs w:val="24"/>
        </w:rPr>
        <w:t xml:space="preserve"> patriacej za každú hodinu práce, ktorou sa zamestnanec podieľal na kontrakte svojho zamestnávateľa</w:t>
      </w:r>
      <w:r w:rsidR="00FB0399">
        <w:rPr>
          <w:rFonts w:ascii="Times New Roman" w:eastAsia="Calibri" w:hAnsi="Times New Roman" w:cs="Times New Roman"/>
          <w:iCs/>
          <w:sz w:val="24"/>
          <w:szCs w:val="24"/>
        </w:rPr>
        <w:t xml:space="preserve"> (alebo len v rozsahu rozdielu, ak časť mzdy bola zamestnávateľom vyplatená)</w:t>
      </w:r>
      <w:r w:rsidRPr="00616EAC">
        <w:rPr>
          <w:rFonts w:ascii="Times New Roman" w:eastAsia="Calibri" w:hAnsi="Times New Roman" w:cs="Times New Roman"/>
          <w:iCs/>
          <w:sz w:val="24"/>
          <w:szCs w:val="24"/>
        </w:rPr>
        <w:t>.</w:t>
      </w:r>
      <w:r w:rsidR="00EC1E97" w:rsidRPr="00EC1E97">
        <w:rPr>
          <w:rFonts w:ascii="Times New Roman" w:eastAsia="Calibri" w:hAnsi="Times New Roman" w:cs="Times New Roman"/>
          <w:iCs/>
          <w:sz w:val="24"/>
          <w:szCs w:val="24"/>
        </w:rPr>
        <w:t xml:space="preserve"> Danú mzdu</w:t>
      </w:r>
      <w:r w:rsidR="00EC1E97">
        <w:rPr>
          <w:rFonts w:ascii="Times New Roman" w:eastAsia="Calibri" w:hAnsi="Times New Roman" w:cs="Times New Roman"/>
          <w:iCs/>
          <w:sz w:val="24"/>
          <w:szCs w:val="24"/>
        </w:rPr>
        <w:t xml:space="preserve"> poskytuje dodávateľ služby v tzv. čistom vyjadrení a na dodávateľa služby neprechádza povinnosť výkonu zrážok zo mzdy. P</w:t>
      </w:r>
      <w:r w:rsidR="00EC1E97" w:rsidRPr="00EC1E97">
        <w:rPr>
          <w:rFonts w:ascii="Times New Roman" w:eastAsia="Calibri" w:hAnsi="Times New Roman" w:cs="Times New Roman"/>
          <w:iCs/>
          <w:sz w:val="24"/>
          <w:szCs w:val="24"/>
        </w:rPr>
        <w:t xml:space="preserve">redložený návrh zákona </w:t>
      </w:r>
      <w:r w:rsidR="00EC1E97">
        <w:rPr>
          <w:rFonts w:ascii="Times New Roman" w:eastAsia="Calibri" w:hAnsi="Times New Roman" w:cs="Times New Roman"/>
          <w:iCs/>
          <w:sz w:val="24"/>
          <w:szCs w:val="24"/>
        </w:rPr>
        <w:t xml:space="preserve">je </w:t>
      </w:r>
      <w:r w:rsidR="00EC1E97" w:rsidRPr="00EC1E97">
        <w:rPr>
          <w:rFonts w:ascii="Times New Roman" w:eastAsia="Calibri" w:hAnsi="Times New Roman" w:cs="Times New Roman"/>
          <w:iCs/>
          <w:sz w:val="24"/>
          <w:szCs w:val="24"/>
        </w:rPr>
        <w:t>plnou harmonizáci</w:t>
      </w:r>
      <w:r w:rsidR="001425E9">
        <w:rPr>
          <w:rFonts w:ascii="Times New Roman" w:eastAsia="Calibri" w:hAnsi="Times New Roman" w:cs="Times New Roman"/>
          <w:iCs/>
          <w:sz w:val="24"/>
          <w:szCs w:val="24"/>
        </w:rPr>
        <w:t>o</w:t>
      </w:r>
      <w:r w:rsidR="00EC1E97" w:rsidRPr="00EC1E97">
        <w:rPr>
          <w:rFonts w:ascii="Times New Roman" w:eastAsia="Calibri" w:hAnsi="Times New Roman" w:cs="Times New Roman"/>
          <w:iCs/>
          <w:sz w:val="24"/>
          <w:szCs w:val="24"/>
        </w:rPr>
        <w:t xml:space="preserve">u s právom EÚ. Ide o minimalistický model transpozície, pri ktorom nedochádza ku </w:t>
      </w:r>
      <w:proofErr w:type="spellStart"/>
      <w:r w:rsidR="00EC1E97" w:rsidRPr="00EC1E97">
        <w:rPr>
          <w:rFonts w:ascii="Times New Roman" w:eastAsia="Calibri" w:hAnsi="Times New Roman" w:cs="Times New Roman"/>
          <w:iCs/>
          <w:sz w:val="24"/>
          <w:szCs w:val="24"/>
        </w:rPr>
        <w:t>goldplatingu</w:t>
      </w:r>
      <w:proofErr w:type="spellEnd"/>
      <w:r w:rsidR="00EC1E97" w:rsidRPr="00EC1E97">
        <w:rPr>
          <w:rFonts w:ascii="Times New Roman" w:eastAsia="Calibri" w:hAnsi="Times New Roman" w:cs="Times New Roman"/>
          <w:iCs/>
          <w:sz w:val="24"/>
          <w:szCs w:val="24"/>
        </w:rPr>
        <w:t>.</w:t>
      </w:r>
    </w:p>
    <w:p w14:paraId="574C57AD" w14:textId="0AA8DDD3" w:rsidR="007F23E0" w:rsidRDefault="00A6731F" w:rsidP="00A6731F">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Podľa dostupných štatistických údajov </w:t>
      </w:r>
      <w:r w:rsidR="000C3A57">
        <w:rPr>
          <w:rFonts w:ascii="Times New Roman" w:eastAsia="Calibri" w:hAnsi="Times New Roman" w:cs="Times New Roman"/>
          <w:iCs/>
          <w:sz w:val="24"/>
          <w:szCs w:val="24"/>
        </w:rPr>
        <w:t xml:space="preserve">MV SR </w:t>
      </w:r>
      <w:r>
        <w:rPr>
          <w:rFonts w:ascii="Times New Roman" w:eastAsia="Calibri" w:hAnsi="Times New Roman" w:cs="Times New Roman"/>
          <w:iCs/>
          <w:sz w:val="24"/>
          <w:szCs w:val="24"/>
        </w:rPr>
        <w:t>v</w:t>
      </w:r>
      <w:r w:rsidRPr="00A6731F">
        <w:rPr>
          <w:rFonts w:ascii="Times New Roman" w:eastAsia="Calibri" w:hAnsi="Times New Roman" w:cs="Times New Roman"/>
          <w:iCs/>
          <w:sz w:val="24"/>
          <w:szCs w:val="24"/>
        </w:rPr>
        <w:t xml:space="preserve"> období rokov 2018 – 2022 bolo v SR priemerne </w:t>
      </w:r>
      <w:r w:rsidR="000C3A57">
        <w:rPr>
          <w:rFonts w:ascii="Times New Roman" w:eastAsia="Calibri" w:hAnsi="Times New Roman" w:cs="Times New Roman"/>
          <w:iCs/>
          <w:sz w:val="24"/>
          <w:szCs w:val="24"/>
        </w:rPr>
        <w:t xml:space="preserve">ročne </w:t>
      </w:r>
      <w:r w:rsidRPr="00A6731F">
        <w:rPr>
          <w:rFonts w:ascii="Times New Roman" w:eastAsia="Calibri" w:hAnsi="Times New Roman" w:cs="Times New Roman"/>
          <w:iCs/>
          <w:sz w:val="24"/>
          <w:szCs w:val="24"/>
        </w:rPr>
        <w:t xml:space="preserve">171 trestných činov nevyplatenia mzdy. Ide o všetkých zamestnancov v SR, ktorým nebola vyplatená mzda, pričom absentujú údaje o tom, koľko zamestnancov z danej skupiny tvoria zamestnanci v oblasti výkonu stavebných prác týkajúcich sa konštrukcie, opráv, </w:t>
      </w:r>
      <w:r w:rsidRPr="00A6731F">
        <w:rPr>
          <w:rFonts w:ascii="Times New Roman" w:eastAsia="Calibri" w:hAnsi="Times New Roman" w:cs="Times New Roman"/>
          <w:iCs/>
          <w:sz w:val="24"/>
          <w:szCs w:val="24"/>
        </w:rPr>
        <w:lastRenderedPageBreak/>
        <w:t>údržby, prestavby alebo demolácie budov, ktorým ich zamestnávateľ nevyplatil splatnú mzdu.</w:t>
      </w:r>
      <w:r>
        <w:rPr>
          <w:rFonts w:ascii="Times New Roman" w:eastAsia="Calibri" w:hAnsi="Times New Roman" w:cs="Times New Roman"/>
          <w:iCs/>
          <w:sz w:val="24"/>
          <w:szCs w:val="24"/>
        </w:rPr>
        <w:t xml:space="preserve"> </w:t>
      </w:r>
      <w:r w:rsidRPr="00A6731F">
        <w:rPr>
          <w:rFonts w:ascii="Times New Roman" w:eastAsia="Calibri" w:hAnsi="Times New Roman" w:cs="Times New Roman"/>
          <w:iCs/>
          <w:sz w:val="24"/>
          <w:szCs w:val="24"/>
        </w:rPr>
        <w:t xml:space="preserve">Nakoľko </w:t>
      </w:r>
      <w:r w:rsidR="001425E9">
        <w:rPr>
          <w:rFonts w:ascii="Times New Roman" w:eastAsia="Calibri" w:hAnsi="Times New Roman" w:cs="Times New Roman"/>
          <w:iCs/>
          <w:sz w:val="24"/>
          <w:szCs w:val="24"/>
        </w:rPr>
        <w:t xml:space="preserve">odhadovaný </w:t>
      </w:r>
      <w:r w:rsidRPr="00A6731F">
        <w:rPr>
          <w:rFonts w:ascii="Times New Roman" w:eastAsia="Calibri" w:hAnsi="Times New Roman" w:cs="Times New Roman"/>
          <w:iCs/>
          <w:sz w:val="24"/>
          <w:szCs w:val="24"/>
        </w:rPr>
        <w:t xml:space="preserve">podiel zamestnancov v stavebníctve predstavuje </w:t>
      </w:r>
      <w:r w:rsidRPr="007C209E">
        <w:rPr>
          <w:rFonts w:ascii="Times New Roman" w:eastAsia="Calibri" w:hAnsi="Times New Roman" w:cs="Times New Roman"/>
          <w:iCs/>
          <w:sz w:val="24"/>
          <w:szCs w:val="24"/>
        </w:rPr>
        <w:t xml:space="preserve">cca </w:t>
      </w:r>
      <w:r w:rsidR="00E2001A" w:rsidRPr="007C209E">
        <w:rPr>
          <w:rFonts w:ascii="Times New Roman" w:eastAsia="Calibri" w:hAnsi="Times New Roman" w:cs="Times New Roman"/>
          <w:iCs/>
          <w:sz w:val="24"/>
          <w:szCs w:val="24"/>
        </w:rPr>
        <w:t>2,5</w:t>
      </w:r>
      <w:r w:rsidRPr="007C209E">
        <w:rPr>
          <w:rFonts w:ascii="Times New Roman" w:eastAsia="Calibri" w:hAnsi="Times New Roman" w:cs="Times New Roman"/>
          <w:iCs/>
          <w:sz w:val="24"/>
          <w:szCs w:val="24"/>
        </w:rPr>
        <w:t xml:space="preserve"> %</w:t>
      </w:r>
      <w:r w:rsidRPr="00A6731F">
        <w:rPr>
          <w:rFonts w:ascii="Times New Roman" w:eastAsia="Calibri" w:hAnsi="Times New Roman" w:cs="Times New Roman"/>
          <w:iCs/>
          <w:sz w:val="24"/>
          <w:szCs w:val="24"/>
        </w:rPr>
        <w:t xml:space="preserve">  celkového počtu zamestnancov, potom možno predpokladať, že z počtu 171 prípadov nevyplatenia mzdy by mohlo byť </w:t>
      </w:r>
      <w:r w:rsidR="00915409">
        <w:rPr>
          <w:rFonts w:ascii="Times New Roman" w:eastAsia="Calibri" w:hAnsi="Times New Roman" w:cs="Times New Roman"/>
          <w:iCs/>
          <w:sz w:val="24"/>
          <w:szCs w:val="24"/>
        </w:rPr>
        <w:t>2,</w:t>
      </w:r>
      <w:r w:rsidRPr="00A6731F">
        <w:rPr>
          <w:rFonts w:ascii="Times New Roman" w:eastAsia="Calibri" w:hAnsi="Times New Roman" w:cs="Times New Roman"/>
          <w:iCs/>
          <w:sz w:val="24"/>
          <w:szCs w:val="24"/>
        </w:rPr>
        <w:t xml:space="preserve">5 % zamestnancov, ktorí vykonávajú stavebné práce, t. j. </w:t>
      </w:r>
      <w:r w:rsidR="00915409">
        <w:rPr>
          <w:rFonts w:ascii="Times New Roman" w:eastAsia="Calibri" w:hAnsi="Times New Roman" w:cs="Times New Roman"/>
          <w:iCs/>
          <w:sz w:val="24"/>
          <w:szCs w:val="24"/>
        </w:rPr>
        <w:t xml:space="preserve">možno predpokladať, že z daných prípadov by to mohli byť </w:t>
      </w:r>
      <w:r w:rsidRPr="00A6731F">
        <w:rPr>
          <w:rFonts w:ascii="Times New Roman" w:eastAsia="Calibri" w:hAnsi="Times New Roman" w:cs="Times New Roman"/>
          <w:iCs/>
          <w:sz w:val="24"/>
          <w:szCs w:val="24"/>
        </w:rPr>
        <w:t xml:space="preserve">cca </w:t>
      </w:r>
      <w:r w:rsidR="00915409">
        <w:rPr>
          <w:rFonts w:ascii="Times New Roman" w:eastAsia="Calibri" w:hAnsi="Times New Roman" w:cs="Times New Roman"/>
          <w:iCs/>
          <w:sz w:val="24"/>
          <w:szCs w:val="24"/>
        </w:rPr>
        <w:t>4</w:t>
      </w:r>
      <w:r w:rsidR="001425E9">
        <w:rPr>
          <w:rFonts w:ascii="Times New Roman" w:eastAsia="Calibri" w:hAnsi="Times New Roman" w:cs="Times New Roman"/>
          <w:iCs/>
          <w:sz w:val="24"/>
          <w:szCs w:val="24"/>
        </w:rPr>
        <w:t xml:space="preserve"> zamestnanci</w:t>
      </w:r>
      <w:r w:rsidRPr="00A6731F">
        <w:rPr>
          <w:rFonts w:ascii="Times New Roman" w:eastAsia="Calibri" w:hAnsi="Times New Roman" w:cs="Times New Roman"/>
          <w:iCs/>
          <w:sz w:val="24"/>
          <w:szCs w:val="24"/>
        </w:rPr>
        <w:t xml:space="preserve"> ročne. Z odhadovaného počtu </w:t>
      </w:r>
      <w:r w:rsidR="00915409">
        <w:rPr>
          <w:rFonts w:ascii="Times New Roman" w:eastAsia="Calibri" w:hAnsi="Times New Roman" w:cs="Times New Roman"/>
          <w:iCs/>
          <w:sz w:val="24"/>
          <w:szCs w:val="24"/>
        </w:rPr>
        <w:t>4</w:t>
      </w:r>
      <w:r w:rsidRPr="00A6731F">
        <w:rPr>
          <w:rFonts w:ascii="Times New Roman" w:eastAsia="Calibri" w:hAnsi="Times New Roman" w:cs="Times New Roman"/>
          <w:iCs/>
          <w:sz w:val="24"/>
          <w:szCs w:val="24"/>
        </w:rPr>
        <w:t xml:space="preserve"> prípadov ročne zamestnanci budú môcť naďalej žiadať o výplatu mzdy svojho zamestnávateľ</w:t>
      </w:r>
      <w:r>
        <w:rPr>
          <w:rFonts w:ascii="Times New Roman" w:eastAsia="Calibri" w:hAnsi="Times New Roman" w:cs="Times New Roman"/>
          <w:iCs/>
          <w:sz w:val="24"/>
          <w:szCs w:val="24"/>
        </w:rPr>
        <w:t>a</w:t>
      </w:r>
      <w:r w:rsidRPr="00A6731F">
        <w:rPr>
          <w:rFonts w:ascii="Times New Roman" w:eastAsia="Calibri" w:hAnsi="Times New Roman" w:cs="Times New Roman"/>
          <w:iCs/>
          <w:sz w:val="24"/>
          <w:szCs w:val="24"/>
        </w:rPr>
        <w:t xml:space="preserve"> a popri tom získajú možnosť žiadať o výplatu mzdy, resp. jej časti najviac v sume minimálnej mzdy </w:t>
      </w:r>
      <w:r>
        <w:rPr>
          <w:rFonts w:ascii="Times New Roman" w:eastAsia="Calibri" w:hAnsi="Times New Roman" w:cs="Times New Roman"/>
          <w:iCs/>
          <w:sz w:val="24"/>
          <w:szCs w:val="24"/>
        </w:rPr>
        <w:t xml:space="preserve">aj </w:t>
      </w:r>
      <w:r w:rsidRPr="00A6731F">
        <w:rPr>
          <w:rFonts w:ascii="Times New Roman" w:eastAsia="Calibri" w:hAnsi="Times New Roman" w:cs="Times New Roman"/>
          <w:iCs/>
          <w:sz w:val="24"/>
          <w:szCs w:val="24"/>
        </w:rPr>
        <w:t>dodávateľa služby. Reálny počet prípadov</w:t>
      </w:r>
      <w:r>
        <w:rPr>
          <w:rFonts w:ascii="Times New Roman" w:eastAsia="Calibri" w:hAnsi="Times New Roman" w:cs="Times New Roman"/>
          <w:iCs/>
          <w:sz w:val="24"/>
          <w:szCs w:val="24"/>
        </w:rPr>
        <w:t>, kedy zamestnanci vykonávajúci stavebné práce v rámci dodávky služby požiadajú o výplatu mzdy alebo jej časti dodávateľa služby</w:t>
      </w:r>
      <w:r w:rsidR="0042746A">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môže byť </w:t>
      </w:r>
      <w:r w:rsidR="00915409">
        <w:rPr>
          <w:rFonts w:ascii="Times New Roman" w:eastAsia="Calibri" w:hAnsi="Times New Roman" w:cs="Times New Roman"/>
          <w:iCs/>
          <w:sz w:val="24"/>
          <w:szCs w:val="24"/>
        </w:rPr>
        <w:t xml:space="preserve">z uvádzaného dôvodu ešte </w:t>
      </w:r>
      <w:r>
        <w:rPr>
          <w:rFonts w:ascii="Times New Roman" w:eastAsia="Calibri" w:hAnsi="Times New Roman" w:cs="Times New Roman"/>
          <w:iCs/>
          <w:sz w:val="24"/>
          <w:szCs w:val="24"/>
        </w:rPr>
        <w:t>nižší</w:t>
      </w:r>
      <w:r w:rsidR="0042746A">
        <w:rPr>
          <w:rFonts w:ascii="Times New Roman" w:eastAsia="Calibri" w:hAnsi="Times New Roman" w:cs="Times New Roman"/>
          <w:iCs/>
          <w:sz w:val="24"/>
          <w:szCs w:val="24"/>
        </w:rPr>
        <w:t>, nakoľko stále budú môcť žiadať o výplatu mzdy aj svojho zamestnávateľa</w:t>
      </w:r>
      <w:r w:rsidR="0042746A" w:rsidRPr="00134DB7">
        <w:rPr>
          <w:rFonts w:ascii="Times New Roman" w:eastAsia="Calibri" w:hAnsi="Times New Roman" w:cs="Times New Roman"/>
          <w:iCs/>
          <w:sz w:val="24"/>
          <w:szCs w:val="24"/>
        </w:rPr>
        <w:t xml:space="preserve">. </w:t>
      </w:r>
      <w:r w:rsidR="00FC59F6" w:rsidRPr="00134DB7">
        <w:rPr>
          <w:rFonts w:ascii="Times New Roman" w:eastAsia="Calibri" w:hAnsi="Times New Roman" w:cs="Times New Roman"/>
          <w:iCs/>
          <w:sz w:val="24"/>
          <w:szCs w:val="24"/>
        </w:rPr>
        <w:t>Vzhľadom na nemožnosť odhadu počtu dotknutých zamestnávateľov, ale na možnosť odhadu počtu dotknutých zamestnancov (ročne), vychádza výpočet vplyvov na zmenu nákladov podnikateľského prostredia (aby sa vôbec mohol vykonať) z predpokladu: jeden zamestnanec – jeden zamestnávateľ.</w:t>
      </w:r>
      <w:r w:rsidR="00FC59F6">
        <w:rPr>
          <w:rFonts w:ascii="Times New Roman" w:eastAsia="Calibri" w:hAnsi="Times New Roman" w:cs="Times New Roman"/>
          <w:iCs/>
          <w:sz w:val="24"/>
          <w:szCs w:val="24"/>
        </w:rPr>
        <w:t xml:space="preserve">      </w:t>
      </w:r>
    </w:p>
    <w:p w14:paraId="67F1590F" w14:textId="65673527" w:rsidR="005A1909" w:rsidRDefault="005A1909" w:rsidP="00A6731F">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Podľa Štatistickej ročenky MS SR z roku 2021 bolo v roku 2021 vybavených 531 pracovnoprávnych vecí (667 sporov), z toho 234 sa týkalo kategórie „mzdy, nároky“ a z toho bolo 88 sporov zaradených do oblasti mzda.</w:t>
      </w:r>
    </w:p>
    <w:p w14:paraId="436EFBC6" w14:textId="47B8A432" w:rsidR="000C3A57" w:rsidRPr="000C3A57" w:rsidRDefault="000C3A57" w:rsidP="00A6731F">
      <w:pPr>
        <w:jc w:val="both"/>
        <w:rPr>
          <w:rFonts w:ascii="Times New Roman" w:eastAsia="Calibri" w:hAnsi="Times New Roman" w:cs="Times New Roman"/>
          <w:i/>
          <w:iCs/>
          <w:sz w:val="24"/>
          <w:szCs w:val="24"/>
        </w:rPr>
      </w:pPr>
      <w:r w:rsidRPr="000C3A57">
        <w:rPr>
          <w:i/>
        </w:rPr>
        <w:t>*Sporom sa na účely štatistiky rozumie spôsob vybavenia každého u</w:t>
      </w:r>
      <w:r>
        <w:rPr>
          <w:i/>
        </w:rPr>
        <w:t>platneného nároku vo vzťahu ku ka</w:t>
      </w:r>
      <w:r w:rsidR="001425E9">
        <w:rPr>
          <w:i/>
        </w:rPr>
        <w:t>ždému ú</w:t>
      </w:r>
      <w:r w:rsidRPr="000C3A57">
        <w:rPr>
          <w:i/>
        </w:rPr>
        <w:t>častníkovi konania.</w:t>
      </w:r>
    </w:p>
    <w:p w14:paraId="6807B495" w14:textId="372F5B06" w:rsidR="000C3A57" w:rsidRDefault="000C3A57" w:rsidP="00A6731F">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Zdroj:</w:t>
      </w:r>
      <w:r w:rsidRPr="000C3A57">
        <w:rPr>
          <w:rFonts w:ascii="Times New Roman" w:eastAsia="Calibri" w:hAnsi="Times New Roman" w:cs="Times New Roman"/>
          <w:iCs/>
          <w:sz w:val="24"/>
          <w:szCs w:val="24"/>
        </w:rPr>
        <w:t>https://web.acmssr.sk/wpcontent/uploads/2022/statisticka_rocenka_2021/III.%201%20Ob%C4%8Dianskopr%C3%A1vne%20veci_2021.pdf</w:t>
      </w:r>
      <w:r>
        <w:rPr>
          <w:rFonts w:ascii="Times New Roman" w:eastAsia="Calibri" w:hAnsi="Times New Roman" w:cs="Times New Roman"/>
          <w:iCs/>
          <w:sz w:val="24"/>
          <w:szCs w:val="24"/>
        </w:rPr>
        <w:t xml:space="preserve"> </w:t>
      </w:r>
    </w:p>
    <w:p w14:paraId="0B837BE9" w14:textId="3C84D1A2" w:rsidR="0018675A" w:rsidRDefault="0018675A" w:rsidP="00A6731F">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Vyššie uvedené závery podporuje aj prieskum odbornej literatúry</w:t>
      </w:r>
      <w:r w:rsidR="003D6CE8">
        <w:rPr>
          <w:rFonts w:ascii="Times New Roman" w:eastAsia="Calibri" w:hAnsi="Times New Roman" w:cs="Times New Roman"/>
          <w:iCs/>
          <w:sz w:val="24"/>
          <w:szCs w:val="24"/>
        </w:rPr>
        <w:t xml:space="preserve"> vykonaný predkladateľom v kontexte právnej úpravy v iných členských štátoch. Táto literatúra </w:t>
      </w:r>
      <w:r>
        <w:rPr>
          <w:rFonts w:ascii="Times New Roman" w:eastAsia="Calibri" w:hAnsi="Times New Roman" w:cs="Times New Roman"/>
          <w:iCs/>
          <w:sz w:val="24"/>
          <w:szCs w:val="24"/>
        </w:rPr>
        <w:t xml:space="preserve">konštatujú </w:t>
      </w:r>
      <w:r w:rsidR="003D6CE8">
        <w:rPr>
          <w:rFonts w:ascii="Times New Roman" w:eastAsia="Calibri" w:hAnsi="Times New Roman" w:cs="Times New Roman"/>
          <w:iCs/>
          <w:sz w:val="24"/>
          <w:szCs w:val="24"/>
        </w:rPr>
        <w:t>malý</w:t>
      </w:r>
      <w:r>
        <w:rPr>
          <w:rFonts w:ascii="Times New Roman" w:eastAsia="Calibri" w:hAnsi="Times New Roman" w:cs="Times New Roman"/>
          <w:iCs/>
          <w:sz w:val="24"/>
          <w:szCs w:val="24"/>
        </w:rPr>
        <w:t xml:space="preserve"> počet prípadov uplatnenia mzdy v kontexte spoločnej zodpovednosti dodávateľa za vyplatenie mzdy subdodávateľom</w:t>
      </w:r>
      <w:r w:rsidR="003D6CE8">
        <w:rPr>
          <w:rFonts w:ascii="Times New Roman" w:eastAsia="Calibri" w:hAnsi="Times New Roman" w:cs="Times New Roman"/>
          <w:iCs/>
          <w:sz w:val="24"/>
          <w:szCs w:val="24"/>
        </w:rPr>
        <w:t xml:space="preserve"> vzhľadom na komplexnosť otázky a prípadne cezhraničné situácie, kde by zamestnanec musel žalovať dodávateľa so sídlom v inom štáte</w:t>
      </w:r>
      <w:r>
        <w:rPr>
          <w:rFonts w:ascii="Times New Roman" w:eastAsia="Calibri" w:hAnsi="Times New Roman" w:cs="Times New Roman"/>
          <w:iCs/>
          <w:sz w:val="24"/>
          <w:szCs w:val="24"/>
        </w:rPr>
        <w:t>. Tento nástroj teda sl</w:t>
      </w:r>
      <w:r w:rsidR="003D6CE8">
        <w:rPr>
          <w:rFonts w:ascii="Times New Roman" w:eastAsia="Calibri" w:hAnsi="Times New Roman" w:cs="Times New Roman"/>
          <w:iCs/>
          <w:sz w:val="24"/>
          <w:szCs w:val="24"/>
        </w:rPr>
        <w:t>úži primárne</w:t>
      </w:r>
      <w:r>
        <w:rPr>
          <w:rFonts w:ascii="Times New Roman" w:eastAsia="Calibri" w:hAnsi="Times New Roman" w:cs="Times New Roman"/>
          <w:iCs/>
          <w:sz w:val="24"/>
          <w:szCs w:val="24"/>
        </w:rPr>
        <w:t xml:space="preserve"> na prevenciu konania </w:t>
      </w:r>
      <w:r w:rsidR="003D6CE8">
        <w:rPr>
          <w:rFonts w:ascii="Times New Roman" w:eastAsia="Calibri" w:hAnsi="Times New Roman" w:cs="Times New Roman"/>
          <w:iCs/>
          <w:sz w:val="24"/>
          <w:szCs w:val="24"/>
        </w:rPr>
        <w:t>a uplatnenie princípov náležitej starostlivosti, aby taká situácia nenastala, čo je nepochybne postup, ktorý dodávatelia zodpovedajúci za dielo voči svojim subdodávateľom z povahy veci uplatňujú v obchodnoprávnych vzťahoch.</w:t>
      </w:r>
    </w:p>
    <w:p w14:paraId="19732C20" w14:textId="335CD5D1" w:rsidR="007F23E0" w:rsidRDefault="007F23E0" w:rsidP="00A6731F">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Zároveň je potrebné vziať do úvahy, že v prípadoch,</w:t>
      </w:r>
      <w:r w:rsidR="00FB52F3">
        <w:rPr>
          <w:rFonts w:ascii="Times New Roman" w:eastAsia="Calibri" w:hAnsi="Times New Roman" w:cs="Times New Roman"/>
          <w:iCs/>
          <w:sz w:val="24"/>
          <w:szCs w:val="24"/>
        </w:rPr>
        <w:t xml:space="preserve"> kedy </w:t>
      </w:r>
      <w:r>
        <w:rPr>
          <w:rFonts w:ascii="Times New Roman" w:eastAsia="Calibri" w:hAnsi="Times New Roman" w:cs="Times New Roman"/>
          <w:iCs/>
          <w:sz w:val="24"/>
          <w:szCs w:val="24"/>
        </w:rPr>
        <w:t xml:space="preserve">zamestnávateľ </w:t>
      </w:r>
      <w:r w:rsidR="00FB52F3">
        <w:rPr>
          <w:rFonts w:ascii="Times New Roman" w:eastAsia="Calibri" w:hAnsi="Times New Roman" w:cs="Times New Roman"/>
          <w:iCs/>
          <w:sz w:val="24"/>
          <w:szCs w:val="24"/>
        </w:rPr>
        <w:t xml:space="preserve">je </w:t>
      </w:r>
      <w:r>
        <w:rPr>
          <w:rFonts w:ascii="Times New Roman" w:eastAsia="Calibri" w:hAnsi="Times New Roman" w:cs="Times New Roman"/>
          <w:iCs/>
          <w:sz w:val="24"/>
          <w:szCs w:val="24"/>
        </w:rPr>
        <w:t>v platobnej neschopnosti, preberá garanciu nevyplatenej mzdy štát v podobe dávky garančného poistenia podľa zákona č. 461/2003 Z. z. o sociálnom poistení</w:t>
      </w:r>
      <w:r w:rsidR="00FB52F3">
        <w:rPr>
          <w:rFonts w:ascii="Times New Roman" w:eastAsia="Calibri" w:hAnsi="Times New Roman" w:cs="Times New Roman"/>
          <w:iCs/>
          <w:sz w:val="24"/>
          <w:szCs w:val="24"/>
        </w:rPr>
        <w:t>, ktorá pokrýva aj nevyplatenú mzdu (§ 102 ods. 1 písm. a)</w:t>
      </w:r>
      <w:r>
        <w:rPr>
          <w:rFonts w:ascii="Times New Roman" w:eastAsia="Calibri" w:hAnsi="Times New Roman" w:cs="Times New Roman"/>
          <w:iCs/>
          <w:sz w:val="24"/>
          <w:szCs w:val="24"/>
        </w:rPr>
        <w:t xml:space="preserve">. Podľa § 103 ods. 2 zákona </w:t>
      </w:r>
      <w:r w:rsidRPr="007F23E0">
        <w:rPr>
          <w:rFonts w:ascii="Times New Roman" w:eastAsia="Calibri" w:hAnsi="Times New Roman" w:cs="Times New Roman"/>
          <w:i/>
          <w:iCs/>
          <w:sz w:val="24"/>
          <w:szCs w:val="24"/>
        </w:rPr>
        <w:t>„Dávka garančného poistenia sa poskytne najviac v rozsahu troch mesiacov z posledných 18 mesiacov trvania pracovnoprávneho vzťahu predchádzajúcich začiatku platobnej neschopnosti zamestnávateľa alebo dňu skončenia pracovnoprávneho vzťahu z dôvodu platobnej neschopnosti zamestnávateľa.“.</w:t>
      </w:r>
      <w:r>
        <w:rPr>
          <w:rFonts w:ascii="Times New Roman" w:eastAsia="Calibri" w:hAnsi="Times New Roman" w:cs="Times New Roman"/>
          <w:iCs/>
          <w:sz w:val="24"/>
          <w:szCs w:val="24"/>
        </w:rPr>
        <w:t xml:space="preserve"> V týchto prípadoch možno predpokladať, že zamestnanec si nárok uplatní v príslušnej pobočke Sociálnej poisťovne aj vzhľadom na vysoký predpoklad vyplatenie takéhoto plnenia v porovnaní s neistým stanoviskom dodávateľa služby a možnosťou uplatnenia postupu podľa navrhovaného § 130a ods. </w:t>
      </w:r>
      <w:r w:rsidR="00FB0399">
        <w:rPr>
          <w:rFonts w:ascii="Times New Roman" w:eastAsia="Calibri" w:hAnsi="Times New Roman" w:cs="Times New Roman"/>
          <w:iCs/>
          <w:sz w:val="24"/>
          <w:szCs w:val="24"/>
        </w:rPr>
        <w:t xml:space="preserve">7, kedy dodávateľ môže odmietnuť </w:t>
      </w:r>
      <w:r w:rsidR="005A1909">
        <w:rPr>
          <w:rFonts w:ascii="Times New Roman" w:eastAsia="Calibri" w:hAnsi="Times New Roman" w:cs="Times New Roman"/>
          <w:iCs/>
          <w:sz w:val="24"/>
          <w:szCs w:val="24"/>
        </w:rPr>
        <w:t>vyplatenie mzdy</w:t>
      </w:r>
      <w:r>
        <w:rPr>
          <w:rFonts w:ascii="Times New Roman" w:eastAsia="Calibri" w:hAnsi="Times New Roman" w:cs="Times New Roman"/>
          <w:iCs/>
          <w:sz w:val="24"/>
          <w:szCs w:val="24"/>
        </w:rPr>
        <w:t xml:space="preserve">. Podľa § 116 ods. 6 zákona o sociálnom poistení </w:t>
      </w:r>
      <w:r w:rsidRPr="007F23E0">
        <w:rPr>
          <w:rFonts w:ascii="Times New Roman" w:eastAsia="Calibri" w:hAnsi="Times New Roman" w:cs="Times New Roman"/>
          <w:i/>
          <w:iCs/>
          <w:sz w:val="24"/>
          <w:szCs w:val="24"/>
        </w:rPr>
        <w:t>„Dávka garančného poistenia sa vyplatí najneskôr do 60 dní od doručenia žiadosti o priznanie tejto dávky.“.</w:t>
      </w:r>
    </w:p>
    <w:p w14:paraId="0E1D21AE" w14:textId="46252116" w:rsidR="00A6731F" w:rsidRDefault="007F23E0" w:rsidP="00A6731F">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Z</w:t>
      </w:r>
      <w:r w:rsidR="00A6731F">
        <w:rPr>
          <w:rFonts w:ascii="Times New Roman" w:eastAsia="Calibri" w:hAnsi="Times New Roman" w:cs="Times New Roman"/>
          <w:iCs/>
          <w:sz w:val="24"/>
          <w:szCs w:val="24"/>
        </w:rPr>
        <w:t> titulu žiadosti o vyplatenie mzdy adresovanej dodávateľom služby môžu stúpnuť jednorazové administratívne náklady u dodávateľov služieb</w:t>
      </w:r>
      <w:r w:rsidR="0042746A">
        <w:rPr>
          <w:rFonts w:ascii="Times New Roman" w:eastAsia="Calibri" w:hAnsi="Times New Roman" w:cs="Times New Roman"/>
          <w:iCs/>
          <w:sz w:val="24"/>
          <w:szCs w:val="24"/>
        </w:rPr>
        <w:t xml:space="preserve">, čo predstavuje negatívny vplyv na podnikateľské prostredie. Vzhľadom na predpokladaný nízky počet takýchto prípadoch sú dané vplyvy veľmi nízke a z hľadiska podnikateľského prostredia ich možno </w:t>
      </w:r>
      <w:r w:rsidR="0042746A" w:rsidRPr="007C209E">
        <w:rPr>
          <w:rFonts w:ascii="Times New Roman" w:eastAsia="Calibri" w:hAnsi="Times New Roman" w:cs="Times New Roman"/>
          <w:iCs/>
          <w:sz w:val="24"/>
          <w:szCs w:val="24"/>
        </w:rPr>
        <w:t>považovať takmer za marginálne.</w:t>
      </w:r>
      <w:r w:rsidR="00451775">
        <w:rPr>
          <w:rFonts w:ascii="Times New Roman" w:eastAsia="Calibri" w:hAnsi="Times New Roman" w:cs="Times New Roman"/>
          <w:iCs/>
          <w:sz w:val="24"/>
          <w:szCs w:val="24"/>
        </w:rPr>
        <w:t xml:space="preserve"> </w:t>
      </w:r>
    </w:p>
    <w:p w14:paraId="301CA842" w14:textId="0726058D" w:rsidR="00FD195F" w:rsidRDefault="00FD195F" w:rsidP="00A6731F">
      <w:pPr>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Nakoľko dodávateľ služby sa predmetným návrhom zákona stáva de </w:t>
      </w:r>
      <w:proofErr w:type="spellStart"/>
      <w:r>
        <w:rPr>
          <w:rFonts w:ascii="Times New Roman" w:eastAsia="Calibri" w:hAnsi="Times New Roman" w:cs="Times New Roman"/>
          <w:iCs/>
          <w:sz w:val="24"/>
          <w:szCs w:val="24"/>
        </w:rPr>
        <w:t>facto</w:t>
      </w:r>
      <w:proofErr w:type="spellEnd"/>
      <w:r>
        <w:rPr>
          <w:rFonts w:ascii="Times New Roman" w:eastAsia="Calibri" w:hAnsi="Times New Roman" w:cs="Times New Roman"/>
          <w:iCs/>
          <w:sz w:val="24"/>
          <w:szCs w:val="24"/>
        </w:rPr>
        <w:t xml:space="preserve"> „ručiteľom“ za vyplatenie mzdy alebo jej časti </w:t>
      </w:r>
      <w:r w:rsidR="0042746A">
        <w:rPr>
          <w:rFonts w:ascii="Times New Roman" w:eastAsia="Calibri" w:hAnsi="Times New Roman" w:cs="Times New Roman"/>
          <w:iCs/>
          <w:sz w:val="24"/>
          <w:szCs w:val="24"/>
        </w:rPr>
        <w:t>zamestnancovi</w:t>
      </w:r>
      <w:r w:rsidR="00465E4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ktorý sa podieľa</w:t>
      </w:r>
      <w:r w:rsidR="00465E4C">
        <w:rPr>
          <w:rFonts w:ascii="Times New Roman" w:eastAsia="Calibri" w:hAnsi="Times New Roman" w:cs="Times New Roman"/>
          <w:iCs/>
          <w:sz w:val="24"/>
          <w:szCs w:val="24"/>
        </w:rPr>
        <w:t>l</w:t>
      </w:r>
      <w:r>
        <w:rPr>
          <w:rFonts w:ascii="Times New Roman" w:eastAsia="Calibri" w:hAnsi="Times New Roman" w:cs="Times New Roman"/>
          <w:iCs/>
          <w:sz w:val="24"/>
          <w:szCs w:val="24"/>
        </w:rPr>
        <w:t xml:space="preserve"> na </w:t>
      </w:r>
      <w:r w:rsidR="00465E4C">
        <w:rPr>
          <w:rFonts w:ascii="Times New Roman" w:eastAsia="Calibri" w:hAnsi="Times New Roman" w:cs="Times New Roman"/>
          <w:iCs/>
          <w:sz w:val="24"/>
          <w:szCs w:val="24"/>
        </w:rPr>
        <w:t xml:space="preserve">výkone stavebných prác pre dodávateľa služby </w:t>
      </w:r>
      <w:r w:rsidR="0042746A">
        <w:rPr>
          <w:rFonts w:ascii="Times New Roman" w:eastAsia="Calibri" w:hAnsi="Times New Roman" w:cs="Times New Roman"/>
          <w:iCs/>
          <w:sz w:val="24"/>
          <w:szCs w:val="24"/>
        </w:rPr>
        <w:t>v rámci uzatvoreného obchodného kontraktu</w:t>
      </w:r>
      <w:r>
        <w:rPr>
          <w:rFonts w:ascii="Times New Roman" w:eastAsia="Calibri" w:hAnsi="Times New Roman" w:cs="Times New Roman"/>
          <w:iCs/>
          <w:sz w:val="24"/>
          <w:szCs w:val="24"/>
        </w:rPr>
        <w:t xml:space="preserve">, </w:t>
      </w:r>
      <w:r w:rsidR="00465E4C">
        <w:rPr>
          <w:rFonts w:ascii="Times New Roman" w:eastAsia="Calibri" w:hAnsi="Times New Roman" w:cs="Times New Roman"/>
          <w:iCs/>
          <w:sz w:val="24"/>
          <w:szCs w:val="24"/>
        </w:rPr>
        <w:t xml:space="preserve">nepredstavuje daná situácia </w:t>
      </w:r>
      <w:r>
        <w:rPr>
          <w:rFonts w:ascii="Times New Roman" w:eastAsia="Calibri" w:hAnsi="Times New Roman" w:cs="Times New Roman"/>
          <w:iCs/>
          <w:sz w:val="24"/>
          <w:szCs w:val="24"/>
        </w:rPr>
        <w:t>dodatočný vplyv na podnikateľské prostredie</w:t>
      </w:r>
      <w:r w:rsidR="00465E4C">
        <w:rPr>
          <w:rFonts w:ascii="Times New Roman" w:eastAsia="Calibri" w:hAnsi="Times New Roman" w:cs="Times New Roman"/>
          <w:iCs/>
          <w:sz w:val="24"/>
          <w:szCs w:val="24"/>
        </w:rPr>
        <w:t xml:space="preserve"> a nejde o vy</w:t>
      </w:r>
      <w:r w:rsidR="00451775">
        <w:rPr>
          <w:rFonts w:ascii="Times New Roman" w:eastAsia="Calibri" w:hAnsi="Times New Roman" w:cs="Times New Roman"/>
          <w:iCs/>
          <w:sz w:val="24"/>
          <w:szCs w:val="24"/>
        </w:rPr>
        <w:t>š</w:t>
      </w:r>
      <w:r w:rsidR="00465E4C">
        <w:rPr>
          <w:rFonts w:ascii="Times New Roman" w:eastAsia="Calibri" w:hAnsi="Times New Roman" w:cs="Times New Roman"/>
          <w:iCs/>
          <w:sz w:val="24"/>
          <w:szCs w:val="24"/>
        </w:rPr>
        <w:t xml:space="preserve">šiu sumu poskytnutých finančných prostriedkov zamestnancovi. </w:t>
      </w:r>
      <w:r>
        <w:rPr>
          <w:rFonts w:ascii="Times New Roman" w:eastAsia="Calibri" w:hAnsi="Times New Roman" w:cs="Times New Roman"/>
          <w:iCs/>
          <w:sz w:val="24"/>
          <w:szCs w:val="24"/>
        </w:rPr>
        <w:t>V danom prípade ide o poskytnutie mzdy</w:t>
      </w:r>
      <w:r w:rsidR="00465E4C">
        <w:rPr>
          <w:rFonts w:ascii="Times New Roman" w:eastAsia="Calibri" w:hAnsi="Times New Roman" w:cs="Times New Roman"/>
          <w:iCs/>
          <w:sz w:val="24"/>
          <w:szCs w:val="24"/>
        </w:rPr>
        <w:t xml:space="preserve">, resp. jej časti </w:t>
      </w:r>
      <w:r>
        <w:rPr>
          <w:rFonts w:ascii="Times New Roman" w:eastAsia="Calibri" w:hAnsi="Times New Roman" w:cs="Times New Roman"/>
          <w:iCs/>
          <w:sz w:val="24"/>
          <w:szCs w:val="24"/>
        </w:rPr>
        <w:t xml:space="preserve">subjektom B (dodávateľ služby) namiesto subjektu A (zamestnávateľ, ktorý nevyplatil svojmu zamestnancovi splatnú mzdu). Nejde o vyplatenie dodatočnej mzdy ani mzdy navyše a teda nejde o zvýšené náklady podnikateľského prostredia na vyplatenie miezd.    </w:t>
      </w:r>
    </w:p>
    <w:p w14:paraId="5A31CCC2" w14:textId="1FEBBC86" w:rsidR="00616EAC" w:rsidRDefault="00A6731F" w:rsidP="00A6731F">
      <w:pPr>
        <w:jc w:val="both"/>
        <w:rPr>
          <w:rFonts w:ascii="Times New Roman" w:eastAsia="Calibri" w:hAnsi="Times New Roman" w:cs="Times New Roman"/>
          <w:iCs/>
          <w:sz w:val="24"/>
          <w:szCs w:val="24"/>
        </w:rPr>
      </w:pPr>
      <w:r w:rsidRPr="00A6731F">
        <w:rPr>
          <w:rFonts w:ascii="Times New Roman" w:eastAsia="Calibri" w:hAnsi="Times New Roman" w:cs="Times New Roman"/>
          <w:iCs/>
          <w:sz w:val="24"/>
          <w:szCs w:val="24"/>
        </w:rPr>
        <w:t>Napr. ak by išlo o zamestnanca, ktorý vykonal prácu pre dodávateľa služby v rozsahu 174 hodín v príslušnom kalendárnom mesiaci (priemerný počet hodín v mesiaci pri týždennom pracovnom čase 40 hodín týždenne), návrh zákona umožní zamestnancovi, ktorému jeho zamestnávateľ neposkytol splatnú mzdu, požiadať dodávateľa služby o výplatu mzdy najviac v sume 174 x 4,</w:t>
      </w:r>
      <w:r w:rsidR="00FB0399">
        <w:rPr>
          <w:rFonts w:ascii="Times New Roman" w:eastAsia="Calibri" w:hAnsi="Times New Roman" w:cs="Times New Roman"/>
          <w:iCs/>
          <w:sz w:val="24"/>
          <w:szCs w:val="24"/>
        </w:rPr>
        <w:t>31 eura</w:t>
      </w:r>
      <w:r w:rsidR="007F23E0">
        <w:rPr>
          <w:rFonts w:ascii="Times New Roman" w:eastAsia="Calibri" w:hAnsi="Times New Roman" w:cs="Times New Roman"/>
          <w:iCs/>
          <w:sz w:val="24"/>
          <w:szCs w:val="24"/>
        </w:rPr>
        <w:t xml:space="preserve"> – pozn. ide o sumu minimálnej mzdy v roku 202</w:t>
      </w:r>
      <w:r w:rsidR="00FB0399">
        <w:rPr>
          <w:rFonts w:ascii="Times New Roman" w:eastAsia="Calibri" w:hAnsi="Times New Roman" w:cs="Times New Roman"/>
          <w:iCs/>
          <w:sz w:val="24"/>
          <w:szCs w:val="24"/>
        </w:rPr>
        <w:t>4</w:t>
      </w:r>
      <w:r w:rsidRPr="00A6731F">
        <w:rPr>
          <w:rFonts w:ascii="Times New Roman" w:eastAsia="Calibri" w:hAnsi="Times New Roman" w:cs="Times New Roman"/>
          <w:iCs/>
          <w:sz w:val="24"/>
          <w:szCs w:val="24"/>
        </w:rPr>
        <w:t xml:space="preserve">.  </w:t>
      </w:r>
      <w:r w:rsidR="00AF4ABE" w:rsidRPr="00AF4ABE">
        <w:rPr>
          <w:rFonts w:ascii="Times New Roman" w:eastAsia="Calibri" w:hAnsi="Times New Roman" w:cs="Times New Roman"/>
          <w:iCs/>
          <w:sz w:val="24"/>
          <w:szCs w:val="24"/>
        </w:rPr>
        <w:t xml:space="preserve">Dodávateľ služby je v danom prípade „ručiteľom“ za vyplatenie tejto mzdy, ak ju neposkytol zamestnávateľ. Dodávateľ služby </w:t>
      </w:r>
      <w:r w:rsidR="003D6CE8">
        <w:rPr>
          <w:rFonts w:ascii="Times New Roman" w:eastAsia="Calibri" w:hAnsi="Times New Roman" w:cs="Times New Roman"/>
          <w:iCs/>
          <w:sz w:val="24"/>
          <w:szCs w:val="24"/>
        </w:rPr>
        <w:t>má povinnosť vyplatiť mzdu, resp. jej zodpovedajúcu</w:t>
      </w:r>
      <w:r w:rsidR="00AF4ABE" w:rsidRPr="00AF4ABE">
        <w:rPr>
          <w:rFonts w:ascii="Times New Roman" w:eastAsia="Calibri" w:hAnsi="Times New Roman" w:cs="Times New Roman"/>
          <w:iCs/>
          <w:sz w:val="24"/>
          <w:szCs w:val="24"/>
        </w:rPr>
        <w:t xml:space="preserve"> ča</w:t>
      </w:r>
      <w:r w:rsidR="003D6CE8">
        <w:rPr>
          <w:rFonts w:ascii="Times New Roman" w:eastAsia="Calibri" w:hAnsi="Times New Roman" w:cs="Times New Roman"/>
          <w:iCs/>
          <w:sz w:val="24"/>
          <w:szCs w:val="24"/>
        </w:rPr>
        <w:t>sť</w:t>
      </w:r>
      <w:r w:rsidR="00AF4ABE" w:rsidRPr="00AF4ABE">
        <w:rPr>
          <w:rFonts w:ascii="Times New Roman" w:eastAsia="Calibri" w:hAnsi="Times New Roman" w:cs="Times New Roman"/>
          <w:iCs/>
          <w:sz w:val="24"/>
          <w:szCs w:val="24"/>
        </w:rPr>
        <w:t xml:space="preserve"> len v rozsahu tzv. „čistej“ mzdy a dodávat</w:t>
      </w:r>
      <w:r w:rsidR="003D6CE8">
        <w:rPr>
          <w:rFonts w:ascii="Times New Roman" w:eastAsia="Calibri" w:hAnsi="Times New Roman" w:cs="Times New Roman"/>
          <w:iCs/>
          <w:sz w:val="24"/>
          <w:szCs w:val="24"/>
        </w:rPr>
        <w:t>eľ služby nemá povinnosť vy</w:t>
      </w:r>
      <w:r w:rsidR="00AF4ABE" w:rsidRPr="00AF4ABE">
        <w:rPr>
          <w:rFonts w:ascii="Times New Roman" w:eastAsia="Calibri" w:hAnsi="Times New Roman" w:cs="Times New Roman"/>
          <w:iCs/>
          <w:sz w:val="24"/>
          <w:szCs w:val="24"/>
        </w:rPr>
        <w:t>kon</w:t>
      </w:r>
      <w:r w:rsidR="003D6CE8">
        <w:rPr>
          <w:rFonts w:ascii="Times New Roman" w:eastAsia="Calibri" w:hAnsi="Times New Roman" w:cs="Times New Roman"/>
          <w:iCs/>
          <w:sz w:val="24"/>
          <w:szCs w:val="24"/>
        </w:rPr>
        <w:t>ať</w:t>
      </w:r>
      <w:r w:rsidR="00AF4ABE" w:rsidRPr="00AF4ABE">
        <w:rPr>
          <w:rFonts w:ascii="Times New Roman" w:eastAsia="Calibri" w:hAnsi="Times New Roman" w:cs="Times New Roman"/>
          <w:iCs/>
          <w:sz w:val="24"/>
          <w:szCs w:val="24"/>
        </w:rPr>
        <w:t xml:space="preserve"> zrážok zo mzdy.</w:t>
      </w:r>
      <w:r w:rsidR="00465E4C">
        <w:rPr>
          <w:rFonts w:ascii="Times New Roman" w:eastAsia="Calibri" w:hAnsi="Times New Roman" w:cs="Times New Roman"/>
          <w:iCs/>
          <w:sz w:val="24"/>
          <w:szCs w:val="24"/>
        </w:rPr>
        <w:t xml:space="preserve"> Zamestnávateľ je naďalej zodpovedný za poskytnutie zostávajúcej časti mzdy a za výkon zrážok. </w:t>
      </w:r>
    </w:p>
    <w:p w14:paraId="5D47E50E" w14:textId="77777777" w:rsidR="00451775" w:rsidRPr="00D8247C" w:rsidRDefault="00451775" w:rsidP="00451775">
      <w:pPr>
        <w:jc w:val="both"/>
        <w:rPr>
          <w:rFonts w:ascii="Times New Roman" w:eastAsia="Calibri" w:hAnsi="Times New Roman" w:cs="Times New Roman"/>
          <w:i/>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50FC6718" w14:textId="77777777" w:rsidR="00054C41" w:rsidRPr="00D8247C" w:rsidRDefault="00054C41" w:rsidP="00054C41">
      <w:pPr>
        <w:spacing w:after="0"/>
        <w:jc w:val="both"/>
        <w:rPr>
          <w:rFonts w:ascii="Times New Roman" w:eastAsia="Calibri" w:hAnsi="Times New Roman" w:cs="Times New Roman"/>
          <w:i/>
          <w:sz w:val="24"/>
          <w:szCs w:val="24"/>
        </w:rPr>
      </w:pPr>
    </w:p>
    <w:p w14:paraId="2480ED79" w14:textId="1927C0B6" w:rsidR="00D52CD6" w:rsidRDefault="00D52CD6" w:rsidP="00054C41">
      <w:pPr>
        <w:spacing w:after="0"/>
        <w:jc w:val="both"/>
        <w:rPr>
          <w:rFonts w:ascii="Times New Roman" w:eastAsia="Calibri" w:hAnsi="Times New Roman" w:cs="Times New Roman"/>
          <w:iCs/>
          <w:sz w:val="24"/>
          <w:szCs w:val="24"/>
        </w:rPr>
      </w:pPr>
      <w:r w:rsidRPr="00D52CD6">
        <w:rPr>
          <w:rFonts w:ascii="Times New Roman" w:eastAsia="Calibri" w:hAnsi="Times New Roman" w:cs="Times New Roman"/>
          <w:iCs/>
          <w:sz w:val="24"/>
          <w:szCs w:val="24"/>
        </w:rPr>
        <w:t>K</w:t>
      </w:r>
      <w:r>
        <w:rPr>
          <w:rFonts w:ascii="Times New Roman" w:eastAsia="Calibri" w:hAnsi="Times New Roman" w:cs="Times New Roman"/>
          <w:iCs/>
          <w:sz w:val="24"/>
          <w:szCs w:val="24"/>
        </w:rPr>
        <w:t xml:space="preserve"> predloženému návrhu zákona bola zverejnená predbežná informácia na portáli Slov-Lex </w:t>
      </w:r>
      <w:r w:rsidRPr="007C209E">
        <w:rPr>
          <w:rFonts w:ascii="Times New Roman" w:eastAsia="Calibri" w:hAnsi="Times New Roman" w:cs="Times New Roman"/>
          <w:iCs/>
          <w:sz w:val="24"/>
          <w:szCs w:val="24"/>
        </w:rPr>
        <w:t>(PI/202</w:t>
      </w:r>
      <w:r w:rsidR="007C209E" w:rsidRPr="007C209E">
        <w:rPr>
          <w:rFonts w:ascii="Times New Roman" w:eastAsia="Calibri" w:hAnsi="Times New Roman" w:cs="Times New Roman"/>
          <w:iCs/>
          <w:sz w:val="24"/>
          <w:szCs w:val="24"/>
        </w:rPr>
        <w:t>3</w:t>
      </w:r>
      <w:r w:rsidRPr="007C209E">
        <w:rPr>
          <w:rFonts w:ascii="Times New Roman" w:eastAsia="Calibri" w:hAnsi="Times New Roman" w:cs="Times New Roman"/>
          <w:iCs/>
          <w:sz w:val="24"/>
          <w:szCs w:val="24"/>
        </w:rPr>
        <w:t>/</w:t>
      </w:r>
      <w:r w:rsidR="007C209E" w:rsidRPr="007C209E">
        <w:rPr>
          <w:rFonts w:ascii="Times New Roman" w:eastAsia="Calibri" w:hAnsi="Times New Roman" w:cs="Times New Roman"/>
          <w:iCs/>
          <w:sz w:val="24"/>
          <w:szCs w:val="24"/>
        </w:rPr>
        <w:t>122</w:t>
      </w:r>
      <w:r w:rsidRPr="007C209E">
        <w:rPr>
          <w:rFonts w:ascii="Times New Roman" w:eastAsia="Calibri" w:hAnsi="Times New Roman" w:cs="Times New Roman"/>
          <w:iCs/>
          <w:sz w:val="24"/>
          <w:szCs w:val="24"/>
        </w:rPr>
        <w:t>) a</w:t>
      </w:r>
      <w:r>
        <w:rPr>
          <w:rFonts w:ascii="Times New Roman" w:eastAsia="Calibri" w:hAnsi="Times New Roman" w:cs="Times New Roman"/>
          <w:iCs/>
          <w:sz w:val="24"/>
          <w:szCs w:val="24"/>
        </w:rPr>
        <w:t> informácia o prebiehajúcich konzultáciách bola taktiež zverejnená na webovom sídle Ministerstva hospodárstva SR. Obdobie konzultácií</w:t>
      </w:r>
      <w:r w:rsidR="00224EA6">
        <w:rPr>
          <w:rFonts w:ascii="Times New Roman" w:eastAsia="Calibri" w:hAnsi="Times New Roman" w:cs="Times New Roman"/>
          <w:iCs/>
          <w:sz w:val="24"/>
          <w:szCs w:val="24"/>
        </w:rPr>
        <w:t xml:space="preserve"> s podnikateľským prostredím </w:t>
      </w:r>
      <w:r>
        <w:rPr>
          <w:rFonts w:ascii="Times New Roman" w:eastAsia="Calibri" w:hAnsi="Times New Roman" w:cs="Times New Roman"/>
          <w:iCs/>
          <w:sz w:val="24"/>
          <w:szCs w:val="24"/>
        </w:rPr>
        <w:t xml:space="preserve">trvalo </w:t>
      </w:r>
      <w:r w:rsidRPr="007C209E">
        <w:rPr>
          <w:rFonts w:ascii="Times New Roman" w:eastAsia="Calibri" w:hAnsi="Times New Roman" w:cs="Times New Roman"/>
          <w:iCs/>
          <w:sz w:val="24"/>
          <w:szCs w:val="24"/>
        </w:rPr>
        <w:t>od 4.4.2023 do 2.5.2023,</w:t>
      </w:r>
      <w:r>
        <w:rPr>
          <w:rFonts w:ascii="Times New Roman" w:eastAsia="Calibri" w:hAnsi="Times New Roman" w:cs="Times New Roman"/>
          <w:iCs/>
          <w:sz w:val="24"/>
          <w:szCs w:val="24"/>
        </w:rPr>
        <w:t xml:space="preserve"> pričom za celý tento čas neprišiel prostr</w:t>
      </w:r>
      <w:r w:rsidR="008E1A8E">
        <w:rPr>
          <w:rFonts w:ascii="Times New Roman" w:eastAsia="Calibri" w:hAnsi="Times New Roman" w:cs="Times New Roman"/>
          <w:iCs/>
          <w:sz w:val="24"/>
          <w:szCs w:val="24"/>
        </w:rPr>
        <w:t>e</w:t>
      </w:r>
      <w:r>
        <w:rPr>
          <w:rFonts w:ascii="Times New Roman" w:eastAsia="Calibri" w:hAnsi="Times New Roman" w:cs="Times New Roman"/>
          <w:iCs/>
          <w:sz w:val="24"/>
          <w:szCs w:val="24"/>
        </w:rPr>
        <w:t xml:space="preserve">dníctvom portálu Slov-Lex žiadny </w:t>
      </w:r>
      <w:r w:rsidR="008E1A8E">
        <w:rPr>
          <w:rFonts w:ascii="Times New Roman" w:eastAsia="Calibri" w:hAnsi="Times New Roman" w:cs="Times New Roman"/>
          <w:iCs/>
          <w:sz w:val="24"/>
          <w:szCs w:val="24"/>
        </w:rPr>
        <w:t xml:space="preserve">podnet, pripomienka alebo návrh týkajúci sa pripravovaného návrhu zákona. </w:t>
      </w:r>
    </w:p>
    <w:p w14:paraId="2518C80E" w14:textId="0C408853" w:rsidR="00FB0399" w:rsidRDefault="00FB0399" w:rsidP="00054C41">
      <w:pPr>
        <w:spacing w:after="0"/>
        <w:jc w:val="both"/>
        <w:rPr>
          <w:rFonts w:ascii="Times New Roman" w:eastAsia="Calibri" w:hAnsi="Times New Roman" w:cs="Times New Roman"/>
          <w:iCs/>
          <w:sz w:val="24"/>
          <w:szCs w:val="24"/>
        </w:rPr>
      </w:pPr>
    </w:p>
    <w:p w14:paraId="22BA8230" w14:textId="088C4826" w:rsidR="00FB0399" w:rsidRDefault="00FB0399" w:rsidP="00054C41">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Nad rámec toho uvádzame, že predkladateľ </w:t>
      </w:r>
      <w:r w:rsidR="003D6CE8">
        <w:rPr>
          <w:rFonts w:ascii="Times New Roman" w:eastAsia="Calibri" w:hAnsi="Times New Roman" w:cs="Times New Roman"/>
          <w:iCs/>
          <w:sz w:val="24"/>
          <w:szCs w:val="24"/>
        </w:rPr>
        <w:t xml:space="preserve">s cieľom zapracovať pripomienky podnikateľského prostredia </w:t>
      </w:r>
      <w:r>
        <w:rPr>
          <w:rFonts w:ascii="Times New Roman" w:eastAsia="Calibri" w:hAnsi="Times New Roman" w:cs="Times New Roman"/>
          <w:iCs/>
          <w:sz w:val="24"/>
          <w:szCs w:val="24"/>
        </w:rPr>
        <w:t xml:space="preserve">zorganizoval </w:t>
      </w:r>
      <w:r w:rsidR="003D6CE8">
        <w:rPr>
          <w:rFonts w:ascii="Times New Roman" w:eastAsia="Calibri" w:hAnsi="Times New Roman" w:cs="Times New Roman"/>
          <w:iCs/>
          <w:sz w:val="24"/>
          <w:szCs w:val="24"/>
        </w:rPr>
        <w:t>tri</w:t>
      </w:r>
      <w:r>
        <w:rPr>
          <w:rFonts w:ascii="Times New Roman" w:eastAsia="Calibri" w:hAnsi="Times New Roman" w:cs="Times New Roman"/>
          <w:iCs/>
          <w:sz w:val="24"/>
          <w:szCs w:val="24"/>
        </w:rPr>
        <w:t xml:space="preserve"> stretnutia so zástupcami stavebného odvetvia</w:t>
      </w:r>
      <w:r w:rsidR="003D6CE8">
        <w:rPr>
          <w:rFonts w:ascii="Times New Roman" w:eastAsia="Calibri" w:hAnsi="Times New Roman" w:cs="Times New Roman"/>
          <w:iCs/>
          <w:sz w:val="24"/>
          <w:szCs w:val="24"/>
        </w:rPr>
        <w:t xml:space="preserve"> (počas a po </w:t>
      </w:r>
      <w:r w:rsidR="003D6CE8">
        <w:rPr>
          <w:rFonts w:ascii="Times New Roman" w:eastAsia="Calibri" w:hAnsi="Times New Roman" w:cs="Times New Roman"/>
          <w:iCs/>
          <w:sz w:val="24"/>
          <w:szCs w:val="24"/>
        </w:rPr>
        <w:lastRenderedPageBreak/>
        <w:t>pripomienkovom konaní). D</w:t>
      </w:r>
      <w:r>
        <w:rPr>
          <w:rFonts w:ascii="Times New Roman" w:eastAsia="Calibri" w:hAnsi="Times New Roman" w:cs="Times New Roman"/>
          <w:iCs/>
          <w:sz w:val="24"/>
          <w:szCs w:val="24"/>
        </w:rPr>
        <w:t>ošlo aj k výmene viacerých návrhov s tými zástupcami. Rovnako predkladateľ viackrát komunikoval s Ministerstvom spravodlivosti</w:t>
      </w:r>
      <w:r w:rsidR="003D6CE8">
        <w:rPr>
          <w:rFonts w:ascii="Times New Roman" w:eastAsia="Calibri" w:hAnsi="Times New Roman" w:cs="Times New Roman"/>
          <w:iCs/>
          <w:sz w:val="24"/>
          <w:szCs w:val="24"/>
        </w:rPr>
        <w:t xml:space="preserve"> SR</w:t>
      </w:r>
      <w:r>
        <w:rPr>
          <w:rFonts w:ascii="Times New Roman" w:eastAsia="Calibri" w:hAnsi="Times New Roman" w:cs="Times New Roman"/>
          <w:iCs/>
          <w:sz w:val="24"/>
          <w:szCs w:val="24"/>
        </w:rPr>
        <w:t>, aby odstránil niektoré výhrady zástupcov stavebného odvetvia.</w:t>
      </w:r>
      <w:r w:rsidR="003D6CE8">
        <w:rPr>
          <w:rFonts w:ascii="Times New Roman" w:eastAsia="Calibri" w:hAnsi="Times New Roman" w:cs="Times New Roman"/>
          <w:iCs/>
          <w:sz w:val="24"/>
          <w:szCs w:val="24"/>
        </w:rPr>
        <w:t xml:space="preserve"> Predkladateľ analyzoval aj právnu úpravu v § 324a Zákonníka práce ČR, ktorá bola prijatá v roku 2023 v Českej republike a je účinná od 1. januára 2024.</w:t>
      </w:r>
    </w:p>
    <w:p w14:paraId="37C81FF7" w14:textId="77777777" w:rsidR="00D52CD6" w:rsidRDefault="00D52CD6" w:rsidP="00054C41">
      <w:pPr>
        <w:spacing w:after="0"/>
        <w:jc w:val="both"/>
        <w:rPr>
          <w:rFonts w:ascii="Times New Roman" w:eastAsia="Calibri" w:hAnsi="Times New Roman" w:cs="Times New Roman"/>
          <w:iCs/>
          <w:sz w:val="24"/>
          <w:szCs w:val="24"/>
        </w:rPr>
      </w:pPr>
    </w:p>
    <w:p w14:paraId="7E0BF3F5" w14:textId="012306CA" w:rsidR="00054C41" w:rsidRPr="00D52CD6" w:rsidRDefault="00D52CD6" w:rsidP="00054C41">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p>
    <w:p w14:paraId="2B9B01F4" w14:textId="77777777" w:rsidR="00054C41" w:rsidRPr="001F1B43" w:rsidRDefault="00054C41" w:rsidP="00054C41">
      <w:pPr>
        <w:jc w:val="both"/>
        <w:rPr>
          <w:rFonts w:ascii="Times New Roman" w:eastAsia="Calibri" w:hAnsi="Times New Roman" w:cs="Times New Roman"/>
          <w:b/>
          <w:sz w:val="24"/>
          <w:szCs w:val="24"/>
        </w:rPr>
      </w:pPr>
      <w:bookmarkStart w:id="2" w:name="_Hlk47698091"/>
      <w:r w:rsidRPr="001F1B43">
        <w:rPr>
          <w:rFonts w:ascii="Times New Roman" w:eastAsia="Calibri" w:hAnsi="Times New Roman" w:cs="Times New Roman"/>
          <w:b/>
          <w:sz w:val="24"/>
          <w:szCs w:val="24"/>
        </w:rPr>
        <w:t>3.3 Vplyvy na konkurencieschopnosť a produktivitu</w:t>
      </w:r>
    </w:p>
    <w:bookmarkEnd w:id="2"/>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C7DB60C" w14:textId="77777777" w:rsidR="00054C41" w:rsidRPr="00D8247C" w:rsidRDefault="00054C41"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1D4215EA" w:rsidR="00054C41" w:rsidRPr="00732BB1" w:rsidRDefault="0043239D" w:rsidP="00054C41">
      <w:pPr>
        <w:spacing w:after="0"/>
        <w:jc w:val="both"/>
        <w:rPr>
          <w:rFonts w:ascii="Times New Roman" w:eastAsia="Calibri" w:hAnsi="Times New Roman" w:cs="Times New Roman"/>
          <w:iCs/>
          <w:sz w:val="24"/>
          <w:szCs w:val="24"/>
        </w:rPr>
      </w:pPr>
      <w:sdt>
        <w:sdtPr>
          <w:rPr>
            <w:rFonts w:ascii="Times New Roman" w:eastAsia="Calibri" w:hAnsi="Times New Roman" w:cs="Times New Roman"/>
            <w:i/>
            <w:sz w:val="24"/>
            <w:szCs w:val="24"/>
          </w:rPr>
          <w:id w:val="798576880"/>
        </w:sdtPr>
        <w:sdtEndPr>
          <w:rPr>
            <w:i w:val="0"/>
            <w:iCs/>
          </w:rPr>
        </w:sdtEndPr>
        <w:sdtContent>
          <w:sdt>
            <w:sdtPr>
              <w:rPr>
                <w:rFonts w:ascii="Times New Roman" w:eastAsia="Calibri" w:hAnsi="Times New Roman" w:cs="Times New Roman"/>
                <w:iCs/>
                <w:sz w:val="24"/>
                <w:szCs w:val="24"/>
              </w:rPr>
              <w:id w:val="1729873660"/>
            </w:sdtPr>
            <w:sdtEndPr/>
            <w:sdtContent>
              <w:r w:rsidR="00054C41" w:rsidRPr="00732BB1">
                <w:rPr>
                  <w:rFonts w:ascii="Segoe UI Symbol" w:eastAsia="Calibri" w:hAnsi="Segoe UI Symbol" w:cs="Segoe UI Symbol"/>
                  <w:iCs/>
                  <w:sz w:val="24"/>
                  <w:szCs w:val="24"/>
                </w:rPr>
                <w:t>☐</w:t>
              </w:r>
            </w:sdtContent>
          </w:sdt>
        </w:sdtContent>
      </w:sdt>
      <w:r w:rsidR="00054C41" w:rsidRPr="00732BB1">
        <w:rPr>
          <w:rFonts w:ascii="Times New Roman" w:eastAsia="Calibri" w:hAnsi="Times New Roman" w:cs="Times New Roman"/>
          <w:iCs/>
          <w:sz w:val="24"/>
          <w:szCs w:val="24"/>
        </w:rPr>
        <w:t xml:space="preserve"> zvyšuje  </w:t>
      </w:r>
      <w:r w:rsidR="00054C41" w:rsidRPr="00732BB1">
        <w:rPr>
          <w:rFonts w:ascii="Times New Roman" w:eastAsia="Calibri" w:hAnsi="Times New Roman" w:cs="Times New Roman"/>
          <w:iCs/>
          <w:sz w:val="24"/>
          <w:szCs w:val="24"/>
        </w:rPr>
        <w:tab/>
      </w:r>
      <w:sdt>
        <w:sdtPr>
          <w:rPr>
            <w:rFonts w:ascii="Times New Roman" w:eastAsia="Times New Roman" w:hAnsi="Times New Roman" w:cs="Times New Roman"/>
            <w:iCs/>
            <w:sz w:val="20"/>
            <w:szCs w:val="20"/>
            <w:lang w:eastAsia="sk-SK"/>
          </w:rPr>
          <w:id w:val="-728150331"/>
          <w14:checkbox>
            <w14:checked w14:val="1"/>
            <w14:checkedState w14:val="2612" w14:font="MS Gothic"/>
            <w14:uncheckedState w14:val="2610" w14:font="MS Gothic"/>
          </w14:checkbox>
        </w:sdtPr>
        <w:sdtEndPr/>
        <w:sdtContent>
          <w:r w:rsidR="00732BB1" w:rsidRPr="00A367BF">
            <w:rPr>
              <w:rFonts w:ascii="MS Gothic" w:eastAsia="MS Gothic" w:hAnsi="MS Gothic" w:cs="Times New Roman" w:hint="eastAsia"/>
              <w:iCs/>
              <w:sz w:val="20"/>
              <w:szCs w:val="20"/>
              <w:lang w:eastAsia="sk-SK"/>
            </w:rPr>
            <w:t>☒</w:t>
          </w:r>
        </w:sdtContent>
      </w:sdt>
      <w:r w:rsidR="00732BB1" w:rsidRPr="00A367BF">
        <w:rPr>
          <w:rFonts w:ascii="Times New Roman" w:eastAsia="Calibri" w:hAnsi="Times New Roman" w:cs="Times New Roman"/>
          <w:iCs/>
          <w:sz w:val="24"/>
          <w:szCs w:val="24"/>
        </w:rPr>
        <w:t xml:space="preserve"> </w:t>
      </w:r>
      <w:sdt>
        <w:sdtPr>
          <w:rPr>
            <w:rFonts w:ascii="Times New Roman" w:eastAsia="Calibri" w:hAnsi="Times New Roman" w:cs="Times New Roman"/>
            <w:iCs/>
            <w:sz w:val="24"/>
            <w:szCs w:val="24"/>
          </w:rPr>
          <w:id w:val="410579887"/>
        </w:sdtPr>
        <w:sdtEndPr>
          <w:rPr>
            <w:bCs/>
          </w:rPr>
        </w:sdtEndPr>
        <w:sdtContent>
          <w:sdt>
            <w:sdtPr>
              <w:rPr>
                <w:rFonts w:ascii="Times New Roman" w:eastAsia="Calibri" w:hAnsi="Times New Roman" w:cs="Times New Roman"/>
                <w:bCs/>
                <w:iCs/>
                <w:sz w:val="24"/>
                <w:szCs w:val="24"/>
              </w:rPr>
              <w:id w:val="-80300261"/>
              <w:showingPlcHdr/>
            </w:sdtPr>
            <w:sdtEndPr/>
            <w:sdtContent>
              <w:r w:rsidR="00732BB1" w:rsidRPr="00A367BF">
                <w:rPr>
                  <w:rFonts w:ascii="Times New Roman" w:eastAsia="Calibri" w:hAnsi="Times New Roman" w:cs="Times New Roman"/>
                  <w:bCs/>
                  <w:iCs/>
                  <w:sz w:val="24"/>
                  <w:szCs w:val="24"/>
                </w:rPr>
                <w:t xml:space="preserve">     </w:t>
              </w:r>
            </w:sdtContent>
          </w:sdt>
        </w:sdtContent>
      </w:sdt>
      <w:r w:rsidR="00054C41" w:rsidRPr="009D313B">
        <w:rPr>
          <w:rFonts w:ascii="Times New Roman" w:eastAsia="Calibri" w:hAnsi="Times New Roman" w:cs="Times New Roman"/>
          <w:b/>
          <w:iCs/>
          <w:sz w:val="24"/>
          <w:szCs w:val="24"/>
        </w:rPr>
        <w:t>nemení</w:t>
      </w:r>
      <w:r w:rsidR="00054C41" w:rsidRPr="00732BB1">
        <w:rPr>
          <w:rFonts w:ascii="Times New Roman" w:eastAsia="Calibri" w:hAnsi="Times New Roman" w:cs="Times New Roman"/>
          <w:bCs/>
          <w:iCs/>
          <w:sz w:val="24"/>
          <w:szCs w:val="24"/>
        </w:rPr>
        <w:tab/>
      </w:r>
      <w:sdt>
        <w:sdtPr>
          <w:rPr>
            <w:rFonts w:ascii="Times New Roman" w:eastAsia="Calibri" w:hAnsi="Times New Roman" w:cs="Times New Roman"/>
            <w:bCs/>
            <w:iCs/>
            <w:sz w:val="24"/>
            <w:szCs w:val="24"/>
          </w:rPr>
          <w:id w:val="-474604883"/>
        </w:sdtPr>
        <w:sdtEndPr/>
        <w:sdtContent>
          <w:sdt>
            <w:sdtPr>
              <w:rPr>
                <w:rFonts w:ascii="Times New Roman" w:eastAsia="Calibri" w:hAnsi="Times New Roman" w:cs="Times New Roman"/>
                <w:bCs/>
                <w:iCs/>
                <w:sz w:val="24"/>
                <w:szCs w:val="24"/>
              </w:rPr>
              <w:id w:val="-1706551548"/>
            </w:sdtPr>
            <w:sdtEndPr/>
            <w:sdtContent>
              <w:r w:rsidR="00054C41" w:rsidRPr="00732BB1">
                <w:rPr>
                  <w:rFonts w:ascii="Segoe UI Symbol" w:eastAsia="Calibri" w:hAnsi="Segoe UI Symbol" w:cs="Segoe UI Symbol"/>
                  <w:bCs/>
                  <w:iCs/>
                  <w:sz w:val="24"/>
                  <w:szCs w:val="24"/>
                </w:rPr>
                <w:t>☐</w:t>
              </w:r>
            </w:sdtContent>
          </w:sdt>
        </w:sdtContent>
      </w:sdt>
      <w:r w:rsidR="00054C41" w:rsidRPr="00732BB1">
        <w:rPr>
          <w:rFonts w:ascii="Times New Roman" w:eastAsia="Calibri" w:hAnsi="Times New Roman" w:cs="Times New Roman"/>
          <w:iCs/>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376A1AFD" w:rsidR="00054C41" w:rsidRPr="00732BB1" w:rsidRDefault="0043239D" w:rsidP="00054C41">
      <w:pPr>
        <w:spacing w:after="0"/>
        <w:jc w:val="both"/>
        <w:rPr>
          <w:rFonts w:ascii="Times New Roman" w:eastAsia="Calibri" w:hAnsi="Times New Roman" w:cs="Times New Roman"/>
          <w:iCs/>
          <w:sz w:val="24"/>
          <w:szCs w:val="24"/>
        </w:rPr>
      </w:pPr>
      <w:sdt>
        <w:sdtPr>
          <w:rPr>
            <w:rFonts w:ascii="Times New Roman" w:eastAsia="Calibri" w:hAnsi="Times New Roman" w:cs="Times New Roman"/>
            <w:i/>
            <w:sz w:val="24"/>
            <w:szCs w:val="24"/>
          </w:rPr>
          <w:id w:val="-1545903528"/>
        </w:sdtPr>
        <w:sdtEndPr>
          <w:rPr>
            <w:i w:val="0"/>
            <w:iCs/>
          </w:rPr>
        </w:sdtEndPr>
        <w:sdtContent>
          <w:sdt>
            <w:sdtPr>
              <w:rPr>
                <w:rFonts w:ascii="Times New Roman" w:eastAsia="Calibri" w:hAnsi="Times New Roman" w:cs="Times New Roman"/>
                <w:iCs/>
                <w:sz w:val="24"/>
                <w:szCs w:val="24"/>
              </w:rPr>
              <w:id w:val="825715010"/>
            </w:sdtPr>
            <w:sdtEndPr/>
            <w:sdtContent>
              <w:r w:rsidR="00054C41" w:rsidRPr="00732BB1">
                <w:rPr>
                  <w:rFonts w:ascii="Segoe UI Symbol" w:eastAsia="Calibri" w:hAnsi="Segoe UI Symbol" w:cs="Segoe UI Symbol"/>
                  <w:iCs/>
                  <w:sz w:val="24"/>
                  <w:szCs w:val="24"/>
                </w:rPr>
                <w:t>☐</w:t>
              </w:r>
            </w:sdtContent>
          </w:sdt>
        </w:sdtContent>
      </w:sdt>
      <w:r w:rsidR="00054C41" w:rsidRPr="00732BB1">
        <w:rPr>
          <w:rFonts w:ascii="Times New Roman" w:eastAsia="Calibri" w:hAnsi="Times New Roman" w:cs="Times New Roman"/>
          <w:iCs/>
          <w:sz w:val="24"/>
          <w:szCs w:val="24"/>
        </w:rPr>
        <w:t xml:space="preserve"> zvyšuje  </w:t>
      </w:r>
      <w:r w:rsidR="00054C41" w:rsidRPr="00732BB1">
        <w:rPr>
          <w:rFonts w:ascii="Times New Roman" w:eastAsia="Calibri" w:hAnsi="Times New Roman" w:cs="Times New Roman"/>
          <w:iCs/>
          <w:sz w:val="24"/>
          <w:szCs w:val="24"/>
        </w:rPr>
        <w:tab/>
      </w:r>
      <w:sdt>
        <w:sdtPr>
          <w:rPr>
            <w:rFonts w:ascii="Times New Roman" w:eastAsia="Calibri" w:hAnsi="Times New Roman" w:cs="Times New Roman"/>
            <w:iCs/>
            <w:sz w:val="24"/>
            <w:szCs w:val="24"/>
            <w:u w:val="single"/>
          </w:rPr>
          <w:id w:val="-353966921"/>
        </w:sdtPr>
        <w:sdtEndPr>
          <w:rPr>
            <w:bCs/>
            <w:u w:val="none"/>
          </w:rPr>
        </w:sdtEndPr>
        <w:sdtContent>
          <w:sdt>
            <w:sdtPr>
              <w:rPr>
                <w:rFonts w:ascii="Times New Roman" w:eastAsia="Calibri" w:hAnsi="Times New Roman" w:cs="Times New Roman"/>
                <w:bCs/>
                <w:iCs/>
                <w:sz w:val="24"/>
                <w:szCs w:val="24"/>
              </w:rPr>
              <w:id w:val="-1222205104"/>
            </w:sdtPr>
            <w:sdtEndPr/>
            <w:sdtContent>
              <w:sdt>
                <w:sdtPr>
                  <w:rPr>
                    <w:rFonts w:ascii="Times New Roman" w:eastAsia="Times New Roman" w:hAnsi="Times New Roman" w:cs="Times New Roman"/>
                    <w:bCs/>
                    <w:iCs/>
                    <w:sz w:val="20"/>
                    <w:szCs w:val="20"/>
                    <w:lang w:eastAsia="sk-SK"/>
                  </w:rPr>
                  <w:id w:val="862408102"/>
                  <w14:checkbox>
                    <w14:checked w14:val="1"/>
                    <w14:checkedState w14:val="2612" w14:font="MS Gothic"/>
                    <w14:uncheckedState w14:val="2610" w14:font="MS Gothic"/>
                  </w14:checkbox>
                </w:sdtPr>
                <w:sdtEndPr/>
                <w:sdtContent>
                  <w:r w:rsidR="00732BB1" w:rsidRPr="00A367BF">
                    <w:rPr>
                      <w:rFonts w:ascii="MS Gothic" w:eastAsia="MS Gothic" w:hAnsi="MS Gothic" w:cs="Times New Roman" w:hint="eastAsia"/>
                      <w:bCs/>
                      <w:iCs/>
                      <w:sz w:val="20"/>
                      <w:szCs w:val="20"/>
                      <w:lang w:eastAsia="sk-SK"/>
                    </w:rPr>
                    <w:t>☒</w:t>
                  </w:r>
                </w:sdtContent>
              </w:sdt>
              <w:r w:rsidR="00732BB1" w:rsidRPr="00A367BF">
                <w:rPr>
                  <w:rFonts w:ascii="Segoe UI Symbol" w:eastAsia="Calibri" w:hAnsi="Segoe UI Symbol" w:cs="Segoe UI Symbol"/>
                  <w:bCs/>
                  <w:iCs/>
                  <w:sz w:val="24"/>
                  <w:szCs w:val="24"/>
                </w:rPr>
                <w:t xml:space="preserve"> </w:t>
              </w:r>
            </w:sdtContent>
          </w:sdt>
        </w:sdtContent>
      </w:sdt>
      <w:r w:rsidR="00054C41" w:rsidRPr="00732BB1">
        <w:rPr>
          <w:rFonts w:ascii="Times New Roman" w:eastAsia="Calibri" w:hAnsi="Times New Roman" w:cs="Times New Roman"/>
          <w:bCs/>
          <w:iCs/>
          <w:sz w:val="24"/>
          <w:szCs w:val="24"/>
        </w:rPr>
        <w:t xml:space="preserve"> </w:t>
      </w:r>
      <w:r w:rsidR="00732BB1">
        <w:rPr>
          <w:rFonts w:ascii="Times New Roman" w:eastAsia="Calibri" w:hAnsi="Times New Roman" w:cs="Times New Roman"/>
          <w:bCs/>
          <w:iCs/>
          <w:sz w:val="24"/>
          <w:szCs w:val="24"/>
        </w:rPr>
        <w:t xml:space="preserve">  </w:t>
      </w:r>
      <w:r w:rsidR="00732BB1" w:rsidRPr="009D313B">
        <w:rPr>
          <w:rFonts w:ascii="Times New Roman" w:eastAsia="Calibri" w:hAnsi="Times New Roman" w:cs="Times New Roman"/>
          <w:b/>
          <w:iCs/>
          <w:sz w:val="24"/>
          <w:szCs w:val="24"/>
        </w:rPr>
        <w:t xml:space="preserve"> </w:t>
      </w:r>
      <w:r w:rsidR="00054C41" w:rsidRPr="009D313B">
        <w:rPr>
          <w:rFonts w:ascii="Times New Roman" w:eastAsia="Calibri" w:hAnsi="Times New Roman" w:cs="Times New Roman"/>
          <w:b/>
          <w:iCs/>
          <w:sz w:val="24"/>
          <w:szCs w:val="24"/>
        </w:rPr>
        <w:t>nemení</w:t>
      </w:r>
      <w:r w:rsidR="00054C41" w:rsidRPr="00732BB1">
        <w:rPr>
          <w:rFonts w:ascii="Times New Roman" w:eastAsia="Calibri" w:hAnsi="Times New Roman" w:cs="Times New Roman"/>
          <w:iCs/>
          <w:sz w:val="24"/>
          <w:szCs w:val="24"/>
        </w:rPr>
        <w:tab/>
      </w:r>
      <w:sdt>
        <w:sdtPr>
          <w:rPr>
            <w:rFonts w:ascii="Times New Roman" w:eastAsia="Calibri" w:hAnsi="Times New Roman" w:cs="Times New Roman"/>
            <w:iCs/>
            <w:sz w:val="24"/>
            <w:szCs w:val="24"/>
          </w:rPr>
          <w:id w:val="-1457723544"/>
        </w:sdtPr>
        <w:sdtEndPr/>
        <w:sdtContent>
          <w:sdt>
            <w:sdtPr>
              <w:rPr>
                <w:rFonts w:ascii="Times New Roman" w:eastAsia="Calibri" w:hAnsi="Times New Roman" w:cs="Times New Roman"/>
                <w:iCs/>
                <w:sz w:val="24"/>
                <w:szCs w:val="24"/>
              </w:rPr>
              <w:id w:val="-623767955"/>
            </w:sdtPr>
            <w:sdtEndPr/>
            <w:sdtContent>
              <w:r w:rsidR="00054C41" w:rsidRPr="00732BB1">
                <w:rPr>
                  <w:rFonts w:ascii="Segoe UI Symbol" w:eastAsia="Calibri" w:hAnsi="Segoe UI Symbol" w:cs="Segoe UI Symbol"/>
                  <w:iCs/>
                  <w:sz w:val="24"/>
                  <w:szCs w:val="24"/>
                </w:rPr>
                <w:t>☐</w:t>
              </w:r>
            </w:sdtContent>
          </w:sdt>
        </w:sdtContent>
      </w:sdt>
      <w:r w:rsidR="00054C41" w:rsidRPr="00732BB1">
        <w:rPr>
          <w:rFonts w:ascii="Times New Roman" w:eastAsia="Calibri" w:hAnsi="Times New Roman" w:cs="Times New Roman"/>
          <w:iCs/>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28E4F647" w14:textId="77777777" w:rsidR="00054C41" w:rsidRDefault="00054C41"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0B4849FE" w14:textId="16FAB16B" w:rsidR="00FF414B" w:rsidRDefault="00FF414B" w:rsidP="00FF414B">
      <w:pPr>
        <w:spacing w:after="0"/>
        <w:jc w:val="both"/>
        <w:rPr>
          <w:rFonts w:ascii="Times New Roman" w:eastAsia="Calibri" w:hAnsi="Times New Roman" w:cs="Times New Roman"/>
          <w:i/>
          <w:color w:val="0070C0"/>
          <w:sz w:val="24"/>
          <w:szCs w:val="24"/>
        </w:rPr>
      </w:pPr>
    </w:p>
    <w:p w14:paraId="6D0B8574" w14:textId="6B7B4C76" w:rsidR="00D95CC3" w:rsidRPr="00BC4CCF" w:rsidRDefault="004618CA" w:rsidP="004618CA">
      <w:pPr>
        <w:jc w:val="both"/>
        <w:rPr>
          <w:rFonts w:ascii="Times New Roman" w:eastAsia="Calibri" w:hAnsi="Times New Roman" w:cs="Times New Roman"/>
          <w:iCs/>
          <w:sz w:val="24"/>
          <w:szCs w:val="24"/>
        </w:rPr>
      </w:pPr>
      <w:r w:rsidRPr="00BC4CCF">
        <w:rPr>
          <w:rFonts w:ascii="Times New Roman" w:eastAsia="Calibri" w:hAnsi="Times New Roman" w:cs="Times New Roman"/>
          <w:iCs/>
          <w:sz w:val="24"/>
          <w:szCs w:val="24"/>
        </w:rPr>
        <w:t>Predložený materiál zakladá aj pozitívne vplyvy na podnikateľské prostredie z titulu ustanovenia ochrany dodávateľa služby pred povinnosťo</w:t>
      </w:r>
      <w:r w:rsidR="00D95CC3" w:rsidRPr="00BC4CCF">
        <w:rPr>
          <w:rFonts w:ascii="Times New Roman" w:eastAsia="Calibri" w:hAnsi="Times New Roman" w:cs="Times New Roman"/>
          <w:iCs/>
          <w:sz w:val="24"/>
          <w:szCs w:val="24"/>
        </w:rPr>
        <w:t xml:space="preserve">u poskytnúť mzdu alebo jej časť. </w:t>
      </w:r>
    </w:p>
    <w:p w14:paraId="34984161" w14:textId="58A7B0C8" w:rsidR="004618CA" w:rsidRPr="00BC4CCF" w:rsidRDefault="004618CA" w:rsidP="004618CA">
      <w:pPr>
        <w:jc w:val="both"/>
        <w:rPr>
          <w:rFonts w:ascii="Times New Roman" w:eastAsia="Calibri" w:hAnsi="Times New Roman" w:cs="Times New Roman"/>
          <w:iCs/>
          <w:sz w:val="24"/>
          <w:szCs w:val="24"/>
        </w:rPr>
      </w:pPr>
      <w:r w:rsidRPr="00BC4CCF">
        <w:rPr>
          <w:rFonts w:ascii="Times New Roman" w:eastAsia="Calibri" w:hAnsi="Times New Roman" w:cs="Times New Roman"/>
          <w:iCs/>
          <w:sz w:val="24"/>
          <w:szCs w:val="24"/>
        </w:rPr>
        <w:lastRenderedPageBreak/>
        <w:t xml:space="preserve">Návrh zavádza právo dodávateľa služby </w:t>
      </w:r>
      <w:r w:rsidR="00FB0399">
        <w:rPr>
          <w:rFonts w:ascii="Times New Roman" w:eastAsia="Calibri" w:hAnsi="Times New Roman" w:cs="Times New Roman"/>
          <w:iCs/>
          <w:sz w:val="24"/>
          <w:szCs w:val="24"/>
        </w:rPr>
        <w:t>odmietnuť vyplatenie mzdy</w:t>
      </w:r>
      <w:r w:rsidRPr="00BC4CCF">
        <w:rPr>
          <w:rFonts w:ascii="Times New Roman" w:eastAsia="Calibri" w:hAnsi="Times New Roman" w:cs="Times New Roman"/>
          <w:iCs/>
          <w:sz w:val="24"/>
          <w:szCs w:val="24"/>
        </w:rPr>
        <w:t xml:space="preserve"> zamestnancovi, ktorý sa podieľal na dodávke služby splatnú mzdu alebo jej časť za zákonom ustanovených podmienok. Podľa predloženého návrhu </w:t>
      </w:r>
      <w:r w:rsidR="008204EF">
        <w:rPr>
          <w:rFonts w:ascii="Times New Roman" w:eastAsia="Calibri" w:hAnsi="Times New Roman" w:cs="Times New Roman"/>
          <w:iCs/>
          <w:sz w:val="24"/>
          <w:szCs w:val="24"/>
        </w:rPr>
        <w:t>právo odmietnuť vyplatenie mzdy dodávateľ má</w:t>
      </w:r>
      <w:r w:rsidRPr="00BC4CCF">
        <w:rPr>
          <w:rFonts w:ascii="Times New Roman" w:eastAsia="Calibri" w:hAnsi="Times New Roman" w:cs="Times New Roman"/>
          <w:iCs/>
          <w:sz w:val="24"/>
          <w:szCs w:val="24"/>
        </w:rPr>
        <w:t>, ak preukázateľne pri výbere zamestnávateľa ako priameho subdodávateľa za účelom vzniku právneho vzťahu medzi ním a zamestnávateľom konal s náležitou starostlivosťou</w:t>
      </w:r>
      <w:r w:rsidR="008204EF">
        <w:rPr>
          <w:rFonts w:ascii="Times New Roman" w:eastAsia="Calibri" w:hAnsi="Times New Roman" w:cs="Times New Roman"/>
          <w:iCs/>
          <w:sz w:val="24"/>
          <w:szCs w:val="24"/>
        </w:rPr>
        <w:t>.</w:t>
      </w:r>
    </w:p>
    <w:p w14:paraId="567581BF" w14:textId="6280268F" w:rsidR="00054C41" w:rsidRPr="00BC4CCF" w:rsidRDefault="004618CA" w:rsidP="00054C41">
      <w:pPr>
        <w:spacing w:after="0"/>
        <w:jc w:val="both"/>
        <w:rPr>
          <w:rFonts w:ascii="Times New Roman" w:eastAsia="Calibri" w:hAnsi="Times New Roman" w:cs="Times New Roman"/>
          <w:iCs/>
          <w:sz w:val="24"/>
          <w:szCs w:val="24"/>
        </w:rPr>
      </w:pPr>
      <w:r w:rsidRPr="00BC4CCF">
        <w:rPr>
          <w:rFonts w:ascii="Times New Roman" w:eastAsia="Calibri" w:hAnsi="Times New Roman" w:cs="Times New Roman"/>
          <w:iCs/>
          <w:sz w:val="24"/>
          <w:szCs w:val="24"/>
        </w:rPr>
        <w:t xml:space="preserve">V čase predkladania materiálu nie sú k dispozícií relevantné údaje o správaní sa dodávateľov služieb pri výbere subdodávateľa, t. j. nie je možné odhadnúť, aký podiel dodávateľov služby koná s náležitou starostlivosťou už pri výbere subdodávateľa. Nie je možné odhadnúť ani aký podiel dodávateľov služieb odmietne v prípade žiadosti zamestnanca, ktorý sa podieľal na dodávke služby a nedostal splatnú mzdu od svojho zamestnávateľa, poskytnúť týmto osobám plnenie z dôvodu konania z náležitou starostlivosťou.  </w:t>
      </w:r>
    </w:p>
    <w:p w14:paraId="695439AD" w14:textId="628E8007" w:rsidR="00D95CC3" w:rsidRPr="00BC4CCF" w:rsidRDefault="00D95CC3" w:rsidP="00054C41">
      <w:pPr>
        <w:spacing w:after="0"/>
        <w:jc w:val="both"/>
        <w:rPr>
          <w:rFonts w:ascii="Times New Roman" w:eastAsia="Calibri" w:hAnsi="Times New Roman" w:cs="Times New Roman"/>
          <w:iCs/>
          <w:sz w:val="24"/>
          <w:szCs w:val="24"/>
        </w:rPr>
      </w:pPr>
    </w:p>
    <w:p w14:paraId="0FD282A2" w14:textId="0E5709B1" w:rsidR="00D95CC3" w:rsidRPr="00BC4CCF" w:rsidRDefault="00D95CC3" w:rsidP="00054C41">
      <w:pPr>
        <w:spacing w:after="0"/>
        <w:jc w:val="both"/>
        <w:rPr>
          <w:rFonts w:ascii="Times New Roman" w:eastAsia="Calibri" w:hAnsi="Times New Roman" w:cs="Times New Roman"/>
          <w:iCs/>
          <w:sz w:val="24"/>
          <w:szCs w:val="24"/>
        </w:rPr>
      </w:pPr>
      <w:r w:rsidRPr="00BC4CCF">
        <w:rPr>
          <w:rFonts w:ascii="Times New Roman" w:eastAsia="Calibri" w:hAnsi="Times New Roman" w:cs="Times New Roman"/>
          <w:iCs/>
          <w:sz w:val="24"/>
          <w:szCs w:val="24"/>
        </w:rPr>
        <w:t>Rovnako pozitívne vplyvy na podnikateľské prostredie vyplývajú zo samotnej skutočnosti, ktorú Európska komisia namieta, a to, že v prípade ustanovenia zodpovednosti za zahraničné subjekty a neustanovenia zodpovednosti za vnútroštátne subjekty ide o vytvorenie situácie nerovnakého postavenia a obmedzovania práva na cezhraničné poskytovanie služieb. Z tohto hľadiska pre časť podnikateľského prostredia by malo ísť o vyrovnanie šancí na získanie zákazky.</w:t>
      </w:r>
    </w:p>
    <w:sectPr w:rsidR="00D95CC3" w:rsidRPr="00BC4C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FE2E2" w14:textId="77777777" w:rsidR="0043239D" w:rsidRDefault="0043239D" w:rsidP="00054C41">
      <w:pPr>
        <w:spacing w:after="0" w:line="240" w:lineRule="auto"/>
      </w:pPr>
      <w:r>
        <w:separator/>
      </w:r>
    </w:p>
  </w:endnote>
  <w:endnote w:type="continuationSeparator" w:id="0">
    <w:p w14:paraId="254AB817" w14:textId="77777777" w:rsidR="0043239D" w:rsidRDefault="0043239D"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526529"/>
      <w:docPartObj>
        <w:docPartGallery w:val="Page Numbers (Bottom of Page)"/>
        <w:docPartUnique/>
      </w:docPartObj>
    </w:sdtPr>
    <w:sdtEndPr>
      <w:rPr>
        <w:sz w:val="20"/>
        <w:szCs w:val="20"/>
      </w:rPr>
    </w:sdtEndPr>
    <w:sdtContent>
      <w:p w14:paraId="7134A536" w14:textId="065DE379" w:rsidR="004B70CF" w:rsidRPr="004B70CF" w:rsidRDefault="004B70CF">
        <w:pPr>
          <w:pStyle w:val="Pta"/>
          <w:jc w:val="center"/>
          <w:rPr>
            <w:sz w:val="20"/>
            <w:szCs w:val="20"/>
          </w:rPr>
        </w:pPr>
        <w:r w:rsidRPr="004B70CF">
          <w:rPr>
            <w:sz w:val="20"/>
            <w:szCs w:val="20"/>
          </w:rPr>
          <w:fldChar w:fldCharType="begin"/>
        </w:r>
        <w:r w:rsidRPr="004B70CF">
          <w:rPr>
            <w:sz w:val="20"/>
            <w:szCs w:val="20"/>
          </w:rPr>
          <w:instrText>PAGE   \* MERGEFORMAT</w:instrText>
        </w:r>
        <w:r w:rsidRPr="004B70CF">
          <w:rPr>
            <w:sz w:val="20"/>
            <w:szCs w:val="20"/>
          </w:rPr>
          <w:fldChar w:fldCharType="separate"/>
        </w:r>
        <w:r w:rsidR="007C5318">
          <w:rPr>
            <w:noProof/>
            <w:sz w:val="20"/>
            <w:szCs w:val="20"/>
          </w:rPr>
          <w:t>7</w:t>
        </w:r>
        <w:r w:rsidRPr="004B70CF">
          <w:rPr>
            <w:sz w:val="20"/>
            <w:szCs w:val="20"/>
          </w:rPr>
          <w:fldChar w:fldCharType="end"/>
        </w:r>
      </w:p>
    </w:sdtContent>
  </w:sdt>
  <w:p w14:paraId="68AC3825" w14:textId="77777777" w:rsidR="00142154" w:rsidRPr="004B70CF" w:rsidRDefault="00142154">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84CA3" w14:textId="77777777" w:rsidR="0043239D" w:rsidRDefault="0043239D" w:rsidP="00054C41">
      <w:pPr>
        <w:spacing w:after="0" w:line="240" w:lineRule="auto"/>
      </w:pPr>
      <w:r>
        <w:separator/>
      </w:r>
    </w:p>
  </w:footnote>
  <w:footnote w:type="continuationSeparator" w:id="0">
    <w:p w14:paraId="47CF5164" w14:textId="77777777" w:rsidR="0043239D" w:rsidRDefault="0043239D"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3C60" w14:textId="4776E948" w:rsidR="00142154" w:rsidRPr="006045CB" w:rsidRDefault="00142154"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7FEBDFF3" w14:textId="77777777" w:rsidR="00142154" w:rsidRPr="006045CB" w:rsidRDefault="00142154"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65A4"/>
    <w:rsid w:val="00054C41"/>
    <w:rsid w:val="00060DA1"/>
    <w:rsid w:val="00067BC4"/>
    <w:rsid w:val="000C3A57"/>
    <w:rsid w:val="000C5E9A"/>
    <w:rsid w:val="000D190C"/>
    <w:rsid w:val="00134DB7"/>
    <w:rsid w:val="00142154"/>
    <w:rsid w:val="001425E9"/>
    <w:rsid w:val="0018675A"/>
    <w:rsid w:val="001B4C03"/>
    <w:rsid w:val="001D1083"/>
    <w:rsid w:val="001D3FA0"/>
    <w:rsid w:val="001E53CB"/>
    <w:rsid w:val="00224EA6"/>
    <w:rsid w:val="00224ED2"/>
    <w:rsid w:val="00225A83"/>
    <w:rsid w:val="00270EA5"/>
    <w:rsid w:val="00340CFD"/>
    <w:rsid w:val="0038255E"/>
    <w:rsid w:val="00391648"/>
    <w:rsid w:val="0039304E"/>
    <w:rsid w:val="003D6CE8"/>
    <w:rsid w:val="003E58B8"/>
    <w:rsid w:val="003F06D7"/>
    <w:rsid w:val="0041104D"/>
    <w:rsid w:val="00416E4C"/>
    <w:rsid w:val="0042746A"/>
    <w:rsid w:val="0043239D"/>
    <w:rsid w:val="00445638"/>
    <w:rsid w:val="00446432"/>
    <w:rsid w:val="00451775"/>
    <w:rsid w:val="004618CA"/>
    <w:rsid w:val="00465E4C"/>
    <w:rsid w:val="004B70CF"/>
    <w:rsid w:val="004D20CB"/>
    <w:rsid w:val="005101F4"/>
    <w:rsid w:val="005574BE"/>
    <w:rsid w:val="005A1909"/>
    <w:rsid w:val="005E38EF"/>
    <w:rsid w:val="005E753F"/>
    <w:rsid w:val="005F59F4"/>
    <w:rsid w:val="00616EAC"/>
    <w:rsid w:val="00700B3D"/>
    <w:rsid w:val="007259CB"/>
    <w:rsid w:val="00732BB1"/>
    <w:rsid w:val="0077106D"/>
    <w:rsid w:val="007B40FB"/>
    <w:rsid w:val="007C209E"/>
    <w:rsid w:val="007C5318"/>
    <w:rsid w:val="007E24B2"/>
    <w:rsid w:val="007F23E0"/>
    <w:rsid w:val="00816D27"/>
    <w:rsid w:val="008204EF"/>
    <w:rsid w:val="008634E9"/>
    <w:rsid w:val="008801B5"/>
    <w:rsid w:val="008A13BC"/>
    <w:rsid w:val="008B4AA1"/>
    <w:rsid w:val="008C1C71"/>
    <w:rsid w:val="008E1A8E"/>
    <w:rsid w:val="00915409"/>
    <w:rsid w:val="00923C0C"/>
    <w:rsid w:val="009241E6"/>
    <w:rsid w:val="009A4D56"/>
    <w:rsid w:val="009A5D4F"/>
    <w:rsid w:val="009D313B"/>
    <w:rsid w:val="009E09F7"/>
    <w:rsid w:val="00A000DA"/>
    <w:rsid w:val="00A1736E"/>
    <w:rsid w:val="00A35327"/>
    <w:rsid w:val="00A367BF"/>
    <w:rsid w:val="00A6731F"/>
    <w:rsid w:val="00A821D6"/>
    <w:rsid w:val="00AD7580"/>
    <w:rsid w:val="00AF4ABE"/>
    <w:rsid w:val="00B53EC4"/>
    <w:rsid w:val="00B66E33"/>
    <w:rsid w:val="00BC4CCF"/>
    <w:rsid w:val="00BD0EF7"/>
    <w:rsid w:val="00BF000E"/>
    <w:rsid w:val="00C21399"/>
    <w:rsid w:val="00C560C4"/>
    <w:rsid w:val="00C6748F"/>
    <w:rsid w:val="00C97CEE"/>
    <w:rsid w:val="00CA03C9"/>
    <w:rsid w:val="00CD4E27"/>
    <w:rsid w:val="00D005F2"/>
    <w:rsid w:val="00D52CD6"/>
    <w:rsid w:val="00D631FA"/>
    <w:rsid w:val="00D67DC2"/>
    <w:rsid w:val="00D82356"/>
    <w:rsid w:val="00D84EEE"/>
    <w:rsid w:val="00D90A61"/>
    <w:rsid w:val="00D95CC3"/>
    <w:rsid w:val="00DA6D7E"/>
    <w:rsid w:val="00DF02CE"/>
    <w:rsid w:val="00E030DA"/>
    <w:rsid w:val="00E2001A"/>
    <w:rsid w:val="00E97BA9"/>
    <w:rsid w:val="00EB2BEC"/>
    <w:rsid w:val="00EC0704"/>
    <w:rsid w:val="00EC1E97"/>
    <w:rsid w:val="00ED1ED9"/>
    <w:rsid w:val="00ED6B5D"/>
    <w:rsid w:val="00EE4C99"/>
    <w:rsid w:val="00F74FC9"/>
    <w:rsid w:val="00FB0399"/>
    <w:rsid w:val="00FB52F3"/>
    <w:rsid w:val="00FC59F6"/>
    <w:rsid w:val="00FD195F"/>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character" w:styleId="Hypertextovprepojenie">
    <w:name w:val="Hyperlink"/>
    <w:basedOn w:val="Predvolenpsmoodseku"/>
    <w:uiPriority w:val="99"/>
    <w:unhideWhenUsed/>
    <w:rsid w:val="000C3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392266">
      <w:bodyDiv w:val="1"/>
      <w:marLeft w:val="0"/>
      <w:marRight w:val="0"/>
      <w:marTop w:val="0"/>
      <w:marBottom w:val="0"/>
      <w:divBdr>
        <w:top w:val="none" w:sz="0" w:space="0" w:color="auto"/>
        <w:left w:val="none" w:sz="0" w:space="0" w:color="auto"/>
        <w:bottom w:val="none" w:sz="0" w:space="0" w:color="auto"/>
        <w:right w:val="none" w:sz="0" w:space="0" w:color="auto"/>
      </w:divBdr>
    </w:div>
    <w:div w:id="1108239354">
      <w:bodyDiv w:val="1"/>
      <w:marLeft w:val="0"/>
      <w:marRight w:val="0"/>
      <w:marTop w:val="0"/>
      <w:marBottom w:val="0"/>
      <w:divBdr>
        <w:top w:val="none" w:sz="0" w:space="0" w:color="auto"/>
        <w:left w:val="none" w:sz="0" w:space="0" w:color="auto"/>
        <w:bottom w:val="none" w:sz="0" w:space="0" w:color="auto"/>
        <w:right w:val="none" w:sz="0" w:space="0" w:color="auto"/>
      </w:divBdr>
      <w:divsChild>
        <w:div w:id="1053964499">
          <w:marLeft w:val="0"/>
          <w:marRight w:val="75"/>
          <w:marTop w:val="0"/>
          <w:marBottom w:val="0"/>
          <w:divBdr>
            <w:top w:val="none" w:sz="0" w:space="0" w:color="auto"/>
            <w:left w:val="none" w:sz="0" w:space="0" w:color="auto"/>
            <w:bottom w:val="none" w:sz="0" w:space="0" w:color="auto"/>
            <w:right w:val="none" w:sz="0" w:space="0" w:color="auto"/>
          </w:divBdr>
        </w:div>
        <w:div w:id="148713286">
          <w:marLeft w:val="0"/>
          <w:marRight w:val="0"/>
          <w:marTop w:val="0"/>
          <w:marBottom w:val="300"/>
          <w:divBdr>
            <w:top w:val="none" w:sz="0" w:space="0" w:color="auto"/>
            <w:left w:val="none" w:sz="0" w:space="0" w:color="auto"/>
            <w:bottom w:val="none" w:sz="0" w:space="0" w:color="auto"/>
            <w:right w:val="none" w:sz="0" w:space="0" w:color="auto"/>
          </w:divBdr>
        </w:div>
        <w:div w:id="810942472">
          <w:marLeft w:val="255"/>
          <w:marRight w:val="0"/>
          <w:marTop w:val="75"/>
          <w:marBottom w:val="0"/>
          <w:divBdr>
            <w:top w:val="none" w:sz="0" w:space="0" w:color="auto"/>
            <w:left w:val="none" w:sz="0" w:space="0" w:color="auto"/>
            <w:bottom w:val="none" w:sz="0" w:space="0" w:color="auto"/>
            <w:right w:val="none" w:sz="0" w:space="0" w:color="auto"/>
          </w:divBdr>
          <w:divsChild>
            <w:div w:id="673610908">
              <w:marLeft w:val="255"/>
              <w:marRight w:val="0"/>
              <w:marTop w:val="0"/>
              <w:marBottom w:val="0"/>
              <w:divBdr>
                <w:top w:val="none" w:sz="0" w:space="0" w:color="auto"/>
                <w:left w:val="none" w:sz="0" w:space="0" w:color="auto"/>
                <w:bottom w:val="none" w:sz="0" w:space="0" w:color="auto"/>
                <w:right w:val="none" w:sz="0" w:space="0" w:color="auto"/>
              </w:divBdr>
            </w:div>
            <w:div w:id="675426320">
              <w:marLeft w:val="255"/>
              <w:marRight w:val="0"/>
              <w:marTop w:val="0"/>
              <w:marBottom w:val="0"/>
              <w:divBdr>
                <w:top w:val="none" w:sz="0" w:space="0" w:color="auto"/>
                <w:left w:val="none" w:sz="0" w:space="0" w:color="auto"/>
                <w:bottom w:val="none" w:sz="0" w:space="0" w:color="auto"/>
                <w:right w:val="none" w:sz="0" w:space="0" w:color="auto"/>
              </w:divBdr>
            </w:div>
            <w:div w:id="1540818859">
              <w:marLeft w:val="255"/>
              <w:marRight w:val="0"/>
              <w:marTop w:val="0"/>
              <w:marBottom w:val="0"/>
              <w:divBdr>
                <w:top w:val="none" w:sz="0" w:space="0" w:color="auto"/>
                <w:left w:val="none" w:sz="0" w:space="0" w:color="auto"/>
                <w:bottom w:val="none" w:sz="0" w:space="0" w:color="auto"/>
                <w:right w:val="none" w:sz="0" w:space="0" w:color="auto"/>
              </w:divBdr>
            </w:div>
            <w:div w:id="1085224514">
              <w:marLeft w:val="255"/>
              <w:marRight w:val="0"/>
              <w:marTop w:val="0"/>
              <w:marBottom w:val="0"/>
              <w:divBdr>
                <w:top w:val="none" w:sz="0" w:space="0" w:color="auto"/>
                <w:left w:val="none" w:sz="0" w:space="0" w:color="auto"/>
                <w:bottom w:val="none" w:sz="0" w:space="0" w:color="auto"/>
                <w:right w:val="none" w:sz="0" w:space="0" w:color="auto"/>
              </w:divBdr>
            </w:div>
            <w:div w:id="164051060">
              <w:marLeft w:val="255"/>
              <w:marRight w:val="0"/>
              <w:marTop w:val="0"/>
              <w:marBottom w:val="0"/>
              <w:divBdr>
                <w:top w:val="none" w:sz="0" w:space="0" w:color="auto"/>
                <w:left w:val="none" w:sz="0" w:space="0" w:color="auto"/>
                <w:bottom w:val="none" w:sz="0" w:space="0" w:color="auto"/>
                <w:right w:val="none" w:sz="0" w:space="0" w:color="auto"/>
              </w:divBdr>
            </w:div>
            <w:div w:id="1537307998">
              <w:marLeft w:val="255"/>
              <w:marRight w:val="0"/>
              <w:marTop w:val="0"/>
              <w:marBottom w:val="0"/>
              <w:divBdr>
                <w:top w:val="none" w:sz="0" w:space="0" w:color="auto"/>
                <w:left w:val="none" w:sz="0" w:space="0" w:color="auto"/>
                <w:bottom w:val="none" w:sz="0" w:space="0" w:color="auto"/>
                <w:right w:val="none" w:sz="0" w:space="0" w:color="auto"/>
              </w:divBdr>
            </w:div>
            <w:div w:id="919868614">
              <w:marLeft w:val="255"/>
              <w:marRight w:val="0"/>
              <w:marTop w:val="0"/>
              <w:marBottom w:val="0"/>
              <w:divBdr>
                <w:top w:val="none" w:sz="0" w:space="0" w:color="auto"/>
                <w:left w:val="none" w:sz="0" w:space="0" w:color="auto"/>
                <w:bottom w:val="none" w:sz="0" w:space="0" w:color="auto"/>
                <w:right w:val="none" w:sz="0" w:space="0" w:color="auto"/>
              </w:divBdr>
            </w:div>
            <w:div w:id="127826907">
              <w:marLeft w:val="255"/>
              <w:marRight w:val="0"/>
              <w:marTop w:val="0"/>
              <w:marBottom w:val="0"/>
              <w:divBdr>
                <w:top w:val="none" w:sz="0" w:space="0" w:color="auto"/>
                <w:left w:val="none" w:sz="0" w:space="0" w:color="auto"/>
                <w:bottom w:val="none" w:sz="0" w:space="0" w:color="auto"/>
                <w:right w:val="none" w:sz="0" w:space="0" w:color="auto"/>
              </w:divBdr>
            </w:div>
            <w:div w:id="464398827">
              <w:marLeft w:val="255"/>
              <w:marRight w:val="0"/>
              <w:marTop w:val="0"/>
              <w:marBottom w:val="0"/>
              <w:divBdr>
                <w:top w:val="none" w:sz="0" w:space="0" w:color="auto"/>
                <w:left w:val="none" w:sz="0" w:space="0" w:color="auto"/>
                <w:bottom w:val="none" w:sz="0" w:space="0" w:color="auto"/>
                <w:right w:val="none" w:sz="0" w:space="0" w:color="auto"/>
              </w:divBdr>
            </w:div>
            <w:div w:id="550656938">
              <w:marLeft w:val="255"/>
              <w:marRight w:val="0"/>
              <w:marTop w:val="0"/>
              <w:marBottom w:val="0"/>
              <w:divBdr>
                <w:top w:val="none" w:sz="0" w:space="0" w:color="auto"/>
                <w:left w:val="none" w:sz="0" w:space="0" w:color="auto"/>
                <w:bottom w:val="none" w:sz="0" w:space="0" w:color="auto"/>
                <w:right w:val="none" w:sz="0" w:space="0" w:color="auto"/>
              </w:divBdr>
            </w:div>
            <w:div w:id="621692420">
              <w:marLeft w:val="255"/>
              <w:marRight w:val="0"/>
              <w:marTop w:val="0"/>
              <w:marBottom w:val="0"/>
              <w:divBdr>
                <w:top w:val="none" w:sz="0" w:space="0" w:color="auto"/>
                <w:left w:val="none" w:sz="0" w:space="0" w:color="auto"/>
                <w:bottom w:val="none" w:sz="0" w:space="0" w:color="auto"/>
                <w:right w:val="none" w:sz="0" w:space="0" w:color="auto"/>
              </w:divBdr>
            </w:div>
            <w:div w:id="5249033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176265373">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5D79993-A628-48F5-A007-491005D8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2469</Words>
  <Characters>14078</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Vároš Juraj</cp:lastModifiedBy>
  <cp:revision>3</cp:revision>
  <dcterms:created xsi:type="dcterms:W3CDTF">2024-03-12T09:42:00Z</dcterms:created>
  <dcterms:modified xsi:type="dcterms:W3CDTF">2024-03-25T10:44:00Z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