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A073F" w14:textId="77777777" w:rsidR="00F633B4" w:rsidRPr="00F633B4" w:rsidRDefault="00F633B4" w:rsidP="009E646D">
      <w:pPr>
        <w:jc w:val="both"/>
        <w:rPr>
          <w:b/>
        </w:rPr>
      </w:pPr>
      <w:r w:rsidRPr="00F633B4">
        <w:rPr>
          <w:b/>
        </w:rPr>
        <w:t xml:space="preserve">Osobitná časť </w:t>
      </w:r>
    </w:p>
    <w:p w14:paraId="54A467E2" w14:textId="77777777" w:rsidR="00D026A6" w:rsidRPr="00F633B4" w:rsidRDefault="00D026A6" w:rsidP="00F633B4">
      <w:pPr>
        <w:jc w:val="both"/>
        <w:rPr>
          <w:b/>
        </w:rPr>
      </w:pPr>
    </w:p>
    <w:p w14:paraId="42323CB7" w14:textId="77777777" w:rsidR="00D026A6" w:rsidRPr="00F633B4" w:rsidRDefault="00D026A6" w:rsidP="00F633B4">
      <w:pPr>
        <w:jc w:val="both"/>
        <w:rPr>
          <w:b/>
          <w:u w:val="single"/>
        </w:rPr>
      </w:pPr>
      <w:r w:rsidRPr="00F633B4">
        <w:rPr>
          <w:b/>
          <w:u w:val="single"/>
        </w:rPr>
        <w:t>K čl. I (Zákonník práce)</w:t>
      </w:r>
      <w:r w:rsidR="00AB1B50" w:rsidRPr="00F633B4">
        <w:rPr>
          <w:b/>
          <w:u w:val="single"/>
        </w:rPr>
        <w:t xml:space="preserve"> </w:t>
      </w:r>
    </w:p>
    <w:p w14:paraId="1C501CBD" w14:textId="77777777" w:rsidR="00D026A6" w:rsidRPr="00F633B4" w:rsidRDefault="00D026A6" w:rsidP="00F633B4">
      <w:pPr>
        <w:jc w:val="both"/>
        <w:rPr>
          <w:b/>
          <w:bCs/>
        </w:rPr>
      </w:pPr>
    </w:p>
    <w:p w14:paraId="53A2F80F" w14:textId="5F844E14" w:rsidR="00D026A6" w:rsidRPr="00F633B4" w:rsidRDefault="00D026A6" w:rsidP="00F633B4">
      <w:pPr>
        <w:jc w:val="both"/>
        <w:rPr>
          <w:b/>
          <w:bCs/>
        </w:rPr>
      </w:pPr>
      <w:r w:rsidRPr="00F633B4">
        <w:rPr>
          <w:b/>
          <w:bCs/>
        </w:rPr>
        <w:t xml:space="preserve">K bodom 1 až </w:t>
      </w:r>
      <w:r w:rsidR="00942AA5" w:rsidRPr="00F633B4">
        <w:rPr>
          <w:b/>
          <w:bCs/>
        </w:rPr>
        <w:t>4 a 6</w:t>
      </w:r>
    </w:p>
    <w:p w14:paraId="2E133363" w14:textId="77777777" w:rsidR="00D026A6" w:rsidRPr="00F633B4" w:rsidRDefault="00D026A6" w:rsidP="00F633B4">
      <w:pPr>
        <w:jc w:val="both"/>
      </w:pPr>
    </w:p>
    <w:p w14:paraId="31A731EF" w14:textId="77777777" w:rsidR="00D026A6" w:rsidRPr="00F633B4" w:rsidRDefault="00D026A6" w:rsidP="00F633B4">
      <w:pPr>
        <w:ind w:firstLine="284"/>
        <w:jc w:val="both"/>
      </w:pPr>
      <w:r w:rsidRPr="00F633B4">
        <w:t xml:space="preserve">Legislatívno-technická zmena v súvislosti s navrhovaným znením § 130a a presunutím niektorých častí ustanovení § 5 do § 130a. </w:t>
      </w:r>
    </w:p>
    <w:p w14:paraId="763376E9" w14:textId="59DCDFBA" w:rsidR="00D026A6" w:rsidRPr="00F633B4" w:rsidRDefault="00D026A6" w:rsidP="00F633B4">
      <w:pPr>
        <w:jc w:val="both"/>
      </w:pPr>
    </w:p>
    <w:p w14:paraId="097FCA6D" w14:textId="2274C908" w:rsidR="00942AA5" w:rsidRPr="00F633B4" w:rsidRDefault="00942AA5" w:rsidP="00F633B4">
      <w:pPr>
        <w:jc w:val="both"/>
        <w:rPr>
          <w:b/>
        </w:rPr>
      </w:pPr>
      <w:r w:rsidRPr="00F633B4">
        <w:rPr>
          <w:b/>
        </w:rPr>
        <w:t>K bodu 5</w:t>
      </w:r>
    </w:p>
    <w:p w14:paraId="7550F831" w14:textId="726C867E" w:rsidR="00942AA5" w:rsidRPr="00F633B4" w:rsidRDefault="00942AA5" w:rsidP="00F633B4">
      <w:pPr>
        <w:jc w:val="both"/>
      </w:pPr>
    </w:p>
    <w:p w14:paraId="48707274" w14:textId="32B99CFB" w:rsidR="00942AA5" w:rsidRPr="00F633B4" w:rsidRDefault="00942AA5" w:rsidP="00506C20">
      <w:pPr>
        <w:ind w:firstLine="284"/>
        <w:jc w:val="both"/>
      </w:pPr>
      <w:r w:rsidRPr="00F633B4">
        <w:t>Navrhuje sa rozšíriť ustanovenie § 36 o preklúzií práva o ustanovenie § 130a ods. 1 písm. b) v súvislosti s ustanovením preklúzie, pokiaľ ide o právo zamestnanca uplatniť právo na vyplatenie mzdy podľa § 130a.</w:t>
      </w:r>
    </w:p>
    <w:p w14:paraId="2F65C7B9" w14:textId="77777777" w:rsidR="00D026A6" w:rsidRPr="00F633B4" w:rsidRDefault="00D026A6" w:rsidP="00F633B4">
      <w:pPr>
        <w:jc w:val="both"/>
      </w:pPr>
    </w:p>
    <w:p w14:paraId="6EABE071" w14:textId="22B430B2" w:rsidR="00D026A6" w:rsidRPr="00F633B4" w:rsidRDefault="00D026A6" w:rsidP="00F633B4">
      <w:pPr>
        <w:jc w:val="both"/>
        <w:rPr>
          <w:b/>
        </w:rPr>
      </w:pPr>
      <w:r w:rsidRPr="00F633B4">
        <w:rPr>
          <w:b/>
        </w:rPr>
        <w:t xml:space="preserve">K bodu </w:t>
      </w:r>
      <w:r w:rsidR="00942AA5" w:rsidRPr="00F633B4">
        <w:rPr>
          <w:b/>
        </w:rPr>
        <w:t>7</w:t>
      </w:r>
    </w:p>
    <w:p w14:paraId="52CE3FE4" w14:textId="77777777" w:rsidR="00D026A6" w:rsidRPr="00F633B4" w:rsidRDefault="00D026A6" w:rsidP="00F633B4">
      <w:pPr>
        <w:jc w:val="both"/>
      </w:pPr>
    </w:p>
    <w:p w14:paraId="4D75FCF2" w14:textId="76F6E979" w:rsidR="00D026A6" w:rsidRPr="00F633B4" w:rsidRDefault="00D026A6" w:rsidP="00F633B4">
      <w:pPr>
        <w:autoSpaceDE w:val="0"/>
        <w:autoSpaceDN w:val="0"/>
        <w:adjustRightInd w:val="0"/>
        <w:ind w:firstLine="284"/>
        <w:jc w:val="both"/>
        <w:rPr>
          <w:lang w:eastAsia="en-US"/>
        </w:rPr>
      </w:pPr>
      <w:r w:rsidRPr="00F633B4">
        <w:rPr>
          <w:lang w:eastAsia="en-US"/>
        </w:rPr>
        <w:t xml:space="preserve">Európska komisia adresovala Slovenskej republike odôvodnené stanovisko C(2023)93 </w:t>
      </w:r>
      <w:proofErr w:type="spellStart"/>
      <w:r w:rsidRPr="00F633B4">
        <w:rPr>
          <w:lang w:eastAsia="en-US"/>
        </w:rPr>
        <w:t>final</w:t>
      </w:r>
      <w:proofErr w:type="spellEnd"/>
      <w:r w:rsidRPr="00F633B4">
        <w:rPr>
          <w:lang w:eastAsia="en-US"/>
        </w:rPr>
        <w:t xml:space="preserve"> vydané dňa 26. januára 2023 v súlade s článkom 258 prvého odseku Zmluvy o fungovaní Európskej únie týkajúce sa konania o porušení zmlúv INFR(2018)2242 (ďalej len „porušenie INFR(2018)2242“). Predmetné konanie je vedené z dôvodu nesúladu slovenských vnútroštátnych opatrení so smernicou </w:t>
      </w:r>
      <w:r w:rsidR="0032507D" w:rsidRPr="00F633B4">
        <w:rPr>
          <w:lang w:eastAsia="en-US"/>
        </w:rPr>
        <w:t>Európskeho parlamentu a Rady 2014/67/EÚ z 15. mája 2014 o presadzovaní smernice 96/71/ES o vysielaní pracovníkov v rámci poskytovania služieb, ktorou sa mení nariadenie (EÚ) č. 1024/2012 o administratívnej spolupráci prostredníctvom informačného systému o vnútornom trhu („nariadenie o IMI“) (Ú. v. EÚ L 159, 28. 5. 2014</w:t>
      </w:r>
      <w:r w:rsidR="00FC16E0" w:rsidRPr="00F633B4">
        <w:rPr>
          <w:lang w:eastAsia="en-US"/>
        </w:rPr>
        <w:t>, s.</w:t>
      </w:r>
      <w:r w:rsidR="00F633B4">
        <w:rPr>
          <w:lang w:eastAsia="en-US"/>
        </w:rPr>
        <w:t> </w:t>
      </w:r>
      <w:r w:rsidR="00FC16E0" w:rsidRPr="00F633B4">
        <w:rPr>
          <w:lang w:eastAsia="en-US"/>
        </w:rPr>
        <w:t>11 - 31</w:t>
      </w:r>
      <w:r w:rsidR="0032507D" w:rsidRPr="00F633B4">
        <w:rPr>
          <w:lang w:eastAsia="en-US"/>
        </w:rPr>
        <w:t>) (ďalej len „smernica 2014/67/EÚ“)</w:t>
      </w:r>
      <w:r w:rsidRPr="00F633B4">
        <w:rPr>
          <w:lang w:eastAsia="en-US"/>
        </w:rPr>
        <w:t>. Sťažnosť Komisie sa týka transpozície čl. 12 smernice 2014/67/EÚ do právnej úpravy Slovenskej republiky.</w:t>
      </w:r>
    </w:p>
    <w:p w14:paraId="4275B811" w14:textId="77777777" w:rsidR="00D026A6" w:rsidRPr="00F633B4" w:rsidRDefault="00D026A6" w:rsidP="00506C20">
      <w:pPr>
        <w:autoSpaceDE w:val="0"/>
        <w:autoSpaceDN w:val="0"/>
        <w:adjustRightInd w:val="0"/>
        <w:ind w:firstLine="284"/>
        <w:jc w:val="both"/>
        <w:rPr>
          <w:lang w:eastAsia="en-US"/>
        </w:rPr>
      </w:pPr>
    </w:p>
    <w:p w14:paraId="39232A16" w14:textId="40B1C2CF" w:rsidR="00D026A6" w:rsidRPr="00F633B4" w:rsidRDefault="00D026A6" w:rsidP="00F633B4">
      <w:pPr>
        <w:autoSpaceDE w:val="0"/>
        <w:autoSpaceDN w:val="0"/>
        <w:adjustRightInd w:val="0"/>
        <w:ind w:firstLine="284"/>
        <w:jc w:val="both"/>
        <w:rPr>
          <w:lang w:eastAsia="en-US"/>
        </w:rPr>
      </w:pPr>
      <w:r w:rsidRPr="00F633B4">
        <w:rPr>
          <w:lang w:eastAsia="en-US"/>
        </w:rPr>
        <w:t>Podľa čl. 12 ods. 1 smernice</w:t>
      </w:r>
      <w:r w:rsidR="00FC16E0" w:rsidRPr="00F633B4">
        <w:rPr>
          <w:lang w:eastAsia="en-US"/>
        </w:rPr>
        <w:t xml:space="preserve"> 2014/67/EÚ</w:t>
      </w:r>
      <w:r w:rsidRPr="00F633B4">
        <w:rPr>
          <w:lang w:eastAsia="en-US"/>
        </w:rPr>
        <w:t>: „</w:t>
      </w:r>
      <w:r w:rsidRPr="00F633B4">
        <w:rPr>
          <w:i/>
          <w:lang w:eastAsia="en-US"/>
        </w:rPr>
        <w:t>V záujme boja proti podvodom a zneužívaniu môžu členské štáty po konzultácii s príslušnými sociálnymi partnermi a v súlade s</w:t>
      </w:r>
      <w:r w:rsidR="00F633B4">
        <w:rPr>
          <w:i/>
          <w:lang w:eastAsia="en-US"/>
        </w:rPr>
        <w:t> </w:t>
      </w:r>
      <w:r w:rsidRPr="00F633B4">
        <w:rPr>
          <w:i/>
          <w:lang w:eastAsia="en-US"/>
        </w:rPr>
        <w:t>vnútroštátnymi právnymi predpismi a/alebo praxou prijať ďalšie opatrenia na nediskriminačnom a primeranom základe s cieľom zabezpečiť, aby vyslaný pracovník mohol v</w:t>
      </w:r>
      <w:r w:rsidR="00F633B4">
        <w:rPr>
          <w:i/>
          <w:lang w:eastAsia="en-US"/>
        </w:rPr>
        <w:t> </w:t>
      </w:r>
      <w:r w:rsidRPr="00F633B4">
        <w:rPr>
          <w:i/>
          <w:lang w:eastAsia="en-US"/>
        </w:rPr>
        <w:t xml:space="preserve">rámci subdodávateľských reťazcov uplatniť voči dodávateľovi, ktorého priamy subdodávateľ je zamestnávateľom (poskytovateľom služieb), na ktorého sa vzťahuje článok 1 ods. 3 smernice 96/71/ES, zodpovednosť, ktorú tento dodávateľ nesie spolu so zamestnávateľom alebo namiesto zamestnávateľa, pokiaľ ide o akékoľvek nevyplatené čisté mzdy zodpovedajúce minimálnym mzdovým tarifám a/alebo príspevkom, ktoré sa majú zaplatiť do spoločných fondov alebo inštitúciám sociálnych partnerov, ak sa na </w:t>
      </w:r>
      <w:proofErr w:type="spellStart"/>
      <w:r w:rsidRPr="00F633B4">
        <w:rPr>
          <w:i/>
          <w:lang w:eastAsia="en-US"/>
        </w:rPr>
        <w:t>ne</w:t>
      </w:r>
      <w:proofErr w:type="spellEnd"/>
      <w:r w:rsidRPr="00F633B4">
        <w:rPr>
          <w:i/>
          <w:lang w:eastAsia="en-US"/>
        </w:rPr>
        <w:t xml:space="preserve"> vzťahuje článok 3 smernice 96/71/ES.“</w:t>
      </w:r>
    </w:p>
    <w:p w14:paraId="15125387" w14:textId="77777777" w:rsidR="00D026A6" w:rsidRPr="00F633B4" w:rsidRDefault="00D026A6" w:rsidP="00506C20">
      <w:pPr>
        <w:autoSpaceDE w:val="0"/>
        <w:autoSpaceDN w:val="0"/>
        <w:adjustRightInd w:val="0"/>
        <w:ind w:firstLine="284"/>
        <w:jc w:val="both"/>
        <w:rPr>
          <w:lang w:eastAsia="en-US"/>
        </w:rPr>
      </w:pPr>
    </w:p>
    <w:p w14:paraId="7B1B2B18" w14:textId="2CB4EC97" w:rsidR="00D026A6" w:rsidRPr="00F633B4" w:rsidRDefault="00D026A6" w:rsidP="00F633B4">
      <w:pPr>
        <w:autoSpaceDE w:val="0"/>
        <w:autoSpaceDN w:val="0"/>
        <w:adjustRightInd w:val="0"/>
        <w:ind w:firstLine="284"/>
        <w:jc w:val="both"/>
        <w:rPr>
          <w:lang w:eastAsia="en-US"/>
        </w:rPr>
      </w:pPr>
      <w:r w:rsidRPr="00F633B4">
        <w:rPr>
          <w:lang w:eastAsia="en-US"/>
        </w:rPr>
        <w:t>Podľa čl. 12 ods. 2 smernice</w:t>
      </w:r>
      <w:r w:rsidR="00FC16E0" w:rsidRPr="00F633B4">
        <w:rPr>
          <w:lang w:eastAsia="en-US"/>
        </w:rPr>
        <w:t xml:space="preserve"> 2014/67/EÚ</w:t>
      </w:r>
      <w:r w:rsidRPr="00F633B4">
        <w:rPr>
          <w:lang w:eastAsia="en-US"/>
        </w:rPr>
        <w:t xml:space="preserve">: </w:t>
      </w:r>
      <w:r w:rsidRPr="00F633B4">
        <w:rPr>
          <w:i/>
          <w:lang w:eastAsia="en-US"/>
        </w:rPr>
        <w:t>„Pokiaľ ide o činnosti uvedené v prílohe k</w:t>
      </w:r>
      <w:r w:rsidR="00F633B4">
        <w:rPr>
          <w:i/>
          <w:lang w:eastAsia="en-US"/>
        </w:rPr>
        <w:t> </w:t>
      </w:r>
      <w:r w:rsidRPr="00F633B4">
        <w:rPr>
          <w:i/>
          <w:lang w:eastAsia="en-US"/>
        </w:rPr>
        <w:t>smernici 96/71/ES, členské štáty ustanovia opatrenia, ktorými sa zabezpečí, aby vyslaný pracovník mohol v rámci subdodávateľských reťazcov uplatniť voči dodávateľovi, ktorého priamy subdodávateľ je zamestnávateľom, zodpovednosť, ktorú tento dodávateľ nesie spolu so zamestnávateľom alebo namiesto zamestnávateľa, v súvislosti s právami vyslaných pracovníkov uvedenými v odseku 1 tohto článku.“</w:t>
      </w:r>
    </w:p>
    <w:p w14:paraId="5C513BBE" w14:textId="77777777" w:rsidR="00D026A6" w:rsidRPr="00F633B4" w:rsidRDefault="00D026A6" w:rsidP="00506C20">
      <w:pPr>
        <w:autoSpaceDE w:val="0"/>
        <w:autoSpaceDN w:val="0"/>
        <w:adjustRightInd w:val="0"/>
        <w:ind w:firstLine="284"/>
        <w:jc w:val="both"/>
        <w:rPr>
          <w:lang w:eastAsia="en-US"/>
        </w:rPr>
      </w:pPr>
    </w:p>
    <w:p w14:paraId="336DC3F6" w14:textId="2DE10906" w:rsidR="00D026A6" w:rsidRPr="00F633B4" w:rsidRDefault="00D026A6" w:rsidP="00F633B4">
      <w:pPr>
        <w:autoSpaceDE w:val="0"/>
        <w:autoSpaceDN w:val="0"/>
        <w:adjustRightInd w:val="0"/>
        <w:ind w:firstLine="284"/>
        <w:jc w:val="both"/>
        <w:rPr>
          <w:lang w:eastAsia="en-US"/>
        </w:rPr>
      </w:pPr>
      <w:r w:rsidRPr="00F633B4">
        <w:rPr>
          <w:lang w:eastAsia="en-US"/>
        </w:rPr>
        <w:t>V kontexte transpozície čl. 12 smernice</w:t>
      </w:r>
      <w:r w:rsidR="00FC16E0" w:rsidRPr="00F633B4">
        <w:rPr>
          <w:lang w:eastAsia="en-US"/>
        </w:rPr>
        <w:t xml:space="preserve"> 2014/67/EÚ</w:t>
      </w:r>
      <w:r w:rsidRPr="00F633B4">
        <w:rPr>
          <w:lang w:eastAsia="en-US"/>
        </w:rPr>
        <w:t xml:space="preserve"> zákonodarca s účinnosťou od </w:t>
      </w:r>
      <w:r w:rsidR="005F6A24" w:rsidRPr="00F633B4">
        <w:rPr>
          <w:lang w:eastAsia="en-US"/>
        </w:rPr>
        <w:t xml:space="preserve">18. </w:t>
      </w:r>
      <w:r w:rsidRPr="00F633B4">
        <w:rPr>
          <w:lang w:eastAsia="en-US"/>
        </w:rPr>
        <w:t>júna 2016 novelizoval Zákonník práce a zmenil § 5 Zákonníka práce. Podľa doteraz účinného znenia §</w:t>
      </w:r>
      <w:r w:rsidR="008B4C00" w:rsidRPr="00F633B4">
        <w:rPr>
          <w:lang w:eastAsia="en-US"/>
        </w:rPr>
        <w:t> </w:t>
      </w:r>
      <w:r w:rsidRPr="00F633B4">
        <w:rPr>
          <w:lang w:eastAsia="en-US"/>
        </w:rPr>
        <w:t>5</w:t>
      </w:r>
      <w:r w:rsidR="008B4C00" w:rsidRPr="00F633B4">
        <w:rPr>
          <w:lang w:eastAsia="en-US"/>
        </w:rPr>
        <w:t> </w:t>
      </w:r>
      <w:r w:rsidRPr="00F633B4">
        <w:rPr>
          <w:lang w:eastAsia="en-US"/>
        </w:rPr>
        <w:t xml:space="preserve">ods. 11 Zákonníka práce: </w:t>
      </w:r>
      <w:r w:rsidRPr="00F633B4">
        <w:rPr>
          <w:i/>
          <w:lang w:eastAsia="en-US"/>
        </w:rPr>
        <w:t xml:space="preserve">„Hosťujúci zamestnanec, ktorému hosťujúci zamestnávateľ pri vyslaní podľa odseku 6 písm. a) alebo písm. b) neposkytol splatnú mzdu podľa odseku 2 písm. </w:t>
      </w:r>
      <w:r w:rsidRPr="00F633B4">
        <w:rPr>
          <w:i/>
          <w:lang w:eastAsia="en-US"/>
        </w:rPr>
        <w:lastRenderedPageBreak/>
        <w:t>c) alebo odseku 3 alebo jej časť, má právo domáhať sa ich vyplatenia u fyzickej osoby alebo právnickej osoby, ktorá je dodávateľom služby na území Slovenskej republiky (ďalej len „dodávateľ služby“), ktorej priamym subdodávateľom je hosťujúci zamestnávateľ. Dodávateľ služby je povinný poskytnúť hosťujúcemu zamestnancovi splatnú mzdu alebo jej časť v sume, v</w:t>
      </w:r>
      <w:r w:rsidR="008B4C00" w:rsidRPr="00F633B4">
        <w:rPr>
          <w:i/>
          <w:lang w:eastAsia="en-US"/>
        </w:rPr>
        <w:t> </w:t>
      </w:r>
      <w:r w:rsidRPr="00F633B4">
        <w:rPr>
          <w:i/>
          <w:lang w:eastAsia="en-US"/>
        </w:rPr>
        <w:t xml:space="preserve">ktorej nebola vyplatená, do 15 dní od doručenia žiadosti hosťujúceho zamestnanca po odpočítaní zrážok, ktoré by zo mzdy vykonal hosťujúci zamestnávateľ, ak by splatnú mzdu poskytol; na dodávateľa služby neprechádza zodpovednosť za vykonanie a odvedenie týchto zrážok. Dodávateľ služby je povinný informovať hosťujúceho zamestnávateľa o vyplatení mzdy podľa druhej vety. Pri vyslaní podľa odseku 6 písm. c) sa postupuje podľa § 58 ods. </w:t>
      </w:r>
      <w:smartTag w:uri="urn:schemas-microsoft-com:office:smarttags" w:element="metricconverter">
        <w:smartTagPr>
          <w:attr w:name="ProductID" w:val="10 a"/>
        </w:smartTagPr>
        <w:r w:rsidRPr="00F633B4">
          <w:rPr>
            <w:i/>
            <w:lang w:eastAsia="en-US"/>
          </w:rPr>
          <w:t>10 a</w:t>
        </w:r>
      </w:smartTag>
      <w:r w:rsidRPr="00F633B4">
        <w:rPr>
          <w:i/>
          <w:lang w:eastAsia="en-US"/>
        </w:rPr>
        <w:t xml:space="preserve"> § 58a ods. 4.“</w:t>
      </w:r>
    </w:p>
    <w:p w14:paraId="15038957" w14:textId="77777777" w:rsidR="00D026A6" w:rsidRPr="00F633B4" w:rsidRDefault="00D026A6" w:rsidP="00506C20">
      <w:pPr>
        <w:autoSpaceDE w:val="0"/>
        <w:autoSpaceDN w:val="0"/>
        <w:adjustRightInd w:val="0"/>
        <w:ind w:firstLine="284"/>
        <w:jc w:val="both"/>
        <w:rPr>
          <w:lang w:eastAsia="en-US"/>
        </w:rPr>
      </w:pPr>
    </w:p>
    <w:p w14:paraId="43B88155" w14:textId="65BC4DBD" w:rsidR="00D026A6" w:rsidRPr="00F633B4" w:rsidRDefault="00D026A6" w:rsidP="00F633B4">
      <w:pPr>
        <w:autoSpaceDE w:val="0"/>
        <w:autoSpaceDN w:val="0"/>
        <w:adjustRightInd w:val="0"/>
        <w:ind w:firstLine="284"/>
        <w:jc w:val="both"/>
        <w:rPr>
          <w:lang w:eastAsia="en-US"/>
        </w:rPr>
      </w:pPr>
      <w:r w:rsidRPr="00F633B4">
        <w:rPr>
          <w:lang w:eastAsia="en-US"/>
        </w:rPr>
        <w:t xml:space="preserve">Podľa Európskej komisie z porovnania článku 12 smernice </w:t>
      </w:r>
      <w:r w:rsidR="00FC16E0" w:rsidRPr="00F633B4">
        <w:rPr>
          <w:lang w:eastAsia="en-US"/>
        </w:rPr>
        <w:t xml:space="preserve">2014/67/EÚ </w:t>
      </w:r>
      <w:r w:rsidRPr="00F633B4">
        <w:rPr>
          <w:lang w:eastAsia="en-US"/>
        </w:rPr>
        <w:t>a ustanovení Zákonníka práce vyplýva, že smernica vyžaduje zavedenie tzv. subdodávateľskej zodpovednosti podľa čl. 12 na nediskriminačnom základe, t. j. nielen na cezhraničné situácie, ale aj na vnútroštátne situácie, avšak subdodávateľská zodpovednosť zavedená v § 5 ods. 11 Zákonníka práce sa týka len zodpovednosti za vyplatenie miezd, ak ide o priameho subdodávateľa, ktorý vysiela zamestnancov v rámci cezhraničného poskytovania služieb na územie Slovenskej republiky, ale netýka sa zodpovednosti za vyplatenie miezd, ak ide o</w:t>
      </w:r>
      <w:r w:rsidR="00F633B4">
        <w:rPr>
          <w:lang w:eastAsia="en-US"/>
        </w:rPr>
        <w:t> </w:t>
      </w:r>
      <w:r w:rsidRPr="00F633B4">
        <w:rPr>
          <w:lang w:eastAsia="en-US"/>
        </w:rPr>
        <w:t xml:space="preserve">priameho subdodávateľa, v rámci vnútroštátneho poskytovania služieb (výnimkou je právna úprava v § 58 Zákonníka práce, ktorá sa týka dočasného pridelenia – viď. § 58 ods. 10 Zákonníka práce).  V tomto ohľade Európska komisia uvádza </w:t>
      </w:r>
      <w:r w:rsidRPr="00F633B4">
        <w:rPr>
          <w:i/>
          <w:lang w:eastAsia="en-US"/>
        </w:rPr>
        <w:t>„Slovenská republika tým, že stanovila, že dodávateľ je zodpovedný len za</w:t>
      </w:r>
      <w:r w:rsidR="008B4C00" w:rsidRPr="00F633B4">
        <w:rPr>
          <w:i/>
          <w:lang w:eastAsia="en-US"/>
        </w:rPr>
        <w:t> </w:t>
      </w:r>
      <w:r w:rsidRPr="00F633B4">
        <w:rPr>
          <w:i/>
          <w:lang w:eastAsia="en-US"/>
        </w:rPr>
        <w:t>nároky vyslaných pracovníkov, zaviedla prekážku slobody poskytovať služby, ktorá je v rozpore s požiadavkou nediskriminácie uvedenou v článku 12 smernice. Komisia zastáva názor, že zavedením tejto prekážky Slovenská republika porušuje článok 12 smernice.“</w:t>
      </w:r>
      <w:r w:rsidR="00735BC8" w:rsidRPr="00F633B4">
        <w:rPr>
          <w:lang w:eastAsia="en-US"/>
        </w:rPr>
        <w:t>.</w:t>
      </w:r>
    </w:p>
    <w:p w14:paraId="18467299" w14:textId="77777777" w:rsidR="00D026A6" w:rsidRPr="00F633B4" w:rsidRDefault="00D026A6" w:rsidP="00506C20">
      <w:pPr>
        <w:autoSpaceDE w:val="0"/>
        <w:autoSpaceDN w:val="0"/>
        <w:adjustRightInd w:val="0"/>
        <w:ind w:firstLine="284"/>
        <w:jc w:val="both"/>
        <w:rPr>
          <w:lang w:eastAsia="en-US"/>
        </w:rPr>
      </w:pPr>
    </w:p>
    <w:p w14:paraId="61A70D74" w14:textId="7227078C" w:rsidR="00D026A6" w:rsidRPr="00F633B4" w:rsidRDefault="00D026A6" w:rsidP="00F633B4">
      <w:pPr>
        <w:autoSpaceDE w:val="0"/>
        <w:autoSpaceDN w:val="0"/>
        <w:adjustRightInd w:val="0"/>
        <w:ind w:firstLine="284"/>
        <w:jc w:val="both"/>
        <w:rPr>
          <w:lang w:eastAsia="en-US"/>
        </w:rPr>
      </w:pPr>
      <w:r w:rsidRPr="00F633B4">
        <w:rPr>
          <w:lang w:eastAsia="en-US"/>
        </w:rPr>
        <w:t xml:space="preserve">Nesúlad vnútroštátnych opatrení s čl. 12 smernice </w:t>
      </w:r>
      <w:r w:rsidR="00FC16E0" w:rsidRPr="00F633B4">
        <w:rPr>
          <w:lang w:eastAsia="en-US"/>
        </w:rPr>
        <w:t xml:space="preserve">2014/67/EÚ </w:t>
      </w:r>
      <w:r w:rsidRPr="00F633B4">
        <w:rPr>
          <w:lang w:eastAsia="en-US"/>
        </w:rPr>
        <w:t>sa netýka len Slovenskej republiky ale aj väčšieho počtu štátov Európskej únie. Slovenská republika, ako aj iné členské štáty Európskej únie komunikovali svoje pohľady na tento článok a jeho rozsah a predložili argumenty podľa nich </w:t>
      </w:r>
      <w:r w:rsidR="00735BC8" w:rsidRPr="00F633B4">
        <w:rPr>
          <w:lang w:eastAsia="en-US"/>
        </w:rPr>
        <w:t xml:space="preserve">o </w:t>
      </w:r>
      <w:r w:rsidRPr="00F633B4">
        <w:rPr>
          <w:lang w:eastAsia="en-US"/>
        </w:rPr>
        <w:t>správnej aplikácii smernice</w:t>
      </w:r>
      <w:r w:rsidR="00FC16E0" w:rsidRPr="00F633B4">
        <w:rPr>
          <w:lang w:eastAsia="en-US"/>
        </w:rPr>
        <w:t xml:space="preserve"> 2014/67/EÚ</w:t>
      </w:r>
      <w:r w:rsidRPr="00F633B4">
        <w:rPr>
          <w:lang w:eastAsia="en-US"/>
        </w:rPr>
        <w:t>. Európska komisia predložené argumenty v prípade Slovenskej republiky a viacerých štátov neprijala.</w:t>
      </w:r>
    </w:p>
    <w:p w14:paraId="60BC0BFB" w14:textId="77777777" w:rsidR="00D026A6" w:rsidRPr="00F633B4" w:rsidRDefault="00D026A6" w:rsidP="00506C20">
      <w:pPr>
        <w:autoSpaceDE w:val="0"/>
        <w:autoSpaceDN w:val="0"/>
        <w:adjustRightInd w:val="0"/>
        <w:ind w:firstLine="284"/>
        <w:jc w:val="both"/>
        <w:rPr>
          <w:lang w:eastAsia="en-US"/>
        </w:rPr>
      </w:pPr>
    </w:p>
    <w:p w14:paraId="29248B27" w14:textId="6E657BBC" w:rsidR="00D026A6" w:rsidRPr="00F633B4" w:rsidRDefault="00D026A6" w:rsidP="00F633B4">
      <w:pPr>
        <w:autoSpaceDE w:val="0"/>
        <w:autoSpaceDN w:val="0"/>
        <w:adjustRightInd w:val="0"/>
        <w:ind w:firstLine="284"/>
        <w:jc w:val="both"/>
        <w:rPr>
          <w:lang w:eastAsia="en-US"/>
        </w:rPr>
      </w:pPr>
      <w:r w:rsidRPr="00F633B4">
        <w:rPr>
          <w:lang w:eastAsia="en-US"/>
        </w:rPr>
        <w:t>V nadväznosti na to sa viaceré členské štáty vrátane Slovenskej republiky rozhodli požiad</w:t>
      </w:r>
      <w:r w:rsidR="00735BC8" w:rsidRPr="00F633B4">
        <w:rPr>
          <w:lang w:eastAsia="en-US"/>
        </w:rPr>
        <w:t>avke Európskej komisie vyhovieť</w:t>
      </w:r>
      <w:r w:rsidRPr="00F633B4">
        <w:rPr>
          <w:lang w:eastAsia="en-US"/>
        </w:rPr>
        <w:t xml:space="preserve"> s cieľom prevencie podania žaloby zo strany Európskej komisie na Súdny dvor Európskej únie, hoci majú pretrvávajúce výhrady k argumentácii Európskej komisie. </w:t>
      </w:r>
      <w:r w:rsidR="00942AA5" w:rsidRPr="00F633B4">
        <w:rPr>
          <w:lang w:eastAsia="en-US"/>
        </w:rPr>
        <w:t>Ako príklad možno uviesť Českú republiku a § 324a Zákonníka práce Českej republiky o osobitnej úprave ručenia za mzdy účinný od 1. januára 2024.</w:t>
      </w:r>
    </w:p>
    <w:p w14:paraId="79FB3161" w14:textId="77777777" w:rsidR="00D026A6" w:rsidRPr="00F633B4" w:rsidRDefault="00D026A6" w:rsidP="00506C20">
      <w:pPr>
        <w:autoSpaceDE w:val="0"/>
        <w:autoSpaceDN w:val="0"/>
        <w:adjustRightInd w:val="0"/>
        <w:ind w:firstLine="284"/>
        <w:jc w:val="both"/>
        <w:rPr>
          <w:lang w:eastAsia="en-US"/>
        </w:rPr>
      </w:pPr>
    </w:p>
    <w:p w14:paraId="34A24AC1" w14:textId="2F5BC28F" w:rsidR="00D026A6" w:rsidRPr="00F633B4" w:rsidRDefault="00735BC8" w:rsidP="00506C20">
      <w:pPr>
        <w:autoSpaceDE w:val="0"/>
        <w:autoSpaceDN w:val="0"/>
        <w:adjustRightInd w:val="0"/>
        <w:ind w:firstLine="284"/>
        <w:jc w:val="both"/>
        <w:rPr>
          <w:lang w:eastAsia="en-US"/>
        </w:rPr>
      </w:pPr>
      <w:r w:rsidRPr="00F633B4">
        <w:rPr>
          <w:lang w:eastAsia="en-US"/>
        </w:rPr>
        <w:t>V odseku</w:t>
      </w:r>
      <w:r w:rsidR="00D026A6" w:rsidRPr="00F633B4">
        <w:rPr>
          <w:lang w:eastAsia="en-US"/>
        </w:rPr>
        <w:t xml:space="preserve"> 1 sa ustanovuje právo zamestnanca uplatniť </w:t>
      </w:r>
      <w:r w:rsidR="00816EED" w:rsidRPr="00F633B4">
        <w:rPr>
          <w:lang w:eastAsia="en-US"/>
        </w:rPr>
        <w:t>právo n</w:t>
      </w:r>
      <w:r w:rsidR="00D026A6" w:rsidRPr="00F633B4">
        <w:rPr>
          <w:lang w:eastAsia="en-US"/>
        </w:rPr>
        <w:t xml:space="preserve">a vyplatenie mzdy, ktorá mu nebola vyplatená jeho zamestnávateľom v deň jej splatnosti, </w:t>
      </w:r>
      <w:r w:rsidR="00816EED" w:rsidRPr="00F633B4">
        <w:rPr>
          <w:lang w:eastAsia="en-US"/>
        </w:rPr>
        <w:t xml:space="preserve">aj </w:t>
      </w:r>
      <w:r w:rsidR="00D026A6" w:rsidRPr="00F633B4">
        <w:rPr>
          <w:lang w:eastAsia="en-US"/>
        </w:rPr>
        <w:t>voči dodávateľovi služby na území Slovenskej republiky, ktorého priamym subdodávateľom je jeho zamestnávateľ.</w:t>
      </w:r>
    </w:p>
    <w:p w14:paraId="511A92F9" w14:textId="77777777" w:rsidR="00D026A6" w:rsidRPr="00F633B4" w:rsidRDefault="00D026A6" w:rsidP="00506C20">
      <w:pPr>
        <w:autoSpaceDE w:val="0"/>
        <w:autoSpaceDN w:val="0"/>
        <w:adjustRightInd w:val="0"/>
        <w:ind w:firstLine="284"/>
        <w:jc w:val="both"/>
        <w:rPr>
          <w:lang w:eastAsia="en-US"/>
        </w:rPr>
      </w:pPr>
    </w:p>
    <w:p w14:paraId="03853187" w14:textId="5EAA700B" w:rsidR="00D026A6" w:rsidRPr="00F633B4" w:rsidRDefault="00D026A6" w:rsidP="00506C20">
      <w:pPr>
        <w:autoSpaceDE w:val="0"/>
        <w:autoSpaceDN w:val="0"/>
        <w:adjustRightInd w:val="0"/>
        <w:ind w:firstLine="284"/>
        <w:jc w:val="both"/>
        <w:rPr>
          <w:i/>
        </w:rPr>
      </w:pPr>
      <w:r w:rsidRPr="00F633B4">
        <w:rPr>
          <w:lang w:eastAsia="en-US"/>
        </w:rPr>
        <w:t>Navrhované</w:t>
      </w:r>
      <w:r w:rsidRPr="00F633B4">
        <w:t xml:space="preserve"> znenie vychádza z doterajšieho znenia § 5 ods. </w:t>
      </w:r>
      <w:r w:rsidR="009078D4" w:rsidRPr="00F633B4">
        <w:t>11</w:t>
      </w:r>
      <w:r w:rsidRPr="00F633B4">
        <w:t xml:space="preserve">, podľa ktorého </w:t>
      </w:r>
      <w:r w:rsidRPr="00F633B4">
        <w:rPr>
          <w:i/>
        </w:rPr>
        <w:t xml:space="preserve">„Hosťujúci zamestnanec, ktorému hosťujúci zamestnávateľ pri vyslaní podľa odseku 6 písm. a) alebo písm. b) neposkytol splatnú mzdu podľa odseku 2 písm. c) alebo odseku 3 alebo jej časť, má právo domáhať sa ich vyplatenia u fyzickej osoby alebo právnickej osoby, ktorá je dodávateľom služby na území Slovenskej republiky (ďalej len „dodávateľ služby“), ktorej priamym subdodávateľom je hosťujúci zamestnávateľ.“. </w:t>
      </w:r>
    </w:p>
    <w:p w14:paraId="27C9BE11" w14:textId="77777777" w:rsidR="00D026A6" w:rsidRPr="00F633B4" w:rsidRDefault="00D026A6" w:rsidP="00F03FB2">
      <w:pPr>
        <w:autoSpaceDE w:val="0"/>
        <w:autoSpaceDN w:val="0"/>
        <w:adjustRightInd w:val="0"/>
        <w:ind w:firstLine="284"/>
        <w:jc w:val="both"/>
        <w:rPr>
          <w:lang w:eastAsia="en-US"/>
        </w:rPr>
      </w:pPr>
    </w:p>
    <w:p w14:paraId="018D6A98" w14:textId="23344276" w:rsidR="00D026A6" w:rsidRPr="00F633B4" w:rsidRDefault="00D026A6" w:rsidP="00F03FB2">
      <w:pPr>
        <w:autoSpaceDE w:val="0"/>
        <w:autoSpaceDN w:val="0"/>
        <w:adjustRightInd w:val="0"/>
        <w:ind w:firstLine="284"/>
        <w:jc w:val="both"/>
        <w:rPr>
          <w:lang w:eastAsia="en-US"/>
        </w:rPr>
      </w:pPr>
      <w:r w:rsidRPr="00F633B4">
        <w:rPr>
          <w:lang w:eastAsia="en-US"/>
        </w:rPr>
        <w:lastRenderedPageBreak/>
        <w:t>Na rozdiel od doteraz účinného znenia sa navrhuje vo väzbe na požiadavku Európskej komisie rozšírenie pôsobnosti tohto ustanovenia nielen na zamestnávateľov, ktorí zamestnancov vysielajú na územie Slovenskej republiky podľa § 5 ods. 6 písm. a) a b)</w:t>
      </w:r>
      <w:r w:rsidR="00735BC8" w:rsidRPr="00F633B4">
        <w:rPr>
          <w:lang w:eastAsia="en-US"/>
        </w:rPr>
        <w:t xml:space="preserve"> Zákonníka práce,</w:t>
      </w:r>
      <w:r w:rsidRPr="00F633B4">
        <w:rPr>
          <w:lang w:eastAsia="en-US"/>
        </w:rPr>
        <w:t xml:space="preserve"> ale aj na vnútroštátne situácie.</w:t>
      </w:r>
    </w:p>
    <w:p w14:paraId="293F0995" w14:textId="77777777" w:rsidR="00D026A6" w:rsidRPr="00F633B4" w:rsidRDefault="00D026A6" w:rsidP="00F03FB2">
      <w:pPr>
        <w:autoSpaceDE w:val="0"/>
        <w:autoSpaceDN w:val="0"/>
        <w:adjustRightInd w:val="0"/>
        <w:ind w:firstLine="284"/>
        <w:jc w:val="both"/>
        <w:rPr>
          <w:lang w:eastAsia="en-US"/>
        </w:rPr>
      </w:pPr>
    </w:p>
    <w:p w14:paraId="725F7417" w14:textId="06DE77C7" w:rsidR="00D026A6" w:rsidRPr="00F633B4" w:rsidRDefault="00D026A6" w:rsidP="00F03FB2">
      <w:pPr>
        <w:autoSpaceDE w:val="0"/>
        <w:autoSpaceDN w:val="0"/>
        <w:adjustRightInd w:val="0"/>
        <w:ind w:firstLine="284"/>
        <w:jc w:val="both"/>
        <w:rPr>
          <w:lang w:eastAsia="en-US"/>
        </w:rPr>
      </w:pPr>
      <w:r w:rsidRPr="00F633B4">
        <w:rPr>
          <w:lang w:eastAsia="en-US"/>
        </w:rPr>
        <w:t xml:space="preserve">Vzhľadom na to, že smernica 2014/67/EÚ v čl. 12 ods. 2 vyžaduje povinné zavedenie tohto druhu zodpovednosti len na stavebné práce v zmysle prílohy smernice 96/71/ES o vysielaní pracovníkov v rámci poskytovania služieb, navrhuje sa uplatňovanie </w:t>
      </w:r>
      <w:r w:rsidR="00816EED" w:rsidRPr="00F633B4">
        <w:rPr>
          <w:lang w:eastAsia="en-US"/>
        </w:rPr>
        <w:t xml:space="preserve">tohto práva </w:t>
      </w:r>
      <w:r w:rsidRPr="00F633B4">
        <w:rPr>
          <w:lang w:eastAsia="en-US"/>
        </w:rPr>
        <w:t xml:space="preserve">len </w:t>
      </w:r>
      <w:r w:rsidR="00816EED" w:rsidRPr="00F633B4">
        <w:rPr>
          <w:lang w:eastAsia="en-US"/>
        </w:rPr>
        <w:t xml:space="preserve">pokiaľ ide o </w:t>
      </w:r>
      <w:r w:rsidRPr="00F633B4">
        <w:rPr>
          <w:lang w:eastAsia="en-US"/>
        </w:rPr>
        <w:t>stavebné práce podľa prílohy č. 1aa (</w:t>
      </w:r>
      <w:r w:rsidR="00C60D7F" w:rsidRPr="00F633B4">
        <w:rPr>
          <w:lang w:eastAsia="en-US"/>
        </w:rPr>
        <w:t xml:space="preserve">pozn. </w:t>
      </w:r>
      <w:r w:rsidRPr="00F633B4">
        <w:rPr>
          <w:lang w:eastAsia="en-US"/>
        </w:rPr>
        <w:t>práce vymedzuje doterajšie znenie § 5 ods. 9</w:t>
      </w:r>
      <w:r w:rsidR="00735BC8" w:rsidRPr="00F633B4">
        <w:rPr>
          <w:lang w:eastAsia="en-US"/>
        </w:rPr>
        <w:t xml:space="preserve"> Zákonníka práce</w:t>
      </w:r>
      <w:r w:rsidRPr="00F633B4">
        <w:rPr>
          <w:lang w:eastAsia="en-US"/>
        </w:rPr>
        <w:t xml:space="preserve">). Nejde </w:t>
      </w:r>
      <w:r w:rsidR="00816EED" w:rsidRPr="00F633B4">
        <w:rPr>
          <w:lang w:eastAsia="en-US"/>
        </w:rPr>
        <w:t>teda o právo n</w:t>
      </w:r>
      <w:r w:rsidRPr="00F633B4">
        <w:rPr>
          <w:lang w:eastAsia="en-US"/>
        </w:rPr>
        <w:t xml:space="preserve">a vyplatenie akejkoľvek nevyplatenej mzdy </w:t>
      </w:r>
      <w:r w:rsidR="00816EED" w:rsidRPr="00F633B4">
        <w:rPr>
          <w:lang w:eastAsia="en-US"/>
        </w:rPr>
        <w:t xml:space="preserve">dodávateľom </w:t>
      </w:r>
      <w:r w:rsidRPr="00F633B4">
        <w:rPr>
          <w:lang w:eastAsia="en-US"/>
        </w:rPr>
        <w:t>za priameho subdodávateľa</w:t>
      </w:r>
      <w:r w:rsidR="00816EED" w:rsidRPr="00F633B4">
        <w:rPr>
          <w:lang w:eastAsia="en-US"/>
        </w:rPr>
        <w:t xml:space="preserve"> (zamestnávateľa)</w:t>
      </w:r>
      <w:r w:rsidR="00735BC8" w:rsidRPr="00F633B4">
        <w:rPr>
          <w:lang w:eastAsia="en-US"/>
        </w:rPr>
        <w:t>,</w:t>
      </w:r>
      <w:r w:rsidRPr="00F633B4">
        <w:rPr>
          <w:lang w:eastAsia="en-US"/>
        </w:rPr>
        <w:t xml:space="preserve"> ale nevyplatená mzda je rámcovaná prácami vykonávanými v rámci zmluvného vzťahu medzi dodáva</w:t>
      </w:r>
      <w:r w:rsidR="00F03FB2">
        <w:rPr>
          <w:lang w:eastAsia="en-US"/>
        </w:rPr>
        <w:t>teľom a priamym subdodávateľom.</w:t>
      </w:r>
    </w:p>
    <w:p w14:paraId="52F58F54" w14:textId="77777777" w:rsidR="00D026A6" w:rsidRPr="00F633B4" w:rsidRDefault="00D026A6" w:rsidP="00F03FB2">
      <w:pPr>
        <w:autoSpaceDE w:val="0"/>
        <w:autoSpaceDN w:val="0"/>
        <w:adjustRightInd w:val="0"/>
        <w:ind w:firstLine="284"/>
        <w:jc w:val="both"/>
        <w:rPr>
          <w:lang w:eastAsia="en-US"/>
        </w:rPr>
      </w:pPr>
    </w:p>
    <w:p w14:paraId="31885A37" w14:textId="2E5C344C" w:rsidR="00D026A6" w:rsidRPr="00F633B4" w:rsidRDefault="00816EED" w:rsidP="00F03FB2">
      <w:pPr>
        <w:autoSpaceDE w:val="0"/>
        <w:autoSpaceDN w:val="0"/>
        <w:adjustRightInd w:val="0"/>
        <w:ind w:firstLine="284"/>
        <w:jc w:val="both"/>
        <w:rPr>
          <w:lang w:eastAsia="en-US"/>
        </w:rPr>
      </w:pPr>
      <w:r w:rsidRPr="00F633B4">
        <w:rPr>
          <w:lang w:eastAsia="en-US"/>
        </w:rPr>
        <w:t>Právo na vyplatenie mzdy</w:t>
      </w:r>
      <w:r w:rsidR="00735BC8" w:rsidRPr="00F633B4">
        <w:rPr>
          <w:lang w:eastAsia="en-US"/>
        </w:rPr>
        <w:t xml:space="preserve"> je</w:t>
      </w:r>
      <w:r w:rsidR="00D026A6" w:rsidRPr="00F633B4">
        <w:rPr>
          <w:lang w:eastAsia="en-US"/>
        </w:rPr>
        <w:t xml:space="preserve"> rovnako ako v súčasnom znení § 5 ods. 1</w:t>
      </w:r>
      <w:r w:rsidR="008B4C00" w:rsidRPr="00F633B4">
        <w:rPr>
          <w:lang w:eastAsia="en-US"/>
        </w:rPr>
        <w:t>1</w:t>
      </w:r>
      <w:r w:rsidR="00735BC8" w:rsidRPr="00F633B4">
        <w:rPr>
          <w:lang w:eastAsia="en-US"/>
        </w:rPr>
        <w:t xml:space="preserve"> Zákonníka práce</w:t>
      </w:r>
      <w:r w:rsidR="00D026A6" w:rsidRPr="00F633B4">
        <w:rPr>
          <w:lang w:eastAsia="en-US"/>
        </w:rPr>
        <w:t xml:space="preserve"> obmedzen</w:t>
      </w:r>
      <w:r w:rsidRPr="00F633B4">
        <w:rPr>
          <w:lang w:eastAsia="en-US"/>
        </w:rPr>
        <w:t>é</w:t>
      </w:r>
      <w:r w:rsidR="00D026A6" w:rsidRPr="00F633B4">
        <w:rPr>
          <w:lang w:eastAsia="en-US"/>
        </w:rPr>
        <w:t xml:space="preserve"> len na vzťah dodávateľa služby a priameho subdodávateľa služby</w:t>
      </w:r>
      <w:r w:rsidR="00735BC8" w:rsidRPr="00F633B4">
        <w:rPr>
          <w:lang w:eastAsia="en-US"/>
        </w:rPr>
        <w:t>,</w:t>
      </w:r>
      <w:r w:rsidR="00D026A6" w:rsidRPr="00F633B4">
        <w:rPr>
          <w:lang w:eastAsia="en-US"/>
        </w:rPr>
        <w:t xml:space="preserve"> a teda dodávateľ služby nezodpovedá</w:t>
      </w:r>
      <w:r w:rsidRPr="00F633B4">
        <w:rPr>
          <w:lang w:eastAsia="en-US"/>
        </w:rPr>
        <w:t xml:space="preserve"> za nevyplatenú mzdu</w:t>
      </w:r>
      <w:r w:rsidR="00D026A6" w:rsidRPr="00F633B4">
        <w:rPr>
          <w:lang w:eastAsia="en-US"/>
        </w:rPr>
        <w:t xml:space="preserve"> za celú reťaz subdodávateľov, rovnako ako priamy subdodávateľ nezodpovedá za jeho subdodávateľov.</w:t>
      </w:r>
    </w:p>
    <w:p w14:paraId="103FC3A1" w14:textId="738F7525" w:rsidR="00816EED" w:rsidRPr="00F633B4" w:rsidRDefault="00816EED" w:rsidP="00F03FB2">
      <w:pPr>
        <w:autoSpaceDE w:val="0"/>
        <w:autoSpaceDN w:val="0"/>
        <w:adjustRightInd w:val="0"/>
        <w:ind w:firstLine="284"/>
        <w:jc w:val="both"/>
        <w:rPr>
          <w:lang w:eastAsia="en-US"/>
        </w:rPr>
      </w:pPr>
    </w:p>
    <w:p w14:paraId="58D78189" w14:textId="02533F4B" w:rsidR="001D7A67" w:rsidRPr="00F633B4" w:rsidRDefault="00816EED" w:rsidP="00F03FB2">
      <w:pPr>
        <w:autoSpaceDE w:val="0"/>
        <w:autoSpaceDN w:val="0"/>
        <w:adjustRightInd w:val="0"/>
        <w:ind w:firstLine="284"/>
        <w:jc w:val="both"/>
        <w:rPr>
          <w:lang w:eastAsia="en-US"/>
        </w:rPr>
      </w:pPr>
      <w:r w:rsidRPr="00F633B4">
        <w:rPr>
          <w:lang w:eastAsia="en-US"/>
        </w:rPr>
        <w:t xml:space="preserve">Z dôvodu právnej istoty, keďže </w:t>
      </w:r>
      <w:r w:rsidR="001D7A67" w:rsidRPr="00F633B4">
        <w:rPr>
          <w:lang w:eastAsia="en-US"/>
        </w:rPr>
        <w:t>mzda sa uplatňuje u iného subjektu</w:t>
      </w:r>
      <w:r w:rsidRPr="00F633B4">
        <w:rPr>
          <w:lang w:eastAsia="en-US"/>
        </w:rPr>
        <w:t xml:space="preserve"> ako je zamestnávateľ, navrhuje sa ustanoviť prekluzívnu lehotu 6 mesiacov na uplatnenie práva.</w:t>
      </w:r>
    </w:p>
    <w:p w14:paraId="4EAFDAB1" w14:textId="258C7087" w:rsidR="001D7A67" w:rsidRPr="00F633B4" w:rsidRDefault="001D7A67" w:rsidP="00F03FB2">
      <w:pPr>
        <w:autoSpaceDE w:val="0"/>
        <w:autoSpaceDN w:val="0"/>
        <w:adjustRightInd w:val="0"/>
        <w:ind w:firstLine="284"/>
        <w:jc w:val="both"/>
        <w:rPr>
          <w:lang w:eastAsia="en-US"/>
        </w:rPr>
      </w:pPr>
    </w:p>
    <w:p w14:paraId="68E065F9" w14:textId="3A9640A2" w:rsidR="00D026A6" w:rsidRPr="00F633B4" w:rsidRDefault="001D7A67" w:rsidP="00F03FB2">
      <w:pPr>
        <w:autoSpaceDE w:val="0"/>
        <w:autoSpaceDN w:val="0"/>
        <w:adjustRightInd w:val="0"/>
        <w:ind w:firstLine="284"/>
        <w:jc w:val="both"/>
      </w:pPr>
      <w:r w:rsidRPr="00F633B4">
        <w:rPr>
          <w:lang w:eastAsia="en-US"/>
        </w:rPr>
        <w:t>V odseku 2 sa spres</w:t>
      </w:r>
      <w:r w:rsidRPr="00F633B4">
        <w:t xml:space="preserve">ňuje rozsah, do ktoré právo na vyplatenie mzdy od iného subjektu patrí. Tento </w:t>
      </w:r>
      <w:r w:rsidR="00D026A6" w:rsidRPr="00F633B4">
        <w:t>je v zmysle čl. 12 ods. 1 smernice 2014/67/EÚ obmedzený len do rozsahu minimálnej mzdy</w:t>
      </w:r>
      <w:r w:rsidRPr="00F633B4">
        <w:t xml:space="preserve">, pričom ak zamestnávateľ vyplatí časť mzdy, rozsah sa znižuje o vyplatenú mzdu. </w:t>
      </w:r>
      <w:r w:rsidR="00D026A6" w:rsidRPr="00F633B4">
        <w:t>Ako referenčná jednotka sa navrhuje hodinová minimálna mzda, vzhľadom na rozdiely v rozsahu práce (z hľadiska času), ktorý sa v jednotlivých mesiacoch vykonáva</w:t>
      </w:r>
      <w:r w:rsidR="00735BC8" w:rsidRPr="00F633B4">
        <w:t>,</w:t>
      </w:r>
      <w:r w:rsidR="00D026A6" w:rsidRPr="00F633B4">
        <w:t xml:space="preserve"> a to nielen na nerovnomerné rozvrhnutie pracovného času ale aj na rozdielny počet pracovných dní v mesiaci s rozdielnym fondom pracovného času, pričom však suma mesačnej minimálnej mzdy je pevná.</w:t>
      </w:r>
      <w:r w:rsidR="00F03FB2">
        <w:t xml:space="preserve"> </w:t>
      </w:r>
      <w:r w:rsidR="00D026A6" w:rsidRPr="00F633B4">
        <w:t>Ak teda zamestnanec v rámci príslušného mesiaca vykonáva stavebné práce v medziach vzťahu dodávateľa služby a priameho subdodávateľa napr. 100 hodín,</w:t>
      </w:r>
      <w:r w:rsidRPr="00F633B4">
        <w:t xml:space="preserve"> je </w:t>
      </w:r>
      <w:r w:rsidR="00D026A6" w:rsidRPr="00F633B4">
        <w:t>v príslušnom mesiaci limitový sumou 4,</w:t>
      </w:r>
      <w:r w:rsidRPr="00F633B4">
        <w:t>31</w:t>
      </w:r>
      <w:r w:rsidR="00D026A6" w:rsidRPr="00F633B4">
        <w:t xml:space="preserve"> x 100 hodín </w:t>
      </w:r>
      <w:r w:rsidRPr="00F633B4">
        <w:t xml:space="preserve">(rok 2024) </w:t>
      </w:r>
      <w:r w:rsidR="00D026A6" w:rsidRPr="00F633B4">
        <w:t>bez ohľadu</w:t>
      </w:r>
      <w:r w:rsidR="00735BC8" w:rsidRPr="00F633B4">
        <w:t xml:space="preserve"> na to</w:t>
      </w:r>
      <w:r w:rsidR="00D026A6" w:rsidRPr="00F633B4">
        <w:t>, že nevyplatená mzda za tento čas (100</w:t>
      </w:r>
      <w:r w:rsidR="00F633B4">
        <w:t> </w:t>
      </w:r>
      <w:r w:rsidR="00D026A6" w:rsidRPr="00F633B4">
        <w:t>hodín) by bola 7</w:t>
      </w:r>
      <w:r w:rsidRPr="00F633B4">
        <w:t>50</w:t>
      </w:r>
      <w:r w:rsidR="00D026A6" w:rsidRPr="00F633B4">
        <w:t xml:space="preserve"> eur</w:t>
      </w:r>
      <w:r w:rsidRPr="00F633B4">
        <w:t xml:space="preserve"> (mesačná minimálna mzda v roku 2024)</w:t>
      </w:r>
      <w:r w:rsidR="00C60D7F" w:rsidRPr="00F633B4">
        <w:t xml:space="preserve">. Zároveň však platí, že dodávateľ nie je povinný uhradiť zamestnancovi vyššiu mzdu, akoby mu patrila podľa pracovnej zmluvy. Navrhované ustanovenie sa týka len rozsahu, do ktorého by zamestnanec mohol uplatniť nevyplatenú mzdu, nejde o ustanovenie, ktoré zamestnancovi priznáva inú mzdu.  </w:t>
      </w:r>
      <w:r w:rsidR="00D026A6" w:rsidRPr="00F633B4">
        <w:t>Ak ide o ďalšie práce, ktoré zamestnanec vykonáva pre svojho zamestnávateľa, ktoré vykonáva v rámci iných činností (napr. nejde o stavebné práce</w:t>
      </w:r>
      <w:r w:rsidRPr="00F633B4">
        <w:t xml:space="preserve"> podľa prílohy</w:t>
      </w:r>
      <w:r w:rsidR="00D026A6" w:rsidRPr="00F633B4">
        <w:t xml:space="preserve">) alebo v rámci iného zmluvného vzťahu medzi jeho zamestnávateľom a iným príjemcom služby (napr. dodávateľ č. 2), nevyplatenú mzdu </w:t>
      </w:r>
      <w:r w:rsidRPr="00F633B4">
        <w:t>voči dodávateľ</w:t>
      </w:r>
      <w:r w:rsidR="00796C34" w:rsidRPr="00F633B4">
        <w:t>ovi</w:t>
      </w:r>
      <w:r w:rsidRPr="00F633B4">
        <w:t xml:space="preserve"> č. 1 si zamestnanec nemôže uplatniť.</w:t>
      </w:r>
    </w:p>
    <w:p w14:paraId="03B4E1BE" w14:textId="77777777" w:rsidR="00D026A6" w:rsidRPr="00F633B4" w:rsidRDefault="00D026A6" w:rsidP="00F03FB2">
      <w:pPr>
        <w:autoSpaceDE w:val="0"/>
        <w:autoSpaceDN w:val="0"/>
        <w:adjustRightInd w:val="0"/>
        <w:ind w:firstLine="284"/>
        <w:jc w:val="both"/>
      </w:pPr>
    </w:p>
    <w:p w14:paraId="75002710" w14:textId="28F12EA8" w:rsidR="00C60D7F" w:rsidRPr="00F633B4" w:rsidRDefault="00D026A6" w:rsidP="00F03FB2">
      <w:pPr>
        <w:autoSpaceDE w:val="0"/>
        <w:autoSpaceDN w:val="0"/>
        <w:adjustRightInd w:val="0"/>
        <w:ind w:firstLine="284"/>
        <w:jc w:val="both"/>
      </w:pPr>
      <w:r w:rsidRPr="00F633B4">
        <w:t>Ods</w:t>
      </w:r>
      <w:r w:rsidR="005325AC" w:rsidRPr="00F633B4">
        <w:t>eky</w:t>
      </w:r>
      <w:r w:rsidR="001D7A67" w:rsidRPr="00F633B4">
        <w:t xml:space="preserve"> 4 až </w:t>
      </w:r>
      <w:r w:rsidR="003A0790" w:rsidRPr="00F633B4">
        <w:t>5</w:t>
      </w:r>
      <w:r w:rsidRPr="00F633B4">
        <w:t xml:space="preserve"> nadväzujú na doterajšie znenie § 5 ods. 11 a 12 o súčinnosti medzi dodávateľom služby a zamestnávateľom na účely splnenia si povinností, ktoré v takomto prípade vznikajú, rovnako aj na ochranu svojich práv (napr. možnosť posúdenia dôvodnosti požia</w:t>
      </w:r>
      <w:r w:rsidR="00452646" w:rsidRPr="00F633B4">
        <w:t>davky, prípadne jej spochybnenie</w:t>
      </w:r>
      <w:r w:rsidRPr="00F633B4">
        <w:t>, určenie zrážok, apod.)</w:t>
      </w:r>
      <w:r w:rsidR="001D7A67" w:rsidRPr="00F633B4">
        <w:t>. Odsek 3 ustanovuje základné náležitosti žiadosti zamestnanca, aby sa uľahčila situácia dodávateľa z hľadiska posúdenia práva zamestnanca, t. j. identifikácie napr. kto je jeho zamestnávateľ, akú sumu žiada, prepojenie na prácu dodávateľa (napr. aké práce vykonával a v akom rozsahu). Na základe údajov zo žiadosti a ďalších informácií získaný</w:t>
      </w:r>
      <w:r w:rsidR="00452646" w:rsidRPr="00F633B4">
        <w:t>ch</w:t>
      </w:r>
      <w:r w:rsidR="001D7A67" w:rsidRPr="00F633B4">
        <w:t xml:space="preserve"> súčinnosťou, dodávateľ služby by mal </w:t>
      </w:r>
      <w:r w:rsidR="00452646" w:rsidRPr="00F633B4">
        <w:t xml:space="preserve">vedieť </w:t>
      </w:r>
      <w:r w:rsidR="001D7A67" w:rsidRPr="00F633B4">
        <w:t>posúdiť splnenie podmienok na vyplatenie mzdy a je povi</w:t>
      </w:r>
      <w:r w:rsidR="00452646" w:rsidRPr="00F633B4">
        <w:t xml:space="preserve">nný vyplatiť zamestnancovi mzdu, </w:t>
      </w:r>
      <w:r w:rsidR="001D7A67" w:rsidRPr="00F633B4">
        <w:lastRenderedPageBreak/>
        <w:t>a to do 30 dní od uplatnenia práva</w:t>
      </w:r>
      <w:r w:rsidR="00C60D7F" w:rsidRPr="00F633B4">
        <w:t xml:space="preserve">. Predĺženie z 15 dní na 30 dní sa navrhuje z dôvodu, že môže ísť o komplexnejšie situácie, kde sa vyžaduje súčinnosť, a teda nie v každom prípade je možné plniť v takom čase, </w:t>
      </w:r>
      <w:r w:rsidR="00796C34" w:rsidRPr="00F633B4">
        <w:t xml:space="preserve">v </w:t>
      </w:r>
      <w:r w:rsidR="00C60D7F" w:rsidRPr="00F633B4">
        <w:t>akom plní zamestnávateľ svojmu zamestnancovi – napr. výplatný termín 10., či 15. deň v nasledujúcom kalendárnom mesiaci</w:t>
      </w:r>
      <w:r w:rsidR="001D7A67" w:rsidRPr="00F633B4">
        <w:t>.</w:t>
      </w:r>
    </w:p>
    <w:p w14:paraId="5057B254" w14:textId="77777777" w:rsidR="00C60D7F" w:rsidRPr="00F633B4" w:rsidRDefault="00C60D7F" w:rsidP="00F03FB2">
      <w:pPr>
        <w:autoSpaceDE w:val="0"/>
        <w:autoSpaceDN w:val="0"/>
        <w:adjustRightInd w:val="0"/>
        <w:ind w:firstLine="284"/>
        <w:jc w:val="both"/>
      </w:pPr>
    </w:p>
    <w:p w14:paraId="1F4FD586" w14:textId="7DD0DA68" w:rsidR="00D026A6" w:rsidRPr="00F633B4" w:rsidRDefault="001D7A67" w:rsidP="00F03FB2">
      <w:pPr>
        <w:autoSpaceDE w:val="0"/>
        <w:autoSpaceDN w:val="0"/>
        <w:adjustRightInd w:val="0"/>
        <w:ind w:firstLine="284"/>
        <w:jc w:val="both"/>
      </w:pPr>
      <w:r w:rsidRPr="00F633B4">
        <w:t>Dodávateľ služby nemá povinnosť vykonať a odviesť zrážky zo mzdy</w:t>
      </w:r>
      <w:r w:rsidR="003A0790" w:rsidRPr="00F633B4">
        <w:t xml:space="preserve"> a </w:t>
      </w:r>
      <w:r w:rsidR="00452646" w:rsidRPr="00F633B4">
        <w:t xml:space="preserve">čistú mzdu vypočíta v kontexte zrážok, ktoré by </w:t>
      </w:r>
      <w:r w:rsidR="003A0790" w:rsidRPr="00F633B4">
        <w:t xml:space="preserve">inak </w:t>
      </w:r>
      <w:r w:rsidR="00452646" w:rsidRPr="00F633B4">
        <w:t xml:space="preserve">vykonal zamestnávateľ. V odseku 4 sa dopĺňa aj prezumpcia, že dodávateľ vykoná </w:t>
      </w:r>
      <w:r w:rsidR="003A0790" w:rsidRPr="00F633B4">
        <w:t xml:space="preserve">len </w:t>
      </w:r>
      <w:r w:rsidR="00452646" w:rsidRPr="00F633B4">
        <w:t>prednostné zrážky podľa § 131 ods. 1, ak zo žiadosti zamestnanca alebo súčinnosti zamestnávateľa nevyplýva väčší rozsah zrážok.</w:t>
      </w:r>
    </w:p>
    <w:p w14:paraId="0C802689" w14:textId="560413A8" w:rsidR="001D7A67" w:rsidRPr="00F633B4" w:rsidRDefault="001D7A67" w:rsidP="00F03FB2">
      <w:pPr>
        <w:autoSpaceDE w:val="0"/>
        <w:autoSpaceDN w:val="0"/>
        <w:adjustRightInd w:val="0"/>
        <w:ind w:firstLine="284"/>
        <w:jc w:val="both"/>
      </w:pPr>
    </w:p>
    <w:p w14:paraId="75730A6A" w14:textId="0AECF60C" w:rsidR="001D7A67" w:rsidRPr="00F633B4" w:rsidRDefault="003A0790" w:rsidP="00F03FB2">
      <w:pPr>
        <w:autoSpaceDE w:val="0"/>
        <w:autoSpaceDN w:val="0"/>
        <w:adjustRightInd w:val="0"/>
        <w:ind w:firstLine="284"/>
        <w:jc w:val="both"/>
      </w:pPr>
      <w:r w:rsidRPr="00F633B4">
        <w:t>V odseku 6 sa navrhuje upraviť aj informačná povinnosť dodávateľa voči zamestnancovi (o</w:t>
      </w:r>
      <w:r w:rsidR="00F633B4">
        <w:t> </w:t>
      </w:r>
      <w:r w:rsidRPr="00F633B4">
        <w:t>vyplatí mzdy alebo nevyplatení mzdy – v druhom prípade so zdôvodnením) a voči subdodávateľovi (o tom, že si zamestnanec uplatnil právo, o vyplatení alebo nevyplatení mzdy – v druhom prípade so zdôvodnením)</w:t>
      </w:r>
      <w:r w:rsidR="005D6CDC" w:rsidRPr="00F633B4">
        <w:t>, aby subdodávateľ vôbec vedel, že jeho zamestnanec uplatnil takéto právo</w:t>
      </w:r>
      <w:r w:rsidR="00C60D7F" w:rsidRPr="00F633B4">
        <w:t xml:space="preserve"> (a mohol prípadne namietať niektoré skutočnosti)</w:t>
      </w:r>
      <w:r w:rsidR="005D6CDC" w:rsidRPr="00F633B4">
        <w:t>.</w:t>
      </w:r>
    </w:p>
    <w:p w14:paraId="54BF457A" w14:textId="02B05035" w:rsidR="00D026A6" w:rsidRPr="00F633B4" w:rsidRDefault="00D026A6" w:rsidP="00F03FB2">
      <w:pPr>
        <w:autoSpaceDE w:val="0"/>
        <w:autoSpaceDN w:val="0"/>
        <w:adjustRightInd w:val="0"/>
        <w:ind w:firstLine="284"/>
        <w:jc w:val="both"/>
      </w:pPr>
    </w:p>
    <w:p w14:paraId="16F7FF85" w14:textId="24D0FEA2" w:rsidR="00C60D7F" w:rsidRPr="00F633B4" w:rsidRDefault="005325AC" w:rsidP="00F03FB2">
      <w:pPr>
        <w:autoSpaceDE w:val="0"/>
        <w:autoSpaceDN w:val="0"/>
        <w:adjustRightInd w:val="0"/>
        <w:ind w:firstLine="284"/>
        <w:jc w:val="both"/>
      </w:pPr>
      <w:r w:rsidRPr="00F633B4">
        <w:t>Odsek</w:t>
      </w:r>
      <w:r w:rsidR="00D026A6" w:rsidRPr="00F633B4">
        <w:t xml:space="preserve"> </w:t>
      </w:r>
      <w:r w:rsidR="00C60D7F" w:rsidRPr="00F633B4">
        <w:t>7</w:t>
      </w:r>
      <w:r w:rsidR="00D026A6" w:rsidRPr="00F633B4">
        <w:t xml:space="preserve"> sa navrhuje vo väzbe na čl. 12 ods. 5 smernice 2014/67/EÚ, podľa ktorého </w:t>
      </w:r>
      <w:r w:rsidR="00D026A6" w:rsidRPr="00F633B4">
        <w:rPr>
          <w:i/>
        </w:rPr>
        <w:t>„Členské štáty môžu v prípadoch uvedených v odsekoch 1, 2 a 4 stanoviť, že dodávateľ, ktorý splní povinnosť vynaložiť náležitú starostlivosť vymedzenú vo vnútroštátnom práve, nie je zodpovedný.“.</w:t>
      </w:r>
      <w:r w:rsidR="00D026A6" w:rsidRPr="00F633B4">
        <w:t xml:space="preserve"> Prípady, kedy dodávateľ služby </w:t>
      </w:r>
      <w:r w:rsidR="005D6CDC" w:rsidRPr="00F633B4">
        <w:t>môže odoprieť</w:t>
      </w:r>
      <w:r w:rsidR="00D026A6" w:rsidRPr="00F633B4">
        <w:t xml:space="preserve"> vyplatenie mzdy</w:t>
      </w:r>
      <w:r w:rsidRPr="00F633B4">
        <w:t>,</w:t>
      </w:r>
      <w:r w:rsidR="00D026A6" w:rsidRPr="00F633B4">
        <w:t xml:space="preserve"> sa navrhuje viazať na skutočnosť, že pri výbere priameho subdodávateľa postupoval s náležitosťou starostlivosťou, t.</w:t>
      </w:r>
      <w:r w:rsidR="005D6CDC" w:rsidRPr="00F633B4">
        <w:t xml:space="preserve"> </w:t>
      </w:r>
      <w:r w:rsidR="00D026A6" w:rsidRPr="00F633B4">
        <w:t>j. preukázanie, že vyvinul úsilie, aby si vybral zmluvného partnera, u ktorého nie je predpoklad, že mzdy zamestnancom nevyplatí (napr. preveril si podlžnosti voči štátu, či</w:t>
      </w:r>
      <w:r w:rsidR="003303DA">
        <w:t> </w:t>
      </w:r>
      <w:r w:rsidR="00D026A6" w:rsidRPr="00F633B4">
        <w:t>nejde o schránkovú spoločnosť, apod. a teda, že nejde o spoločnosť, u ktorej možno predvídať nevyplatenie mzdy)</w:t>
      </w:r>
      <w:r w:rsidR="005D6CDC" w:rsidRPr="00F633B4">
        <w:t xml:space="preserve">. Naplnenie </w:t>
      </w:r>
      <w:r w:rsidR="00640E68" w:rsidRPr="00F633B4">
        <w:t xml:space="preserve">niektorého z písmen </w:t>
      </w:r>
      <w:r w:rsidR="005D6CDC" w:rsidRPr="00F633B4">
        <w:t>a) až g) automaticky neznamená, že nebola vy</w:t>
      </w:r>
      <w:r w:rsidR="00640E68" w:rsidRPr="00F633B4">
        <w:t xml:space="preserve">naložená náležitá starostlivosť, </w:t>
      </w:r>
      <w:r w:rsidR="005D6CDC" w:rsidRPr="00F633B4">
        <w:t>ale prípad sa musí posúdiť ako celok (napr. nedoplatok na poistení 50 eur u spoločnosti, ktorá funguje 20 rokov môže indikovať aj určitý omyl, ktorý je možné vysvetliť</w:t>
      </w:r>
      <w:r w:rsidR="00640E68" w:rsidRPr="00F633B4">
        <w:t>, jednora</w:t>
      </w:r>
      <w:r w:rsidR="005D6CDC" w:rsidRPr="00F633B4">
        <w:t>zové zlyhanie pri nelegálnom zamestnávaní – napr. zlyhanie zamestnanca pri prihlasovaní zamestnancov</w:t>
      </w:r>
      <w:r w:rsidR="00C60D7F" w:rsidRPr="00F633B4">
        <w:t xml:space="preserve"> na sociálne poistenie</w:t>
      </w:r>
      <w:r w:rsidR="00640E68" w:rsidRPr="00F633B4">
        <w:t>,</w:t>
      </w:r>
      <w:r w:rsidR="005D6CDC" w:rsidRPr="00F633B4">
        <w:t xml:space="preserve"> automaticky nie je indikátorom možného nevyplatenie mzdy</w:t>
      </w:r>
      <w:r w:rsidR="00C60D7F" w:rsidRPr="00F633B4">
        <w:t xml:space="preserve"> zamestnancom</w:t>
      </w:r>
      <w:r w:rsidR="005D6CDC" w:rsidRPr="00F633B4">
        <w:t>).</w:t>
      </w:r>
    </w:p>
    <w:p w14:paraId="6033B2C8" w14:textId="77777777" w:rsidR="00C60D7F" w:rsidRPr="00F633B4" w:rsidRDefault="00C60D7F" w:rsidP="00F03FB2">
      <w:pPr>
        <w:autoSpaceDE w:val="0"/>
        <w:autoSpaceDN w:val="0"/>
        <w:adjustRightInd w:val="0"/>
        <w:ind w:firstLine="284"/>
        <w:jc w:val="both"/>
      </w:pPr>
    </w:p>
    <w:p w14:paraId="48D94451" w14:textId="2F0FE890" w:rsidR="00D026A6" w:rsidRPr="00F633B4" w:rsidRDefault="00C60D7F" w:rsidP="00F03FB2">
      <w:pPr>
        <w:autoSpaceDE w:val="0"/>
        <w:autoSpaceDN w:val="0"/>
        <w:adjustRightInd w:val="0"/>
        <w:ind w:firstLine="284"/>
        <w:jc w:val="both"/>
      </w:pPr>
      <w:r w:rsidRPr="00F633B4">
        <w:t xml:space="preserve">Právo odoprieť vyplatenie mzdy </w:t>
      </w:r>
      <w:r w:rsidR="00640E68" w:rsidRPr="00F633B4">
        <w:t>nemožno použiť, ak dodávateľ nezaplatil subdodávateľovi za vykonanie práce, t. j. subdodávateľ má pohľadávku voči dodávateľovi v čase uplatnenia práva zamestnanca (t. j. príčinou nevyplatenia mzdy môže byť aj skutočnosť nevyplatenia subdodávateľa). Čiastočným vzorom</w:t>
      </w:r>
      <w:r w:rsidR="00D026A6" w:rsidRPr="00F633B4">
        <w:t xml:space="preserve"> pre danú úpravu bolo znenie § 69 a </w:t>
      </w:r>
      <w:proofErr w:type="spellStart"/>
      <w:r w:rsidR="00D026A6" w:rsidRPr="00F633B4">
        <w:t>nasl</w:t>
      </w:r>
      <w:proofErr w:type="spellEnd"/>
      <w:r w:rsidR="00D026A6" w:rsidRPr="00F633B4">
        <w:t>. zákona č.</w:t>
      </w:r>
      <w:r w:rsidR="00F633B4">
        <w:t> </w:t>
      </w:r>
      <w:r w:rsidR="00D026A6" w:rsidRPr="00F633B4">
        <w:t>222/2004 Z. z. o DPH, kde je upravený aj inštitút tzv. ručenia za daň z pridanej hodnoty.</w:t>
      </w:r>
    </w:p>
    <w:p w14:paraId="521EBFF3" w14:textId="438B913B" w:rsidR="00D026A6" w:rsidRPr="00F03FB2" w:rsidRDefault="00D026A6" w:rsidP="00F03FB2">
      <w:pPr>
        <w:autoSpaceDE w:val="0"/>
        <w:autoSpaceDN w:val="0"/>
        <w:adjustRightInd w:val="0"/>
        <w:ind w:firstLine="284"/>
        <w:jc w:val="both"/>
      </w:pPr>
    </w:p>
    <w:p w14:paraId="5C4F6DC8" w14:textId="27E14BDA" w:rsidR="00640E68" w:rsidRPr="00506C20" w:rsidRDefault="00640E68" w:rsidP="00F03FB2">
      <w:pPr>
        <w:autoSpaceDE w:val="0"/>
        <w:autoSpaceDN w:val="0"/>
        <w:adjustRightInd w:val="0"/>
        <w:ind w:firstLine="284"/>
        <w:jc w:val="both"/>
      </w:pPr>
      <w:r w:rsidRPr="00506C20">
        <w:t>V odseku 8 sa navrhuje upraviť možnosť regresu dodávateľa voči subdodávateľovi. Tento sa spravuje osobitnými predpismi vo väzbe na právny základ daného vzťahu (napr. Občiansky zákonník, Obchodný zákonník).</w:t>
      </w:r>
    </w:p>
    <w:p w14:paraId="081D6AFC" w14:textId="28C3E97A" w:rsidR="00640E68" w:rsidRPr="00F03FB2" w:rsidRDefault="00640E68" w:rsidP="00F03FB2">
      <w:pPr>
        <w:autoSpaceDE w:val="0"/>
        <w:autoSpaceDN w:val="0"/>
        <w:adjustRightInd w:val="0"/>
        <w:ind w:firstLine="284"/>
        <w:jc w:val="both"/>
      </w:pPr>
    </w:p>
    <w:p w14:paraId="7EE0AFDB" w14:textId="591C3438" w:rsidR="00640E68" w:rsidRPr="00F633B4" w:rsidRDefault="00640E68" w:rsidP="00F03FB2">
      <w:pPr>
        <w:autoSpaceDE w:val="0"/>
        <w:autoSpaceDN w:val="0"/>
        <w:adjustRightInd w:val="0"/>
        <w:ind w:firstLine="284"/>
        <w:jc w:val="both"/>
        <w:rPr>
          <w:color w:val="000000"/>
          <w:shd w:val="clear" w:color="auto" w:fill="FFFFFF"/>
        </w:rPr>
      </w:pPr>
      <w:r w:rsidRPr="00F03FB2">
        <w:t>V odseku 9 sa navrhuje z dôvodu právnej istoty ustanoviť, že aj spor medzi dodávateľom služby a zamestnancom</w:t>
      </w:r>
      <w:r w:rsidRPr="00F633B4">
        <w:rPr>
          <w:color w:val="000000"/>
          <w:shd w:val="clear" w:color="auto" w:fill="FFFFFF"/>
        </w:rPr>
        <w:t xml:space="preserve"> je pracovnoprávnym sporom.</w:t>
      </w:r>
    </w:p>
    <w:p w14:paraId="43DC953A" w14:textId="54901C99" w:rsidR="00640E68" w:rsidRPr="00F633B4" w:rsidRDefault="00640E68" w:rsidP="00F633B4">
      <w:pPr>
        <w:jc w:val="both"/>
        <w:rPr>
          <w:color w:val="000000"/>
          <w:shd w:val="clear" w:color="auto" w:fill="FFFFFF"/>
        </w:rPr>
      </w:pPr>
    </w:p>
    <w:p w14:paraId="37A5ED47" w14:textId="5D98DE24" w:rsidR="00DA1F66" w:rsidRPr="00F633B4" w:rsidRDefault="00DA1F66" w:rsidP="00F633B4">
      <w:pPr>
        <w:jc w:val="both"/>
        <w:rPr>
          <w:b/>
          <w:color w:val="000000"/>
          <w:shd w:val="clear" w:color="auto" w:fill="FFFFFF"/>
        </w:rPr>
      </w:pPr>
      <w:r w:rsidRPr="00F633B4">
        <w:rPr>
          <w:b/>
          <w:color w:val="000000"/>
          <w:shd w:val="clear" w:color="auto" w:fill="FFFFFF"/>
        </w:rPr>
        <w:t>K bodu 8</w:t>
      </w:r>
    </w:p>
    <w:p w14:paraId="3F515696" w14:textId="5ED66682" w:rsidR="00DA1F66" w:rsidRPr="00F633B4" w:rsidRDefault="00DA1F66" w:rsidP="00F633B4">
      <w:pPr>
        <w:jc w:val="both"/>
        <w:rPr>
          <w:color w:val="000000"/>
          <w:shd w:val="clear" w:color="auto" w:fill="FFFFFF"/>
        </w:rPr>
      </w:pPr>
    </w:p>
    <w:p w14:paraId="622761DD" w14:textId="7EBD748A" w:rsidR="00DA1F66" w:rsidRPr="00F633B4" w:rsidRDefault="00DA1F66" w:rsidP="00F633B4">
      <w:pPr>
        <w:ind w:firstLine="284"/>
        <w:jc w:val="both"/>
        <w:rPr>
          <w:color w:val="000000"/>
          <w:shd w:val="clear" w:color="auto" w:fill="FFFFFF"/>
        </w:rPr>
      </w:pPr>
      <w:r w:rsidRPr="00F633B4">
        <w:rPr>
          <w:color w:val="000000"/>
          <w:shd w:val="clear" w:color="auto" w:fill="FFFFFF"/>
        </w:rPr>
        <w:t xml:space="preserve">V prechodnom ustanovení sa navrhuje upraviť, ako sa postupuje v prípade právnych vzťahov medzi dodávateľom služby a subdodávateľom, ktorý vznikol pred účinnosťou zákona, a to v kontexte novej právnej úpravy, ak právna regulácia pred účinnosťou zákona neexistovala, </w:t>
      </w:r>
      <w:r w:rsidRPr="00F633B4">
        <w:rPr>
          <w:color w:val="000000"/>
          <w:shd w:val="clear" w:color="auto" w:fill="FFFFFF"/>
        </w:rPr>
        <w:lastRenderedPageBreak/>
        <w:t>ako aj v kontexte novej právnej úpravy, ak právna regulácia pred účinnosťou zákona existovala (§ 5 ods. 11).</w:t>
      </w:r>
    </w:p>
    <w:p w14:paraId="77BE618E" w14:textId="1A64202D" w:rsidR="00DA1F66" w:rsidRPr="00F633B4" w:rsidRDefault="00DA1F66" w:rsidP="00F633B4">
      <w:pPr>
        <w:jc w:val="both"/>
        <w:rPr>
          <w:color w:val="000000"/>
          <w:shd w:val="clear" w:color="auto" w:fill="FFFFFF"/>
        </w:rPr>
      </w:pPr>
    </w:p>
    <w:p w14:paraId="00B6B608" w14:textId="1E630FDB" w:rsidR="00D026A6" w:rsidRPr="00F633B4" w:rsidRDefault="00D026A6" w:rsidP="00F633B4">
      <w:pPr>
        <w:jc w:val="both"/>
        <w:rPr>
          <w:b/>
          <w:color w:val="000000"/>
          <w:shd w:val="clear" w:color="auto" w:fill="FFFFFF"/>
        </w:rPr>
      </w:pPr>
      <w:r w:rsidRPr="00F633B4">
        <w:rPr>
          <w:b/>
          <w:color w:val="000000"/>
          <w:shd w:val="clear" w:color="auto" w:fill="FFFFFF"/>
        </w:rPr>
        <w:t xml:space="preserve">K bodu </w:t>
      </w:r>
      <w:r w:rsidR="00DA1F66" w:rsidRPr="00F633B4">
        <w:rPr>
          <w:b/>
          <w:color w:val="000000"/>
          <w:shd w:val="clear" w:color="auto" w:fill="FFFFFF"/>
        </w:rPr>
        <w:t>9</w:t>
      </w:r>
    </w:p>
    <w:p w14:paraId="7C7201D5" w14:textId="77777777" w:rsidR="00D026A6" w:rsidRPr="00F633B4" w:rsidRDefault="00D026A6" w:rsidP="00F633B4">
      <w:pPr>
        <w:jc w:val="both"/>
        <w:rPr>
          <w:color w:val="000000"/>
          <w:shd w:val="clear" w:color="auto" w:fill="FFFFFF"/>
        </w:rPr>
      </w:pPr>
    </w:p>
    <w:p w14:paraId="3CBD39AC" w14:textId="7B23BC03" w:rsidR="00D026A6" w:rsidRPr="00F633B4" w:rsidRDefault="00D026A6" w:rsidP="00F633B4">
      <w:pPr>
        <w:ind w:firstLine="284"/>
        <w:jc w:val="both"/>
        <w:rPr>
          <w:color w:val="000000"/>
          <w:shd w:val="clear" w:color="auto" w:fill="FFFFFF"/>
        </w:rPr>
      </w:pPr>
      <w:r w:rsidRPr="00F633B4">
        <w:rPr>
          <w:color w:val="000000"/>
          <w:shd w:val="clear" w:color="auto" w:fill="FFFFFF"/>
        </w:rPr>
        <w:t xml:space="preserve">Legislatívno-technická zmena. Vzhľadom na zvolené technické riešenie presunutia časti ustanovení § 5 do navrhovaného § 130a a ustanovenie </w:t>
      </w:r>
      <w:r w:rsidR="000B5DFC" w:rsidRPr="00F633B4">
        <w:rPr>
          <w:color w:val="000000"/>
          <w:shd w:val="clear" w:color="auto" w:fill="FFFFFF"/>
        </w:rPr>
        <w:t>povinnosti dodávateľa za vyplatenie mzdy</w:t>
      </w:r>
      <w:r w:rsidRPr="00F633B4">
        <w:rPr>
          <w:color w:val="000000"/>
          <w:shd w:val="clear" w:color="auto" w:fill="FFFFFF"/>
        </w:rPr>
        <w:t xml:space="preserve"> v subdodávateľských vzťahoch v oblasti stavebných prác, navrhuje sa v novej </w:t>
      </w:r>
      <w:r w:rsidR="005325AC" w:rsidRPr="00F633B4">
        <w:rPr>
          <w:color w:val="000000"/>
          <w:shd w:val="clear" w:color="auto" w:fill="FFFFFF"/>
        </w:rPr>
        <w:t>p</w:t>
      </w:r>
      <w:r w:rsidRPr="00F633B4">
        <w:rPr>
          <w:color w:val="000000"/>
          <w:shd w:val="clear" w:color="auto" w:fill="FFFFFF"/>
        </w:rPr>
        <w:t>rílohe č.</w:t>
      </w:r>
      <w:r w:rsidR="001F20DD">
        <w:rPr>
          <w:color w:val="000000"/>
          <w:shd w:val="clear" w:color="auto" w:fill="FFFFFF"/>
        </w:rPr>
        <w:t> </w:t>
      </w:r>
      <w:r w:rsidRPr="00F633B4">
        <w:rPr>
          <w:color w:val="000000"/>
          <w:shd w:val="clear" w:color="auto" w:fill="FFFFFF"/>
        </w:rPr>
        <w:t>1aa spoločne pre § 5 ods. 9 a § 130a upra</w:t>
      </w:r>
      <w:r w:rsidR="00FD7544" w:rsidRPr="00F633B4">
        <w:rPr>
          <w:color w:val="000000"/>
          <w:shd w:val="clear" w:color="auto" w:fill="FFFFFF"/>
        </w:rPr>
        <w:t>viť okruh „stavebných prác“ tak</w:t>
      </w:r>
      <w:r w:rsidRPr="00F633B4">
        <w:rPr>
          <w:color w:val="000000"/>
          <w:shd w:val="clear" w:color="auto" w:fill="FFFFFF"/>
        </w:rPr>
        <w:t>, aby sa vychádzalo aj z</w:t>
      </w:r>
      <w:r w:rsidR="00E028AB" w:rsidRPr="00F633B4">
        <w:rPr>
          <w:color w:val="000000"/>
          <w:shd w:val="clear" w:color="auto" w:fill="FFFFFF"/>
        </w:rPr>
        <w:t> </w:t>
      </w:r>
      <w:r w:rsidRPr="00F633B4">
        <w:rPr>
          <w:color w:val="000000"/>
          <w:shd w:val="clear" w:color="auto" w:fill="FFFFFF"/>
        </w:rPr>
        <w:t>textácie vyplývajúcej z uvádzacej vety prílohy smernice 96/71/ES Európskeho parlamentu a</w:t>
      </w:r>
      <w:r w:rsidR="00E028AB" w:rsidRPr="00F633B4">
        <w:rPr>
          <w:color w:val="000000"/>
          <w:shd w:val="clear" w:color="auto" w:fill="FFFFFF"/>
        </w:rPr>
        <w:t> </w:t>
      </w:r>
      <w:r w:rsidRPr="00F633B4">
        <w:rPr>
          <w:color w:val="000000"/>
          <w:shd w:val="clear" w:color="auto" w:fill="FFFFFF"/>
        </w:rPr>
        <w:t>Rady zo 16. decembra 1996 o vysielaní pracovníkov v rámci poskytovania služieb.</w:t>
      </w:r>
    </w:p>
    <w:p w14:paraId="425A5313" w14:textId="77777777" w:rsidR="00D026A6" w:rsidRPr="00F633B4" w:rsidRDefault="00D026A6" w:rsidP="00F633B4">
      <w:pPr>
        <w:jc w:val="both"/>
        <w:rPr>
          <w:color w:val="000000"/>
          <w:shd w:val="clear" w:color="auto" w:fill="FFFFFF"/>
        </w:rPr>
      </w:pPr>
    </w:p>
    <w:p w14:paraId="1E31E6B5" w14:textId="77777777" w:rsidR="00D026A6" w:rsidRPr="00F633B4" w:rsidRDefault="00D026A6" w:rsidP="00F633B4">
      <w:pPr>
        <w:rPr>
          <w:b/>
          <w:bCs/>
          <w:u w:val="single"/>
        </w:rPr>
      </w:pPr>
      <w:r w:rsidRPr="00F633B4">
        <w:rPr>
          <w:b/>
          <w:bCs/>
          <w:u w:val="single"/>
        </w:rPr>
        <w:t>K čl. II</w:t>
      </w:r>
    </w:p>
    <w:p w14:paraId="7B6C6952" w14:textId="77777777" w:rsidR="00D026A6" w:rsidRPr="00F633B4" w:rsidRDefault="00D026A6" w:rsidP="00F633B4">
      <w:pPr>
        <w:jc w:val="both"/>
        <w:rPr>
          <w:color w:val="000000"/>
          <w:shd w:val="clear" w:color="auto" w:fill="FFFFFF"/>
        </w:rPr>
      </w:pPr>
    </w:p>
    <w:p w14:paraId="09115824" w14:textId="1BBC0328" w:rsidR="00D026A6" w:rsidRDefault="005F6A24" w:rsidP="00F633B4">
      <w:pPr>
        <w:ind w:firstLine="284"/>
        <w:jc w:val="both"/>
        <w:rPr>
          <w:iCs/>
        </w:rPr>
      </w:pPr>
      <w:r w:rsidRPr="00F633B4">
        <w:rPr>
          <w:iCs/>
        </w:rPr>
        <w:t>Navrhuje sa</w:t>
      </w:r>
      <w:r w:rsidR="00D026A6" w:rsidRPr="00F633B4">
        <w:rPr>
          <w:iCs/>
        </w:rPr>
        <w:t xml:space="preserve"> </w:t>
      </w:r>
      <w:r w:rsidR="00AC0F8D" w:rsidRPr="00F633B4">
        <w:rPr>
          <w:iCs/>
        </w:rPr>
        <w:t xml:space="preserve">nadobudnutie </w:t>
      </w:r>
      <w:r w:rsidR="00D026A6" w:rsidRPr="00F633B4">
        <w:rPr>
          <w:iCs/>
        </w:rPr>
        <w:t>účinnos</w:t>
      </w:r>
      <w:r w:rsidR="00AC0F8D" w:rsidRPr="00F633B4">
        <w:rPr>
          <w:iCs/>
        </w:rPr>
        <w:t>ti zákona</w:t>
      </w:r>
      <w:r w:rsidR="00D026A6" w:rsidRPr="00F633B4">
        <w:rPr>
          <w:iCs/>
        </w:rPr>
        <w:t xml:space="preserve"> od 1. </w:t>
      </w:r>
      <w:r w:rsidR="00694687" w:rsidRPr="00F633B4">
        <w:rPr>
          <w:iCs/>
        </w:rPr>
        <w:t xml:space="preserve">augusta </w:t>
      </w:r>
      <w:r w:rsidR="00D026A6" w:rsidRPr="00F633B4">
        <w:rPr>
          <w:iCs/>
        </w:rPr>
        <w:t>2024.</w:t>
      </w:r>
    </w:p>
    <w:p w14:paraId="16D1D9F2" w14:textId="6491BABB" w:rsidR="00C07A04" w:rsidRDefault="00C07A04" w:rsidP="00C07A04">
      <w:pPr>
        <w:jc w:val="both"/>
        <w:rPr>
          <w:iCs/>
        </w:rPr>
      </w:pPr>
    </w:p>
    <w:p w14:paraId="45B57A50" w14:textId="676B357C" w:rsidR="00C07A04" w:rsidRDefault="00C07A04" w:rsidP="00C07A04">
      <w:pPr>
        <w:jc w:val="both"/>
        <w:rPr>
          <w:iCs/>
        </w:rPr>
      </w:pPr>
    </w:p>
    <w:p w14:paraId="6D682AB8" w14:textId="12733EAC" w:rsidR="00C07A04" w:rsidRDefault="00C07A04" w:rsidP="00C07A04">
      <w:pPr>
        <w:jc w:val="both"/>
      </w:pPr>
      <w:r>
        <w:t>V </w:t>
      </w:r>
      <w:r w:rsidR="00AA0075">
        <w:t>Galante</w:t>
      </w:r>
      <w:r>
        <w:t xml:space="preserve"> dňa 27. marca 2024</w:t>
      </w:r>
    </w:p>
    <w:p w14:paraId="503BD485" w14:textId="77777777" w:rsidR="00C07A04" w:rsidRDefault="00C07A04" w:rsidP="00C07A04">
      <w:pPr>
        <w:jc w:val="both"/>
      </w:pPr>
    </w:p>
    <w:p w14:paraId="2254DFF0" w14:textId="77777777" w:rsidR="00C07A04" w:rsidRDefault="00C07A04" w:rsidP="00C07A04">
      <w:pPr>
        <w:jc w:val="both"/>
      </w:pPr>
    </w:p>
    <w:p w14:paraId="2D1FCA10" w14:textId="77777777" w:rsidR="00C07A04" w:rsidRDefault="00C07A04" w:rsidP="00C07A04">
      <w:pPr>
        <w:jc w:val="both"/>
      </w:pPr>
    </w:p>
    <w:p w14:paraId="3797936A" w14:textId="77777777" w:rsidR="00C07A04" w:rsidRDefault="00C07A04" w:rsidP="00C07A04">
      <w:pPr>
        <w:jc w:val="both"/>
      </w:pPr>
    </w:p>
    <w:p w14:paraId="4CFF2DE9" w14:textId="77777777" w:rsidR="00C07A04" w:rsidRDefault="00C07A04" w:rsidP="00C07A04">
      <w:pPr>
        <w:jc w:val="both"/>
      </w:pPr>
    </w:p>
    <w:p w14:paraId="74912CC4" w14:textId="77777777" w:rsidR="00C07A04" w:rsidRDefault="00C07A04" w:rsidP="00C07A04">
      <w:pPr>
        <w:jc w:val="both"/>
      </w:pPr>
    </w:p>
    <w:p w14:paraId="006F5557" w14:textId="645133A3" w:rsidR="00C07A04" w:rsidRDefault="00C07A04" w:rsidP="00C07A04">
      <w:pPr>
        <w:jc w:val="center"/>
        <w:rPr>
          <w:b/>
        </w:rPr>
      </w:pPr>
      <w:r>
        <w:rPr>
          <w:b/>
        </w:rPr>
        <w:t>Robert Fico</w:t>
      </w:r>
      <w:r w:rsidR="00A64ED2">
        <w:rPr>
          <w:b/>
        </w:rPr>
        <w:t>,</w:t>
      </w:r>
      <w:r>
        <w:rPr>
          <w:b/>
        </w:rPr>
        <w:t xml:space="preserve">  v. r.</w:t>
      </w:r>
    </w:p>
    <w:p w14:paraId="4A29A114" w14:textId="77777777" w:rsidR="00C07A04" w:rsidRDefault="00C07A04" w:rsidP="00C07A04">
      <w:pPr>
        <w:jc w:val="center"/>
      </w:pPr>
      <w:r>
        <w:t>predseda vlády</w:t>
      </w:r>
    </w:p>
    <w:p w14:paraId="3A155821" w14:textId="77777777" w:rsidR="00C07A04" w:rsidRDefault="00C07A04" w:rsidP="00C07A04">
      <w:pPr>
        <w:jc w:val="center"/>
      </w:pPr>
      <w:r>
        <w:t>Slovenskej republiky</w:t>
      </w:r>
    </w:p>
    <w:p w14:paraId="5FE2C373" w14:textId="77777777" w:rsidR="00C07A04" w:rsidRDefault="00C07A04" w:rsidP="00C07A04">
      <w:pPr>
        <w:jc w:val="center"/>
      </w:pPr>
    </w:p>
    <w:p w14:paraId="19710E56" w14:textId="77777777" w:rsidR="00C07A04" w:rsidRDefault="00C07A04" w:rsidP="00C07A04">
      <w:pPr>
        <w:jc w:val="center"/>
      </w:pPr>
    </w:p>
    <w:p w14:paraId="213FC0E0" w14:textId="77777777" w:rsidR="00C07A04" w:rsidRDefault="00C07A04" w:rsidP="00C07A04">
      <w:pPr>
        <w:jc w:val="center"/>
      </w:pPr>
    </w:p>
    <w:p w14:paraId="25D71DBB" w14:textId="77777777" w:rsidR="00C07A04" w:rsidRDefault="00C07A04" w:rsidP="00C07A04">
      <w:pPr>
        <w:jc w:val="center"/>
      </w:pPr>
    </w:p>
    <w:p w14:paraId="489C45EE" w14:textId="77777777" w:rsidR="00C07A04" w:rsidRDefault="00C07A04" w:rsidP="00C07A04">
      <w:pPr>
        <w:jc w:val="center"/>
      </w:pPr>
    </w:p>
    <w:p w14:paraId="2E33A1BD" w14:textId="77777777" w:rsidR="00C07A04" w:rsidRDefault="00C07A04" w:rsidP="00C07A04">
      <w:pPr>
        <w:jc w:val="center"/>
      </w:pPr>
    </w:p>
    <w:p w14:paraId="0DD0A72E" w14:textId="77777777" w:rsidR="00C07A04" w:rsidRDefault="00C07A04" w:rsidP="00C07A04">
      <w:pPr>
        <w:jc w:val="center"/>
      </w:pPr>
    </w:p>
    <w:p w14:paraId="18AA492F" w14:textId="5A53734E" w:rsidR="00C07A04" w:rsidRDefault="00C07A04" w:rsidP="00C07A04">
      <w:pPr>
        <w:jc w:val="center"/>
        <w:rPr>
          <w:b/>
        </w:rPr>
      </w:pPr>
      <w:r>
        <w:rPr>
          <w:b/>
        </w:rPr>
        <w:t>Erik Tomáš</w:t>
      </w:r>
      <w:r w:rsidR="00A64ED2">
        <w:rPr>
          <w:b/>
        </w:rPr>
        <w:t>,</w:t>
      </w:r>
      <w:bookmarkStart w:id="0" w:name="_GoBack"/>
      <w:bookmarkEnd w:id="0"/>
      <w:r>
        <w:rPr>
          <w:b/>
        </w:rPr>
        <w:t xml:space="preserve">  v. r.</w:t>
      </w:r>
    </w:p>
    <w:p w14:paraId="57C64FC3" w14:textId="77777777" w:rsidR="00C07A04" w:rsidRDefault="00C07A04" w:rsidP="00C07A04">
      <w:pPr>
        <w:jc w:val="center"/>
      </w:pPr>
      <w:r>
        <w:t>minister práce, sociálnych vecí a rodiny</w:t>
      </w:r>
    </w:p>
    <w:p w14:paraId="6DEED4D0" w14:textId="77777777" w:rsidR="00C07A04" w:rsidRDefault="00C07A04" w:rsidP="00C07A04">
      <w:pPr>
        <w:jc w:val="center"/>
      </w:pPr>
      <w:r>
        <w:t>Slovenskej republiky</w:t>
      </w:r>
    </w:p>
    <w:p w14:paraId="16EFBC7A" w14:textId="77777777" w:rsidR="00C07A04" w:rsidRPr="00F633B4" w:rsidRDefault="00C07A04" w:rsidP="00C07A04">
      <w:pPr>
        <w:jc w:val="both"/>
        <w:rPr>
          <w:iCs/>
        </w:rPr>
      </w:pPr>
    </w:p>
    <w:sectPr w:rsidR="00C07A04" w:rsidRPr="00F633B4" w:rsidSect="005967D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C1983" w14:textId="77777777" w:rsidR="00167943" w:rsidRDefault="00167943" w:rsidP="00E57017">
      <w:r>
        <w:separator/>
      </w:r>
    </w:p>
  </w:endnote>
  <w:endnote w:type="continuationSeparator" w:id="0">
    <w:p w14:paraId="7B235E4B" w14:textId="77777777" w:rsidR="00167943" w:rsidRDefault="00167943" w:rsidP="00E5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X Gyre Bonum">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9BECB" w14:textId="50763427" w:rsidR="00D026A6" w:rsidRDefault="003B1C86">
    <w:pPr>
      <w:pStyle w:val="Pta"/>
      <w:jc w:val="center"/>
    </w:pPr>
    <w:r>
      <w:fldChar w:fldCharType="begin"/>
    </w:r>
    <w:r>
      <w:instrText>PAGE   \* MERGEFORMAT</w:instrText>
    </w:r>
    <w:r>
      <w:fldChar w:fldCharType="separate"/>
    </w:r>
    <w:r w:rsidR="00A64ED2">
      <w:rPr>
        <w:noProof/>
      </w:rPr>
      <w:t>5</w:t>
    </w:r>
    <w:r>
      <w:rPr>
        <w:noProof/>
      </w:rPr>
      <w:fldChar w:fldCharType="end"/>
    </w:r>
  </w:p>
  <w:p w14:paraId="525963A3" w14:textId="77777777" w:rsidR="00D026A6" w:rsidRDefault="00D026A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A175C" w14:textId="77777777" w:rsidR="00167943" w:rsidRDefault="00167943" w:rsidP="00E57017">
      <w:r>
        <w:separator/>
      </w:r>
    </w:p>
  </w:footnote>
  <w:footnote w:type="continuationSeparator" w:id="0">
    <w:p w14:paraId="50EC18B3" w14:textId="77777777" w:rsidR="00167943" w:rsidRDefault="00167943" w:rsidP="00E57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240"/>
    <w:multiLevelType w:val="hybridMultilevel"/>
    <w:tmpl w:val="10E23498"/>
    <w:lvl w:ilvl="0" w:tplc="FF3ADC80">
      <w:start w:val="1"/>
      <w:numFmt w:val="lowerLetter"/>
      <w:lvlText w:val="%1)"/>
      <w:lvlJc w:val="left"/>
      <w:pPr>
        <w:ind w:left="717" w:hanging="360"/>
      </w:pPr>
      <w:rPr>
        <w:rFonts w:cs="Times New Roman"/>
        <w:strike w:val="0"/>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1" w15:restartNumberingAfterBreak="0">
    <w:nsid w:val="06E520C7"/>
    <w:multiLevelType w:val="hybridMultilevel"/>
    <w:tmpl w:val="32DA433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85F5D0D"/>
    <w:multiLevelType w:val="hybridMultilevel"/>
    <w:tmpl w:val="9EBC07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A977D7"/>
    <w:multiLevelType w:val="hybridMultilevel"/>
    <w:tmpl w:val="9A843EB6"/>
    <w:lvl w:ilvl="0" w:tplc="1E40D2E8">
      <w:start w:val="1"/>
      <w:numFmt w:val="lowerLetter"/>
      <w:lvlText w:val="%1)"/>
      <w:lvlJc w:val="left"/>
      <w:pPr>
        <w:ind w:left="388" w:hanging="284"/>
      </w:pPr>
      <w:rPr>
        <w:rFonts w:ascii="TeX Gyre Bonum" w:eastAsia="Times New Roman" w:hAnsi="TeX Gyre Bonum" w:cs="TeX Gyre Bonum" w:hint="default"/>
        <w:spacing w:val="-27"/>
        <w:w w:val="100"/>
        <w:sz w:val="20"/>
        <w:szCs w:val="20"/>
      </w:rPr>
    </w:lvl>
    <w:lvl w:ilvl="1" w:tplc="B04CF45A">
      <w:start w:val="1"/>
      <w:numFmt w:val="decimal"/>
      <w:lvlText w:val="(%2)"/>
      <w:lvlJc w:val="left"/>
      <w:pPr>
        <w:ind w:left="105" w:hanging="395"/>
      </w:pPr>
      <w:rPr>
        <w:rFonts w:ascii="TeX Gyre Bonum" w:eastAsia="Times New Roman" w:hAnsi="TeX Gyre Bonum" w:cs="TeX Gyre Bonum" w:hint="default"/>
        <w:spacing w:val="-28"/>
        <w:w w:val="100"/>
        <w:sz w:val="20"/>
        <w:szCs w:val="20"/>
      </w:rPr>
    </w:lvl>
    <w:lvl w:ilvl="2" w:tplc="B0368B9C">
      <w:numFmt w:val="bullet"/>
      <w:lvlText w:val="•"/>
      <w:lvlJc w:val="left"/>
      <w:pPr>
        <w:ind w:left="1440" w:hanging="395"/>
      </w:pPr>
      <w:rPr>
        <w:rFonts w:hint="default"/>
      </w:rPr>
    </w:lvl>
    <w:lvl w:ilvl="3" w:tplc="4CF271F2">
      <w:numFmt w:val="bullet"/>
      <w:lvlText w:val="•"/>
      <w:lvlJc w:val="left"/>
      <w:pPr>
        <w:ind w:left="2501" w:hanging="395"/>
      </w:pPr>
      <w:rPr>
        <w:rFonts w:hint="default"/>
      </w:rPr>
    </w:lvl>
    <w:lvl w:ilvl="4" w:tplc="E25EDAEC">
      <w:numFmt w:val="bullet"/>
      <w:lvlText w:val="•"/>
      <w:lvlJc w:val="left"/>
      <w:pPr>
        <w:ind w:left="3561" w:hanging="395"/>
      </w:pPr>
      <w:rPr>
        <w:rFonts w:hint="default"/>
      </w:rPr>
    </w:lvl>
    <w:lvl w:ilvl="5" w:tplc="2990F10C">
      <w:numFmt w:val="bullet"/>
      <w:lvlText w:val="•"/>
      <w:lvlJc w:val="left"/>
      <w:pPr>
        <w:ind w:left="4622" w:hanging="395"/>
      </w:pPr>
      <w:rPr>
        <w:rFonts w:hint="default"/>
      </w:rPr>
    </w:lvl>
    <w:lvl w:ilvl="6" w:tplc="1A0A6D74">
      <w:numFmt w:val="bullet"/>
      <w:lvlText w:val="•"/>
      <w:lvlJc w:val="left"/>
      <w:pPr>
        <w:ind w:left="5682" w:hanging="395"/>
      </w:pPr>
      <w:rPr>
        <w:rFonts w:hint="default"/>
      </w:rPr>
    </w:lvl>
    <w:lvl w:ilvl="7" w:tplc="54EC66B2">
      <w:numFmt w:val="bullet"/>
      <w:lvlText w:val="•"/>
      <w:lvlJc w:val="left"/>
      <w:pPr>
        <w:ind w:left="6743" w:hanging="395"/>
      </w:pPr>
      <w:rPr>
        <w:rFonts w:hint="default"/>
      </w:rPr>
    </w:lvl>
    <w:lvl w:ilvl="8" w:tplc="31749BC6">
      <w:numFmt w:val="bullet"/>
      <w:lvlText w:val="•"/>
      <w:lvlJc w:val="left"/>
      <w:pPr>
        <w:ind w:left="7803" w:hanging="395"/>
      </w:pPr>
      <w:rPr>
        <w:rFonts w:hint="default"/>
      </w:rPr>
    </w:lvl>
  </w:abstractNum>
  <w:abstractNum w:abstractNumId="4" w15:restartNumberingAfterBreak="0">
    <w:nsid w:val="0E493BCF"/>
    <w:multiLevelType w:val="hybridMultilevel"/>
    <w:tmpl w:val="AED83CC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1121F63"/>
    <w:multiLevelType w:val="hybridMultilevel"/>
    <w:tmpl w:val="92E27898"/>
    <w:lvl w:ilvl="0" w:tplc="47145828">
      <w:start w:val="2"/>
      <w:numFmt w:val="upp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6" w15:restartNumberingAfterBreak="0">
    <w:nsid w:val="12DD5570"/>
    <w:multiLevelType w:val="hybridMultilevel"/>
    <w:tmpl w:val="FA648F50"/>
    <w:lvl w:ilvl="0" w:tplc="8A241136">
      <w:start w:val="1"/>
      <w:numFmt w:val="decimal"/>
      <w:lvlText w:val="(%1)"/>
      <w:lvlJc w:val="left"/>
      <w:pPr>
        <w:ind w:left="105" w:hanging="321"/>
      </w:pPr>
      <w:rPr>
        <w:rFonts w:ascii="TeX Gyre Bonum" w:eastAsia="Times New Roman" w:hAnsi="TeX Gyre Bonum" w:cs="TeX Gyre Bonum" w:hint="default"/>
        <w:w w:val="100"/>
        <w:sz w:val="20"/>
        <w:szCs w:val="20"/>
      </w:rPr>
    </w:lvl>
    <w:lvl w:ilvl="1" w:tplc="9A343DB4">
      <w:numFmt w:val="bullet"/>
      <w:lvlText w:val="•"/>
      <w:lvlJc w:val="left"/>
      <w:pPr>
        <w:ind w:left="1082" w:hanging="321"/>
      </w:pPr>
      <w:rPr>
        <w:rFonts w:hint="default"/>
      </w:rPr>
    </w:lvl>
    <w:lvl w:ilvl="2" w:tplc="B2529ECA">
      <w:numFmt w:val="bullet"/>
      <w:lvlText w:val="•"/>
      <w:lvlJc w:val="left"/>
      <w:pPr>
        <w:ind w:left="2064" w:hanging="321"/>
      </w:pPr>
      <w:rPr>
        <w:rFonts w:hint="default"/>
      </w:rPr>
    </w:lvl>
    <w:lvl w:ilvl="3" w:tplc="4088137C">
      <w:numFmt w:val="bullet"/>
      <w:lvlText w:val="•"/>
      <w:lvlJc w:val="left"/>
      <w:pPr>
        <w:ind w:left="3047" w:hanging="321"/>
      </w:pPr>
      <w:rPr>
        <w:rFonts w:hint="default"/>
      </w:rPr>
    </w:lvl>
    <w:lvl w:ilvl="4" w:tplc="C9823C4A">
      <w:numFmt w:val="bullet"/>
      <w:lvlText w:val="•"/>
      <w:lvlJc w:val="left"/>
      <w:pPr>
        <w:ind w:left="4029" w:hanging="321"/>
      </w:pPr>
      <w:rPr>
        <w:rFonts w:hint="default"/>
      </w:rPr>
    </w:lvl>
    <w:lvl w:ilvl="5" w:tplc="6F28CD42">
      <w:numFmt w:val="bullet"/>
      <w:lvlText w:val="•"/>
      <w:lvlJc w:val="left"/>
      <w:pPr>
        <w:ind w:left="5012" w:hanging="321"/>
      </w:pPr>
      <w:rPr>
        <w:rFonts w:hint="default"/>
      </w:rPr>
    </w:lvl>
    <w:lvl w:ilvl="6" w:tplc="F8325D7A">
      <w:numFmt w:val="bullet"/>
      <w:lvlText w:val="•"/>
      <w:lvlJc w:val="left"/>
      <w:pPr>
        <w:ind w:left="5994" w:hanging="321"/>
      </w:pPr>
      <w:rPr>
        <w:rFonts w:hint="default"/>
      </w:rPr>
    </w:lvl>
    <w:lvl w:ilvl="7" w:tplc="70C243FC">
      <w:numFmt w:val="bullet"/>
      <w:lvlText w:val="•"/>
      <w:lvlJc w:val="left"/>
      <w:pPr>
        <w:ind w:left="6977" w:hanging="321"/>
      </w:pPr>
      <w:rPr>
        <w:rFonts w:hint="default"/>
      </w:rPr>
    </w:lvl>
    <w:lvl w:ilvl="8" w:tplc="AACE4290">
      <w:numFmt w:val="bullet"/>
      <w:lvlText w:val="•"/>
      <w:lvlJc w:val="left"/>
      <w:pPr>
        <w:ind w:left="7959" w:hanging="321"/>
      </w:pPr>
      <w:rPr>
        <w:rFonts w:hint="default"/>
      </w:rPr>
    </w:lvl>
  </w:abstractNum>
  <w:abstractNum w:abstractNumId="7" w15:restartNumberingAfterBreak="0">
    <w:nsid w:val="15145BED"/>
    <w:multiLevelType w:val="hybridMultilevel"/>
    <w:tmpl w:val="27E6EDA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39426EB"/>
    <w:multiLevelType w:val="hybridMultilevel"/>
    <w:tmpl w:val="23F4ACA0"/>
    <w:lvl w:ilvl="0" w:tplc="041B000F">
      <w:start w:val="1"/>
      <w:numFmt w:val="decimal"/>
      <w:lvlText w:val="%1."/>
      <w:lvlJc w:val="left"/>
      <w:pPr>
        <w:ind w:left="644" w:hanging="360"/>
      </w:pPr>
      <w:rPr>
        <w:rFonts w:cs="Times New Roman"/>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9" w15:restartNumberingAfterBreak="0">
    <w:nsid w:val="23D31DAF"/>
    <w:multiLevelType w:val="hybridMultilevel"/>
    <w:tmpl w:val="05364DBE"/>
    <w:lvl w:ilvl="0" w:tplc="041B0017">
      <w:start w:val="1"/>
      <w:numFmt w:val="lowerLetter"/>
      <w:lvlText w:val="%1)"/>
      <w:lvlJc w:val="left"/>
      <w:pPr>
        <w:ind w:left="717" w:hanging="360"/>
      </w:pPr>
      <w:rPr>
        <w:rFonts w:cs="Times New Roman"/>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10" w15:restartNumberingAfterBreak="0">
    <w:nsid w:val="26C471DE"/>
    <w:multiLevelType w:val="hybridMultilevel"/>
    <w:tmpl w:val="32DA433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EA07292"/>
    <w:multiLevelType w:val="hybridMultilevel"/>
    <w:tmpl w:val="F5E60880"/>
    <w:lvl w:ilvl="0" w:tplc="DDB05FBA">
      <w:start w:val="4"/>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14D04C3"/>
    <w:multiLevelType w:val="hybridMultilevel"/>
    <w:tmpl w:val="7B4C7012"/>
    <w:lvl w:ilvl="0" w:tplc="97261CD4">
      <w:start w:val="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21E637D"/>
    <w:multiLevelType w:val="hybridMultilevel"/>
    <w:tmpl w:val="873C8EE2"/>
    <w:lvl w:ilvl="0" w:tplc="041B0017">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AE76907"/>
    <w:multiLevelType w:val="hybridMultilevel"/>
    <w:tmpl w:val="C1F0CFC0"/>
    <w:lvl w:ilvl="0" w:tplc="7E4C9AFC">
      <w:start w:val="1"/>
      <w:numFmt w:val="lowerLetter"/>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D43068"/>
    <w:multiLevelType w:val="hybridMultilevel"/>
    <w:tmpl w:val="0FD25384"/>
    <w:lvl w:ilvl="0" w:tplc="73A4EF58">
      <w:start w:val="1"/>
      <w:numFmt w:val="lowerLetter"/>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EE649C3"/>
    <w:multiLevelType w:val="hybridMultilevel"/>
    <w:tmpl w:val="DEF4C69E"/>
    <w:lvl w:ilvl="0" w:tplc="041B0017">
      <w:start w:val="1"/>
      <w:numFmt w:val="lowerLetter"/>
      <w:lvlText w:val="%1)"/>
      <w:lvlJc w:val="left"/>
      <w:pPr>
        <w:ind w:left="1431" w:hanging="360"/>
      </w:pPr>
      <w:rPr>
        <w:rFonts w:cs="Times New Roman"/>
      </w:rPr>
    </w:lvl>
    <w:lvl w:ilvl="1" w:tplc="041B0019" w:tentative="1">
      <w:start w:val="1"/>
      <w:numFmt w:val="lowerLetter"/>
      <w:lvlText w:val="%2."/>
      <w:lvlJc w:val="left"/>
      <w:pPr>
        <w:ind w:left="2151" w:hanging="360"/>
      </w:pPr>
      <w:rPr>
        <w:rFonts w:cs="Times New Roman"/>
      </w:rPr>
    </w:lvl>
    <w:lvl w:ilvl="2" w:tplc="041B001B" w:tentative="1">
      <w:start w:val="1"/>
      <w:numFmt w:val="lowerRoman"/>
      <w:lvlText w:val="%3."/>
      <w:lvlJc w:val="right"/>
      <w:pPr>
        <w:ind w:left="2871" w:hanging="180"/>
      </w:pPr>
      <w:rPr>
        <w:rFonts w:cs="Times New Roman"/>
      </w:rPr>
    </w:lvl>
    <w:lvl w:ilvl="3" w:tplc="041B000F" w:tentative="1">
      <w:start w:val="1"/>
      <w:numFmt w:val="decimal"/>
      <w:lvlText w:val="%4."/>
      <w:lvlJc w:val="left"/>
      <w:pPr>
        <w:ind w:left="3591" w:hanging="360"/>
      </w:pPr>
      <w:rPr>
        <w:rFonts w:cs="Times New Roman"/>
      </w:rPr>
    </w:lvl>
    <w:lvl w:ilvl="4" w:tplc="041B0019" w:tentative="1">
      <w:start w:val="1"/>
      <w:numFmt w:val="lowerLetter"/>
      <w:lvlText w:val="%5."/>
      <w:lvlJc w:val="left"/>
      <w:pPr>
        <w:ind w:left="4311" w:hanging="360"/>
      </w:pPr>
      <w:rPr>
        <w:rFonts w:cs="Times New Roman"/>
      </w:rPr>
    </w:lvl>
    <w:lvl w:ilvl="5" w:tplc="041B001B" w:tentative="1">
      <w:start w:val="1"/>
      <w:numFmt w:val="lowerRoman"/>
      <w:lvlText w:val="%6."/>
      <w:lvlJc w:val="right"/>
      <w:pPr>
        <w:ind w:left="5031" w:hanging="180"/>
      </w:pPr>
      <w:rPr>
        <w:rFonts w:cs="Times New Roman"/>
      </w:rPr>
    </w:lvl>
    <w:lvl w:ilvl="6" w:tplc="041B000F" w:tentative="1">
      <w:start w:val="1"/>
      <w:numFmt w:val="decimal"/>
      <w:lvlText w:val="%7."/>
      <w:lvlJc w:val="left"/>
      <w:pPr>
        <w:ind w:left="5751" w:hanging="360"/>
      </w:pPr>
      <w:rPr>
        <w:rFonts w:cs="Times New Roman"/>
      </w:rPr>
    </w:lvl>
    <w:lvl w:ilvl="7" w:tplc="041B0019" w:tentative="1">
      <w:start w:val="1"/>
      <w:numFmt w:val="lowerLetter"/>
      <w:lvlText w:val="%8."/>
      <w:lvlJc w:val="left"/>
      <w:pPr>
        <w:ind w:left="6471" w:hanging="360"/>
      </w:pPr>
      <w:rPr>
        <w:rFonts w:cs="Times New Roman"/>
      </w:rPr>
    </w:lvl>
    <w:lvl w:ilvl="8" w:tplc="041B001B" w:tentative="1">
      <w:start w:val="1"/>
      <w:numFmt w:val="lowerRoman"/>
      <w:lvlText w:val="%9."/>
      <w:lvlJc w:val="right"/>
      <w:pPr>
        <w:ind w:left="7191" w:hanging="180"/>
      </w:pPr>
      <w:rPr>
        <w:rFonts w:cs="Times New Roman"/>
      </w:rPr>
    </w:lvl>
  </w:abstractNum>
  <w:abstractNum w:abstractNumId="17" w15:restartNumberingAfterBreak="0">
    <w:nsid w:val="415A69DA"/>
    <w:multiLevelType w:val="hybridMultilevel"/>
    <w:tmpl w:val="F72E4510"/>
    <w:lvl w:ilvl="0" w:tplc="ACDC1F60">
      <w:start w:val="1"/>
      <w:numFmt w:val="lowerLetter"/>
      <w:lvlText w:val="%1)"/>
      <w:lvlJc w:val="left"/>
      <w:pPr>
        <w:ind w:left="465" w:hanging="360"/>
      </w:pPr>
      <w:rPr>
        <w:rFonts w:cs="Times New Roman" w:hint="default"/>
      </w:rPr>
    </w:lvl>
    <w:lvl w:ilvl="1" w:tplc="041B0019" w:tentative="1">
      <w:start w:val="1"/>
      <w:numFmt w:val="lowerLetter"/>
      <w:lvlText w:val="%2."/>
      <w:lvlJc w:val="left"/>
      <w:pPr>
        <w:ind w:left="1185" w:hanging="360"/>
      </w:pPr>
      <w:rPr>
        <w:rFonts w:cs="Times New Roman"/>
      </w:rPr>
    </w:lvl>
    <w:lvl w:ilvl="2" w:tplc="041B001B" w:tentative="1">
      <w:start w:val="1"/>
      <w:numFmt w:val="lowerRoman"/>
      <w:lvlText w:val="%3."/>
      <w:lvlJc w:val="right"/>
      <w:pPr>
        <w:ind w:left="1905" w:hanging="180"/>
      </w:pPr>
      <w:rPr>
        <w:rFonts w:cs="Times New Roman"/>
      </w:rPr>
    </w:lvl>
    <w:lvl w:ilvl="3" w:tplc="041B000F" w:tentative="1">
      <w:start w:val="1"/>
      <w:numFmt w:val="decimal"/>
      <w:lvlText w:val="%4."/>
      <w:lvlJc w:val="left"/>
      <w:pPr>
        <w:ind w:left="2625" w:hanging="360"/>
      </w:pPr>
      <w:rPr>
        <w:rFonts w:cs="Times New Roman"/>
      </w:rPr>
    </w:lvl>
    <w:lvl w:ilvl="4" w:tplc="041B0019" w:tentative="1">
      <w:start w:val="1"/>
      <w:numFmt w:val="lowerLetter"/>
      <w:lvlText w:val="%5."/>
      <w:lvlJc w:val="left"/>
      <w:pPr>
        <w:ind w:left="3345" w:hanging="360"/>
      </w:pPr>
      <w:rPr>
        <w:rFonts w:cs="Times New Roman"/>
      </w:rPr>
    </w:lvl>
    <w:lvl w:ilvl="5" w:tplc="041B001B" w:tentative="1">
      <w:start w:val="1"/>
      <w:numFmt w:val="lowerRoman"/>
      <w:lvlText w:val="%6."/>
      <w:lvlJc w:val="right"/>
      <w:pPr>
        <w:ind w:left="4065" w:hanging="180"/>
      </w:pPr>
      <w:rPr>
        <w:rFonts w:cs="Times New Roman"/>
      </w:rPr>
    </w:lvl>
    <w:lvl w:ilvl="6" w:tplc="041B000F" w:tentative="1">
      <w:start w:val="1"/>
      <w:numFmt w:val="decimal"/>
      <w:lvlText w:val="%7."/>
      <w:lvlJc w:val="left"/>
      <w:pPr>
        <w:ind w:left="4785" w:hanging="360"/>
      </w:pPr>
      <w:rPr>
        <w:rFonts w:cs="Times New Roman"/>
      </w:rPr>
    </w:lvl>
    <w:lvl w:ilvl="7" w:tplc="041B0019" w:tentative="1">
      <w:start w:val="1"/>
      <w:numFmt w:val="lowerLetter"/>
      <w:lvlText w:val="%8."/>
      <w:lvlJc w:val="left"/>
      <w:pPr>
        <w:ind w:left="5505" w:hanging="360"/>
      </w:pPr>
      <w:rPr>
        <w:rFonts w:cs="Times New Roman"/>
      </w:rPr>
    </w:lvl>
    <w:lvl w:ilvl="8" w:tplc="041B001B" w:tentative="1">
      <w:start w:val="1"/>
      <w:numFmt w:val="lowerRoman"/>
      <w:lvlText w:val="%9."/>
      <w:lvlJc w:val="right"/>
      <w:pPr>
        <w:ind w:left="6225" w:hanging="180"/>
      </w:pPr>
      <w:rPr>
        <w:rFonts w:cs="Times New Roman"/>
      </w:rPr>
    </w:lvl>
  </w:abstractNum>
  <w:abstractNum w:abstractNumId="18" w15:restartNumberingAfterBreak="0">
    <w:nsid w:val="42AF0416"/>
    <w:multiLevelType w:val="hybridMultilevel"/>
    <w:tmpl w:val="DAB609AA"/>
    <w:lvl w:ilvl="0" w:tplc="041B0017">
      <w:start w:val="1"/>
      <w:numFmt w:val="lowerLetter"/>
      <w:lvlText w:val="%1)"/>
      <w:lvlJc w:val="left"/>
      <w:pPr>
        <w:ind w:left="717" w:hanging="360"/>
      </w:pPr>
      <w:rPr>
        <w:rFonts w:cs="Times New Roman"/>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19" w15:restartNumberingAfterBreak="0">
    <w:nsid w:val="450C0FB4"/>
    <w:multiLevelType w:val="hybridMultilevel"/>
    <w:tmpl w:val="CE02E25A"/>
    <w:lvl w:ilvl="0" w:tplc="42983BC8">
      <w:start w:val="1"/>
      <w:numFmt w:val="decimal"/>
      <w:lvlText w:val="%1."/>
      <w:lvlJc w:val="left"/>
      <w:pPr>
        <w:ind w:left="360" w:hanging="360"/>
      </w:pPr>
      <w:rPr>
        <w:rFonts w:ascii="Times New Roman" w:hAnsi="Times New Roman" w:cs="Times New Roman" w:hint="default"/>
        <w:b w:val="0"/>
        <w:sz w:val="24"/>
        <w:szCs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4BB76D4C"/>
    <w:multiLevelType w:val="hybridMultilevel"/>
    <w:tmpl w:val="8A92A51E"/>
    <w:lvl w:ilvl="0" w:tplc="041B0017">
      <w:start w:val="1"/>
      <w:numFmt w:val="lowerLetter"/>
      <w:lvlText w:val="%1)"/>
      <w:lvlJc w:val="left"/>
      <w:pPr>
        <w:ind w:left="717" w:hanging="360"/>
      </w:pPr>
      <w:rPr>
        <w:rFonts w:cs="Times New Roman"/>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21" w15:restartNumberingAfterBreak="0">
    <w:nsid w:val="4BE83A9D"/>
    <w:multiLevelType w:val="hybridMultilevel"/>
    <w:tmpl w:val="B5680816"/>
    <w:lvl w:ilvl="0" w:tplc="30AEE7E4">
      <w:start w:val="1"/>
      <w:numFmt w:val="lowerLetter"/>
      <w:lvlText w:val="%1)"/>
      <w:lvlJc w:val="left"/>
      <w:pPr>
        <w:ind w:left="717" w:hanging="360"/>
      </w:pPr>
      <w:rPr>
        <w:rFonts w:cs="Times New Roman" w:hint="default"/>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22" w15:restartNumberingAfterBreak="0">
    <w:nsid w:val="50DC575E"/>
    <w:multiLevelType w:val="hybridMultilevel"/>
    <w:tmpl w:val="00DEB354"/>
    <w:lvl w:ilvl="0" w:tplc="041B0017">
      <w:start w:val="1"/>
      <w:numFmt w:val="lowerLetter"/>
      <w:lvlText w:val="%1)"/>
      <w:lvlJc w:val="left"/>
      <w:pPr>
        <w:ind w:left="717" w:hanging="360"/>
      </w:pPr>
      <w:rPr>
        <w:rFonts w:cs="Times New Roman"/>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23" w15:restartNumberingAfterBreak="0">
    <w:nsid w:val="53E5410E"/>
    <w:multiLevelType w:val="hybridMultilevel"/>
    <w:tmpl w:val="351E3808"/>
    <w:lvl w:ilvl="0" w:tplc="2490F9FE">
      <w:start w:val="3"/>
      <w:numFmt w:val="bullet"/>
      <w:lvlText w:val="-"/>
      <w:lvlJc w:val="left"/>
      <w:pPr>
        <w:ind w:left="720" w:hanging="360"/>
      </w:pPr>
      <w:rPr>
        <w:rFonts w:ascii="Times" w:eastAsia="Times New Roman" w:hAnsi="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003114"/>
    <w:multiLevelType w:val="hybridMultilevel"/>
    <w:tmpl w:val="02CC9972"/>
    <w:lvl w:ilvl="0" w:tplc="5328A280">
      <w:start w:val="1"/>
      <w:numFmt w:val="decimal"/>
      <w:lvlText w:val="(%1)"/>
      <w:lvlJc w:val="left"/>
      <w:pPr>
        <w:ind w:left="664" w:hanging="332"/>
      </w:pPr>
      <w:rPr>
        <w:rFonts w:ascii="TeX Gyre Bonum" w:eastAsia="Times New Roman" w:hAnsi="TeX Gyre Bonum" w:cs="TeX Gyre Bonum" w:hint="default"/>
        <w:w w:val="100"/>
        <w:sz w:val="20"/>
        <w:szCs w:val="20"/>
      </w:rPr>
    </w:lvl>
    <w:lvl w:ilvl="1" w:tplc="AC8AC0FC">
      <w:numFmt w:val="bullet"/>
      <w:lvlText w:val="•"/>
      <w:lvlJc w:val="left"/>
      <w:pPr>
        <w:ind w:left="1586" w:hanging="332"/>
      </w:pPr>
      <w:rPr>
        <w:rFonts w:hint="default"/>
      </w:rPr>
    </w:lvl>
    <w:lvl w:ilvl="2" w:tplc="04DA8108">
      <w:numFmt w:val="bullet"/>
      <w:lvlText w:val="•"/>
      <w:lvlJc w:val="left"/>
      <w:pPr>
        <w:ind w:left="2512" w:hanging="332"/>
      </w:pPr>
      <w:rPr>
        <w:rFonts w:hint="default"/>
      </w:rPr>
    </w:lvl>
    <w:lvl w:ilvl="3" w:tplc="7B8E98F6">
      <w:numFmt w:val="bullet"/>
      <w:lvlText w:val="•"/>
      <w:lvlJc w:val="left"/>
      <w:pPr>
        <w:ind w:left="3439" w:hanging="332"/>
      </w:pPr>
      <w:rPr>
        <w:rFonts w:hint="default"/>
      </w:rPr>
    </w:lvl>
    <w:lvl w:ilvl="4" w:tplc="C200F366">
      <w:numFmt w:val="bullet"/>
      <w:lvlText w:val="•"/>
      <w:lvlJc w:val="left"/>
      <w:pPr>
        <w:ind w:left="4365" w:hanging="332"/>
      </w:pPr>
      <w:rPr>
        <w:rFonts w:hint="default"/>
      </w:rPr>
    </w:lvl>
    <w:lvl w:ilvl="5" w:tplc="33523B52">
      <w:numFmt w:val="bullet"/>
      <w:lvlText w:val="•"/>
      <w:lvlJc w:val="left"/>
      <w:pPr>
        <w:ind w:left="5292" w:hanging="332"/>
      </w:pPr>
      <w:rPr>
        <w:rFonts w:hint="default"/>
      </w:rPr>
    </w:lvl>
    <w:lvl w:ilvl="6" w:tplc="39C0EC3E">
      <w:numFmt w:val="bullet"/>
      <w:lvlText w:val="•"/>
      <w:lvlJc w:val="left"/>
      <w:pPr>
        <w:ind w:left="6218" w:hanging="332"/>
      </w:pPr>
      <w:rPr>
        <w:rFonts w:hint="default"/>
      </w:rPr>
    </w:lvl>
    <w:lvl w:ilvl="7" w:tplc="A9269258">
      <w:numFmt w:val="bullet"/>
      <w:lvlText w:val="•"/>
      <w:lvlJc w:val="left"/>
      <w:pPr>
        <w:ind w:left="7145" w:hanging="332"/>
      </w:pPr>
      <w:rPr>
        <w:rFonts w:hint="default"/>
      </w:rPr>
    </w:lvl>
    <w:lvl w:ilvl="8" w:tplc="A000C098">
      <w:numFmt w:val="bullet"/>
      <w:lvlText w:val="•"/>
      <w:lvlJc w:val="left"/>
      <w:pPr>
        <w:ind w:left="8071" w:hanging="332"/>
      </w:pPr>
      <w:rPr>
        <w:rFonts w:hint="default"/>
      </w:rPr>
    </w:lvl>
  </w:abstractNum>
  <w:abstractNum w:abstractNumId="25" w15:restartNumberingAfterBreak="0">
    <w:nsid w:val="55A0289F"/>
    <w:multiLevelType w:val="hybridMultilevel"/>
    <w:tmpl w:val="19066B6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6" w15:restartNumberingAfterBreak="0">
    <w:nsid w:val="56AC59D4"/>
    <w:multiLevelType w:val="hybridMultilevel"/>
    <w:tmpl w:val="B5D89932"/>
    <w:lvl w:ilvl="0" w:tplc="73A4EF58">
      <w:start w:val="1"/>
      <w:numFmt w:val="lowerLetter"/>
      <w:lvlText w:val="%1)"/>
      <w:lvlJc w:val="left"/>
      <w:pPr>
        <w:ind w:left="717" w:hanging="360"/>
      </w:pPr>
      <w:rPr>
        <w:rFonts w:cs="Times New Roman"/>
        <w:strike w:val="0"/>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27" w15:restartNumberingAfterBreak="0">
    <w:nsid w:val="56B47CA2"/>
    <w:multiLevelType w:val="hybridMultilevel"/>
    <w:tmpl w:val="27E6EDA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894633E"/>
    <w:multiLevelType w:val="hybridMultilevel"/>
    <w:tmpl w:val="0FD25384"/>
    <w:lvl w:ilvl="0" w:tplc="73A4EF58">
      <w:start w:val="1"/>
      <w:numFmt w:val="lowerLetter"/>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7090497"/>
    <w:multiLevelType w:val="hybridMultilevel"/>
    <w:tmpl w:val="AED83CC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83D2831"/>
    <w:multiLevelType w:val="hybridMultilevel"/>
    <w:tmpl w:val="6C42826E"/>
    <w:lvl w:ilvl="0" w:tplc="C0F4E0A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F416B2E"/>
    <w:multiLevelType w:val="hybridMultilevel"/>
    <w:tmpl w:val="F6DA997A"/>
    <w:lvl w:ilvl="0" w:tplc="C7C0A992">
      <w:start w:val="1"/>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FAA0DBE"/>
    <w:multiLevelType w:val="hybridMultilevel"/>
    <w:tmpl w:val="B8F29766"/>
    <w:lvl w:ilvl="0" w:tplc="041B0017">
      <w:start w:val="1"/>
      <w:numFmt w:val="lowerLetter"/>
      <w:lvlText w:val="%1)"/>
      <w:lvlJc w:val="left"/>
      <w:pPr>
        <w:ind w:left="717" w:hanging="360"/>
      </w:pPr>
      <w:rPr>
        <w:rFonts w:cs="Times New Roman"/>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33" w15:restartNumberingAfterBreak="0">
    <w:nsid w:val="747A4DB3"/>
    <w:multiLevelType w:val="hybridMultilevel"/>
    <w:tmpl w:val="41E4593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74C7597"/>
    <w:multiLevelType w:val="hybridMultilevel"/>
    <w:tmpl w:val="FAAAE150"/>
    <w:lvl w:ilvl="0" w:tplc="80024922">
      <w:start w:val="1"/>
      <w:numFmt w:val="decimal"/>
      <w:lvlText w:val="(%1)"/>
      <w:lvlJc w:val="left"/>
      <w:pPr>
        <w:ind w:left="105" w:hanging="313"/>
      </w:pPr>
      <w:rPr>
        <w:rFonts w:ascii="TeX Gyre Bonum" w:eastAsia="Times New Roman" w:hAnsi="TeX Gyre Bonum" w:cs="TeX Gyre Bonum" w:hint="default"/>
        <w:w w:val="100"/>
        <w:sz w:val="20"/>
        <w:szCs w:val="20"/>
      </w:rPr>
    </w:lvl>
    <w:lvl w:ilvl="1" w:tplc="33CA4C6C">
      <w:numFmt w:val="bullet"/>
      <w:lvlText w:val="•"/>
      <w:lvlJc w:val="left"/>
      <w:pPr>
        <w:ind w:left="1082" w:hanging="313"/>
      </w:pPr>
      <w:rPr>
        <w:rFonts w:hint="default"/>
      </w:rPr>
    </w:lvl>
    <w:lvl w:ilvl="2" w:tplc="53E842CE">
      <w:numFmt w:val="bullet"/>
      <w:lvlText w:val="•"/>
      <w:lvlJc w:val="left"/>
      <w:pPr>
        <w:ind w:left="2064" w:hanging="313"/>
      </w:pPr>
      <w:rPr>
        <w:rFonts w:hint="default"/>
      </w:rPr>
    </w:lvl>
    <w:lvl w:ilvl="3" w:tplc="572A3D5A">
      <w:numFmt w:val="bullet"/>
      <w:lvlText w:val="•"/>
      <w:lvlJc w:val="left"/>
      <w:pPr>
        <w:ind w:left="3047" w:hanging="313"/>
      </w:pPr>
      <w:rPr>
        <w:rFonts w:hint="default"/>
      </w:rPr>
    </w:lvl>
    <w:lvl w:ilvl="4" w:tplc="224CFF1C">
      <w:numFmt w:val="bullet"/>
      <w:lvlText w:val="•"/>
      <w:lvlJc w:val="left"/>
      <w:pPr>
        <w:ind w:left="4029" w:hanging="313"/>
      </w:pPr>
      <w:rPr>
        <w:rFonts w:hint="default"/>
      </w:rPr>
    </w:lvl>
    <w:lvl w:ilvl="5" w:tplc="85FCB424">
      <w:numFmt w:val="bullet"/>
      <w:lvlText w:val="•"/>
      <w:lvlJc w:val="left"/>
      <w:pPr>
        <w:ind w:left="5012" w:hanging="313"/>
      </w:pPr>
      <w:rPr>
        <w:rFonts w:hint="default"/>
      </w:rPr>
    </w:lvl>
    <w:lvl w:ilvl="6" w:tplc="6B10A6BA">
      <w:numFmt w:val="bullet"/>
      <w:lvlText w:val="•"/>
      <w:lvlJc w:val="left"/>
      <w:pPr>
        <w:ind w:left="5994" w:hanging="313"/>
      </w:pPr>
      <w:rPr>
        <w:rFonts w:hint="default"/>
      </w:rPr>
    </w:lvl>
    <w:lvl w:ilvl="7" w:tplc="D56E59CC">
      <w:numFmt w:val="bullet"/>
      <w:lvlText w:val="•"/>
      <w:lvlJc w:val="left"/>
      <w:pPr>
        <w:ind w:left="6977" w:hanging="313"/>
      </w:pPr>
      <w:rPr>
        <w:rFonts w:hint="default"/>
      </w:rPr>
    </w:lvl>
    <w:lvl w:ilvl="8" w:tplc="5148CF70">
      <w:numFmt w:val="bullet"/>
      <w:lvlText w:val="•"/>
      <w:lvlJc w:val="left"/>
      <w:pPr>
        <w:ind w:left="7959" w:hanging="313"/>
      </w:pPr>
      <w:rPr>
        <w:rFonts w:hint="default"/>
      </w:rPr>
    </w:lvl>
  </w:abstractNum>
  <w:abstractNum w:abstractNumId="35" w15:restartNumberingAfterBreak="0">
    <w:nsid w:val="7A4334A2"/>
    <w:multiLevelType w:val="hybridMultilevel"/>
    <w:tmpl w:val="CDFCD9CA"/>
    <w:lvl w:ilvl="0" w:tplc="69B6CE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34"/>
  </w:num>
  <w:num w:numId="3">
    <w:abstractNumId w:val="24"/>
  </w:num>
  <w:num w:numId="4">
    <w:abstractNumId w:val="6"/>
  </w:num>
  <w:num w:numId="5">
    <w:abstractNumId w:val="11"/>
  </w:num>
  <w:num w:numId="6">
    <w:abstractNumId w:val="19"/>
  </w:num>
  <w:num w:numId="7">
    <w:abstractNumId w:val="15"/>
  </w:num>
  <w:num w:numId="8">
    <w:abstractNumId w:val="1"/>
  </w:num>
  <w:num w:numId="9">
    <w:abstractNumId w:val="33"/>
  </w:num>
  <w:num w:numId="10">
    <w:abstractNumId w:val="29"/>
  </w:num>
  <w:num w:numId="11">
    <w:abstractNumId w:val="14"/>
  </w:num>
  <w:num w:numId="12">
    <w:abstractNumId w:val="4"/>
  </w:num>
  <w:num w:numId="13">
    <w:abstractNumId w:val="20"/>
  </w:num>
  <w:num w:numId="14">
    <w:abstractNumId w:val="12"/>
  </w:num>
  <w:num w:numId="15">
    <w:abstractNumId w:val="35"/>
  </w:num>
  <w:num w:numId="16">
    <w:abstractNumId w:val="10"/>
  </w:num>
  <w:num w:numId="17">
    <w:abstractNumId w:val="2"/>
  </w:num>
  <w:num w:numId="18">
    <w:abstractNumId w:val="31"/>
  </w:num>
  <w:num w:numId="19">
    <w:abstractNumId w:val="0"/>
  </w:num>
  <w:num w:numId="20">
    <w:abstractNumId w:val="21"/>
  </w:num>
  <w:num w:numId="21">
    <w:abstractNumId w:val="9"/>
  </w:num>
  <w:num w:numId="22">
    <w:abstractNumId w:val="13"/>
  </w:num>
  <w:num w:numId="23">
    <w:abstractNumId w:val="7"/>
  </w:num>
  <w:num w:numId="24">
    <w:abstractNumId w:val="27"/>
  </w:num>
  <w:num w:numId="25">
    <w:abstractNumId w:val="30"/>
  </w:num>
  <w:num w:numId="26">
    <w:abstractNumId w:val="23"/>
  </w:num>
  <w:num w:numId="27">
    <w:abstractNumId w:val="26"/>
  </w:num>
  <w:num w:numId="28">
    <w:abstractNumId w:val="17"/>
  </w:num>
  <w:num w:numId="29">
    <w:abstractNumId w:val="28"/>
  </w:num>
  <w:num w:numId="30">
    <w:abstractNumId w:val="32"/>
  </w:num>
  <w:num w:numId="31">
    <w:abstractNumId w:val="8"/>
  </w:num>
  <w:num w:numId="32">
    <w:abstractNumId w:val="22"/>
  </w:num>
  <w:num w:numId="33">
    <w:abstractNumId w:val="16"/>
  </w:num>
  <w:num w:numId="34">
    <w:abstractNumId w:val="25"/>
  </w:num>
  <w:num w:numId="35">
    <w:abstractNumId w:val="18"/>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AB"/>
    <w:rsid w:val="00001AE4"/>
    <w:rsid w:val="00004016"/>
    <w:rsid w:val="0000510E"/>
    <w:rsid w:val="00006223"/>
    <w:rsid w:val="000102FB"/>
    <w:rsid w:val="00014008"/>
    <w:rsid w:val="00017A3F"/>
    <w:rsid w:val="000241A6"/>
    <w:rsid w:val="000318A9"/>
    <w:rsid w:val="00031A1C"/>
    <w:rsid w:val="00031C6E"/>
    <w:rsid w:val="00036A8E"/>
    <w:rsid w:val="00041C1E"/>
    <w:rsid w:val="00051778"/>
    <w:rsid w:val="00062F68"/>
    <w:rsid w:val="0006746D"/>
    <w:rsid w:val="00071E48"/>
    <w:rsid w:val="000747F4"/>
    <w:rsid w:val="00076C27"/>
    <w:rsid w:val="00077037"/>
    <w:rsid w:val="00077AFB"/>
    <w:rsid w:val="000872B4"/>
    <w:rsid w:val="00093CD2"/>
    <w:rsid w:val="00096103"/>
    <w:rsid w:val="00096B5A"/>
    <w:rsid w:val="00097457"/>
    <w:rsid w:val="00097BCA"/>
    <w:rsid w:val="000A1C6E"/>
    <w:rsid w:val="000A6F7E"/>
    <w:rsid w:val="000B4FB5"/>
    <w:rsid w:val="000B5DFC"/>
    <w:rsid w:val="000B6D1E"/>
    <w:rsid w:val="000C189F"/>
    <w:rsid w:val="000C3E3C"/>
    <w:rsid w:val="000D436E"/>
    <w:rsid w:val="000E0C66"/>
    <w:rsid w:val="000F3059"/>
    <w:rsid w:val="000F511D"/>
    <w:rsid w:val="00100950"/>
    <w:rsid w:val="001072DE"/>
    <w:rsid w:val="00111B7A"/>
    <w:rsid w:val="00114C91"/>
    <w:rsid w:val="00121D54"/>
    <w:rsid w:val="001255E0"/>
    <w:rsid w:val="001273EF"/>
    <w:rsid w:val="0013071D"/>
    <w:rsid w:val="00134B22"/>
    <w:rsid w:val="001351CE"/>
    <w:rsid w:val="0013528E"/>
    <w:rsid w:val="00141351"/>
    <w:rsid w:val="00142908"/>
    <w:rsid w:val="0014321F"/>
    <w:rsid w:val="001432F2"/>
    <w:rsid w:val="00144964"/>
    <w:rsid w:val="00144DA2"/>
    <w:rsid w:val="00145C86"/>
    <w:rsid w:val="00146616"/>
    <w:rsid w:val="00155567"/>
    <w:rsid w:val="00156047"/>
    <w:rsid w:val="00156BBC"/>
    <w:rsid w:val="00157D17"/>
    <w:rsid w:val="00160581"/>
    <w:rsid w:val="00167943"/>
    <w:rsid w:val="00172DBD"/>
    <w:rsid w:val="00177263"/>
    <w:rsid w:val="00177485"/>
    <w:rsid w:val="00177A77"/>
    <w:rsid w:val="00180548"/>
    <w:rsid w:val="001814F3"/>
    <w:rsid w:val="00182BA0"/>
    <w:rsid w:val="00183E28"/>
    <w:rsid w:val="00185FB8"/>
    <w:rsid w:val="0018766F"/>
    <w:rsid w:val="00187F3C"/>
    <w:rsid w:val="001A24DC"/>
    <w:rsid w:val="001A5A32"/>
    <w:rsid w:val="001A5B51"/>
    <w:rsid w:val="001A7C1A"/>
    <w:rsid w:val="001B1F17"/>
    <w:rsid w:val="001B2168"/>
    <w:rsid w:val="001B3523"/>
    <w:rsid w:val="001B44C2"/>
    <w:rsid w:val="001C2A87"/>
    <w:rsid w:val="001C4EC6"/>
    <w:rsid w:val="001C528B"/>
    <w:rsid w:val="001C69C5"/>
    <w:rsid w:val="001D3244"/>
    <w:rsid w:val="001D4D00"/>
    <w:rsid w:val="001D7A67"/>
    <w:rsid w:val="001E120C"/>
    <w:rsid w:val="001E2B30"/>
    <w:rsid w:val="001E34E2"/>
    <w:rsid w:val="001E597A"/>
    <w:rsid w:val="001E7AF6"/>
    <w:rsid w:val="001F20DD"/>
    <w:rsid w:val="001F5519"/>
    <w:rsid w:val="001F67E5"/>
    <w:rsid w:val="002017B9"/>
    <w:rsid w:val="00201A39"/>
    <w:rsid w:val="00216053"/>
    <w:rsid w:val="00216930"/>
    <w:rsid w:val="0023264D"/>
    <w:rsid w:val="00241242"/>
    <w:rsid w:val="00245FF5"/>
    <w:rsid w:val="00246A2F"/>
    <w:rsid w:val="002470C1"/>
    <w:rsid w:val="00253875"/>
    <w:rsid w:val="00257826"/>
    <w:rsid w:val="00260A6B"/>
    <w:rsid w:val="00265A8E"/>
    <w:rsid w:val="002767A2"/>
    <w:rsid w:val="00284325"/>
    <w:rsid w:val="00285094"/>
    <w:rsid w:val="002949A2"/>
    <w:rsid w:val="00295293"/>
    <w:rsid w:val="002A66A6"/>
    <w:rsid w:val="002A6AFB"/>
    <w:rsid w:val="002B49CD"/>
    <w:rsid w:val="002B5EAF"/>
    <w:rsid w:val="002C0521"/>
    <w:rsid w:val="002C173B"/>
    <w:rsid w:val="002D21F0"/>
    <w:rsid w:val="002D4BAC"/>
    <w:rsid w:val="002D4DEB"/>
    <w:rsid w:val="002D60F5"/>
    <w:rsid w:val="002E0857"/>
    <w:rsid w:val="002E1064"/>
    <w:rsid w:val="002E3BDB"/>
    <w:rsid w:val="002F328D"/>
    <w:rsid w:val="002F3710"/>
    <w:rsid w:val="002F5B9D"/>
    <w:rsid w:val="002F713D"/>
    <w:rsid w:val="003024AB"/>
    <w:rsid w:val="00303A0F"/>
    <w:rsid w:val="00315B72"/>
    <w:rsid w:val="0032507D"/>
    <w:rsid w:val="003303DA"/>
    <w:rsid w:val="0033043E"/>
    <w:rsid w:val="00330A91"/>
    <w:rsid w:val="003353CE"/>
    <w:rsid w:val="003424B3"/>
    <w:rsid w:val="003448C3"/>
    <w:rsid w:val="00347857"/>
    <w:rsid w:val="00353811"/>
    <w:rsid w:val="003543C2"/>
    <w:rsid w:val="00354BF6"/>
    <w:rsid w:val="0036037B"/>
    <w:rsid w:val="00360C05"/>
    <w:rsid w:val="00360D9D"/>
    <w:rsid w:val="0036323F"/>
    <w:rsid w:val="00364C49"/>
    <w:rsid w:val="00364EF2"/>
    <w:rsid w:val="00366095"/>
    <w:rsid w:val="00372D75"/>
    <w:rsid w:val="00373377"/>
    <w:rsid w:val="0037471E"/>
    <w:rsid w:val="00381B87"/>
    <w:rsid w:val="00381D6A"/>
    <w:rsid w:val="00387CAB"/>
    <w:rsid w:val="003A0790"/>
    <w:rsid w:val="003A22E9"/>
    <w:rsid w:val="003A3448"/>
    <w:rsid w:val="003A5317"/>
    <w:rsid w:val="003A5F82"/>
    <w:rsid w:val="003A655D"/>
    <w:rsid w:val="003B1C86"/>
    <w:rsid w:val="003B37E1"/>
    <w:rsid w:val="003B3E00"/>
    <w:rsid w:val="003B4A33"/>
    <w:rsid w:val="003C031E"/>
    <w:rsid w:val="003C0D26"/>
    <w:rsid w:val="003C1BD7"/>
    <w:rsid w:val="003C27B4"/>
    <w:rsid w:val="003C49AD"/>
    <w:rsid w:val="003C7867"/>
    <w:rsid w:val="003D3498"/>
    <w:rsid w:val="003E480B"/>
    <w:rsid w:val="003F0362"/>
    <w:rsid w:val="003F16A5"/>
    <w:rsid w:val="003F2E3E"/>
    <w:rsid w:val="003F405A"/>
    <w:rsid w:val="003F6501"/>
    <w:rsid w:val="004002C5"/>
    <w:rsid w:val="00400FC8"/>
    <w:rsid w:val="00403ABA"/>
    <w:rsid w:val="00406BCC"/>
    <w:rsid w:val="00420855"/>
    <w:rsid w:val="00426500"/>
    <w:rsid w:val="00427F84"/>
    <w:rsid w:val="0043055D"/>
    <w:rsid w:val="00432F32"/>
    <w:rsid w:val="0043553D"/>
    <w:rsid w:val="00435974"/>
    <w:rsid w:val="004402B9"/>
    <w:rsid w:val="00444CD2"/>
    <w:rsid w:val="00444F44"/>
    <w:rsid w:val="00452646"/>
    <w:rsid w:val="00453C9C"/>
    <w:rsid w:val="0046401C"/>
    <w:rsid w:val="004657E7"/>
    <w:rsid w:val="00466A97"/>
    <w:rsid w:val="0047252B"/>
    <w:rsid w:val="0047563C"/>
    <w:rsid w:val="00475748"/>
    <w:rsid w:val="00494EA9"/>
    <w:rsid w:val="00495765"/>
    <w:rsid w:val="004A0C65"/>
    <w:rsid w:val="004B185A"/>
    <w:rsid w:val="004B29F8"/>
    <w:rsid w:val="004C520D"/>
    <w:rsid w:val="004D1089"/>
    <w:rsid w:val="004D2CDF"/>
    <w:rsid w:val="004D6974"/>
    <w:rsid w:val="004E27D4"/>
    <w:rsid w:val="004E5C00"/>
    <w:rsid w:val="004E6B59"/>
    <w:rsid w:val="0050155C"/>
    <w:rsid w:val="00504BDE"/>
    <w:rsid w:val="005054B1"/>
    <w:rsid w:val="00505D4B"/>
    <w:rsid w:val="00506C20"/>
    <w:rsid w:val="00507AEE"/>
    <w:rsid w:val="00510A41"/>
    <w:rsid w:val="00511883"/>
    <w:rsid w:val="00511890"/>
    <w:rsid w:val="00512145"/>
    <w:rsid w:val="00513AC7"/>
    <w:rsid w:val="00515F9D"/>
    <w:rsid w:val="0051641A"/>
    <w:rsid w:val="00520A25"/>
    <w:rsid w:val="005237A9"/>
    <w:rsid w:val="005245E8"/>
    <w:rsid w:val="0053139B"/>
    <w:rsid w:val="00531641"/>
    <w:rsid w:val="005325AC"/>
    <w:rsid w:val="00533AA5"/>
    <w:rsid w:val="005352DF"/>
    <w:rsid w:val="00535D4E"/>
    <w:rsid w:val="00540812"/>
    <w:rsid w:val="00541D75"/>
    <w:rsid w:val="0054224C"/>
    <w:rsid w:val="005467A2"/>
    <w:rsid w:val="005507F1"/>
    <w:rsid w:val="00550F0F"/>
    <w:rsid w:val="005533FA"/>
    <w:rsid w:val="0055578D"/>
    <w:rsid w:val="00557B5B"/>
    <w:rsid w:val="00561EF2"/>
    <w:rsid w:val="00570078"/>
    <w:rsid w:val="00572AC8"/>
    <w:rsid w:val="00572C58"/>
    <w:rsid w:val="00574922"/>
    <w:rsid w:val="00577F97"/>
    <w:rsid w:val="00581F92"/>
    <w:rsid w:val="005846AB"/>
    <w:rsid w:val="00587BE4"/>
    <w:rsid w:val="00592549"/>
    <w:rsid w:val="0059329B"/>
    <w:rsid w:val="005967D4"/>
    <w:rsid w:val="00597A6B"/>
    <w:rsid w:val="005A03C4"/>
    <w:rsid w:val="005A19E8"/>
    <w:rsid w:val="005A5825"/>
    <w:rsid w:val="005A7E49"/>
    <w:rsid w:val="005B46D0"/>
    <w:rsid w:val="005B555F"/>
    <w:rsid w:val="005D0141"/>
    <w:rsid w:val="005D2EF5"/>
    <w:rsid w:val="005D6CDC"/>
    <w:rsid w:val="005E21E7"/>
    <w:rsid w:val="005E4243"/>
    <w:rsid w:val="005F63EF"/>
    <w:rsid w:val="005F6A24"/>
    <w:rsid w:val="00600D7C"/>
    <w:rsid w:val="00602F5C"/>
    <w:rsid w:val="00603C63"/>
    <w:rsid w:val="006048BA"/>
    <w:rsid w:val="00605D86"/>
    <w:rsid w:val="00613074"/>
    <w:rsid w:val="00613BCE"/>
    <w:rsid w:val="0061463C"/>
    <w:rsid w:val="00615C03"/>
    <w:rsid w:val="00617F45"/>
    <w:rsid w:val="00633886"/>
    <w:rsid w:val="00633BF9"/>
    <w:rsid w:val="00633EE1"/>
    <w:rsid w:val="0063616B"/>
    <w:rsid w:val="006372E1"/>
    <w:rsid w:val="00640E68"/>
    <w:rsid w:val="00653D4C"/>
    <w:rsid w:val="0065455E"/>
    <w:rsid w:val="00657DF3"/>
    <w:rsid w:val="00662062"/>
    <w:rsid w:val="00662CD5"/>
    <w:rsid w:val="006640AE"/>
    <w:rsid w:val="00675B5C"/>
    <w:rsid w:val="00676410"/>
    <w:rsid w:val="00684914"/>
    <w:rsid w:val="00685B9F"/>
    <w:rsid w:val="00691FF0"/>
    <w:rsid w:val="00694687"/>
    <w:rsid w:val="00695CF4"/>
    <w:rsid w:val="006A3C29"/>
    <w:rsid w:val="006A4402"/>
    <w:rsid w:val="006A4EA7"/>
    <w:rsid w:val="006A54FF"/>
    <w:rsid w:val="006B5EAF"/>
    <w:rsid w:val="006B7130"/>
    <w:rsid w:val="006B7F2B"/>
    <w:rsid w:val="006F2F0A"/>
    <w:rsid w:val="006F314B"/>
    <w:rsid w:val="0070006B"/>
    <w:rsid w:val="00701AF9"/>
    <w:rsid w:val="00705348"/>
    <w:rsid w:val="00707503"/>
    <w:rsid w:val="007155A5"/>
    <w:rsid w:val="007310E9"/>
    <w:rsid w:val="007346EB"/>
    <w:rsid w:val="007354D6"/>
    <w:rsid w:val="00735BC8"/>
    <w:rsid w:val="00744D96"/>
    <w:rsid w:val="007466FE"/>
    <w:rsid w:val="00756A02"/>
    <w:rsid w:val="00763D97"/>
    <w:rsid w:val="00766435"/>
    <w:rsid w:val="007673F8"/>
    <w:rsid w:val="00773910"/>
    <w:rsid w:val="00775103"/>
    <w:rsid w:val="00775BEB"/>
    <w:rsid w:val="007825C9"/>
    <w:rsid w:val="007858E8"/>
    <w:rsid w:val="00791A66"/>
    <w:rsid w:val="00794843"/>
    <w:rsid w:val="00796C34"/>
    <w:rsid w:val="007A49CB"/>
    <w:rsid w:val="007A4D4C"/>
    <w:rsid w:val="007A5B55"/>
    <w:rsid w:val="007B0B63"/>
    <w:rsid w:val="007B27AB"/>
    <w:rsid w:val="007B5E7D"/>
    <w:rsid w:val="007B6939"/>
    <w:rsid w:val="007C28C9"/>
    <w:rsid w:val="007C7008"/>
    <w:rsid w:val="007D3778"/>
    <w:rsid w:val="007D37BF"/>
    <w:rsid w:val="007D5BE4"/>
    <w:rsid w:val="007D79B4"/>
    <w:rsid w:val="007E432B"/>
    <w:rsid w:val="007E51D6"/>
    <w:rsid w:val="007E5284"/>
    <w:rsid w:val="007E7FBB"/>
    <w:rsid w:val="007F2328"/>
    <w:rsid w:val="007F5B1D"/>
    <w:rsid w:val="007F7F2E"/>
    <w:rsid w:val="00804EAE"/>
    <w:rsid w:val="00805817"/>
    <w:rsid w:val="00805D1F"/>
    <w:rsid w:val="00807028"/>
    <w:rsid w:val="008144CD"/>
    <w:rsid w:val="00814C55"/>
    <w:rsid w:val="00816EED"/>
    <w:rsid w:val="008179FE"/>
    <w:rsid w:val="00817BF0"/>
    <w:rsid w:val="00821478"/>
    <w:rsid w:val="00822FF3"/>
    <w:rsid w:val="00824F37"/>
    <w:rsid w:val="008254E7"/>
    <w:rsid w:val="008367CF"/>
    <w:rsid w:val="0084433C"/>
    <w:rsid w:val="00844CCD"/>
    <w:rsid w:val="00850CFA"/>
    <w:rsid w:val="0085532E"/>
    <w:rsid w:val="00855E94"/>
    <w:rsid w:val="00860B7E"/>
    <w:rsid w:val="00863603"/>
    <w:rsid w:val="00863BDA"/>
    <w:rsid w:val="00873ABA"/>
    <w:rsid w:val="00874529"/>
    <w:rsid w:val="00874C34"/>
    <w:rsid w:val="008768D3"/>
    <w:rsid w:val="00893299"/>
    <w:rsid w:val="00894573"/>
    <w:rsid w:val="008A09CB"/>
    <w:rsid w:val="008B29E9"/>
    <w:rsid w:val="008B4C00"/>
    <w:rsid w:val="008C7377"/>
    <w:rsid w:val="008D5D16"/>
    <w:rsid w:val="008D768C"/>
    <w:rsid w:val="008F08AD"/>
    <w:rsid w:val="009036E6"/>
    <w:rsid w:val="009038E4"/>
    <w:rsid w:val="009078D4"/>
    <w:rsid w:val="009178A1"/>
    <w:rsid w:val="009269BA"/>
    <w:rsid w:val="00930164"/>
    <w:rsid w:val="00931231"/>
    <w:rsid w:val="0093384C"/>
    <w:rsid w:val="0093467E"/>
    <w:rsid w:val="0093541B"/>
    <w:rsid w:val="00937019"/>
    <w:rsid w:val="00942AA5"/>
    <w:rsid w:val="00945AD5"/>
    <w:rsid w:val="0096117A"/>
    <w:rsid w:val="00962263"/>
    <w:rsid w:val="009676AC"/>
    <w:rsid w:val="00974AF0"/>
    <w:rsid w:val="00975B16"/>
    <w:rsid w:val="00981635"/>
    <w:rsid w:val="0098291A"/>
    <w:rsid w:val="00982ED9"/>
    <w:rsid w:val="00983CA9"/>
    <w:rsid w:val="00992F2A"/>
    <w:rsid w:val="00997BE9"/>
    <w:rsid w:val="009A34A7"/>
    <w:rsid w:val="009A70B5"/>
    <w:rsid w:val="009B4BFB"/>
    <w:rsid w:val="009C09AA"/>
    <w:rsid w:val="009C1518"/>
    <w:rsid w:val="009D5CF3"/>
    <w:rsid w:val="009E4805"/>
    <w:rsid w:val="009E4C5B"/>
    <w:rsid w:val="009E51E5"/>
    <w:rsid w:val="009E5D4C"/>
    <w:rsid w:val="009E646D"/>
    <w:rsid w:val="009F3CB3"/>
    <w:rsid w:val="009F6BC7"/>
    <w:rsid w:val="009F7724"/>
    <w:rsid w:val="00A017A8"/>
    <w:rsid w:val="00A02941"/>
    <w:rsid w:val="00A02D75"/>
    <w:rsid w:val="00A1429A"/>
    <w:rsid w:val="00A21938"/>
    <w:rsid w:val="00A33EA8"/>
    <w:rsid w:val="00A377F9"/>
    <w:rsid w:val="00A37FEF"/>
    <w:rsid w:val="00A41906"/>
    <w:rsid w:val="00A42DFA"/>
    <w:rsid w:val="00A502FD"/>
    <w:rsid w:val="00A52C21"/>
    <w:rsid w:val="00A53B52"/>
    <w:rsid w:val="00A576A6"/>
    <w:rsid w:val="00A57D0E"/>
    <w:rsid w:val="00A63F84"/>
    <w:rsid w:val="00A64ED2"/>
    <w:rsid w:val="00A65C92"/>
    <w:rsid w:val="00A66E68"/>
    <w:rsid w:val="00A76149"/>
    <w:rsid w:val="00A77519"/>
    <w:rsid w:val="00A818B9"/>
    <w:rsid w:val="00A81EB0"/>
    <w:rsid w:val="00A86A85"/>
    <w:rsid w:val="00A9748B"/>
    <w:rsid w:val="00AA0075"/>
    <w:rsid w:val="00AA36C9"/>
    <w:rsid w:val="00AA5DA9"/>
    <w:rsid w:val="00AB1B50"/>
    <w:rsid w:val="00AB1F3C"/>
    <w:rsid w:val="00AB32DD"/>
    <w:rsid w:val="00AC0B15"/>
    <w:rsid w:val="00AC0F8D"/>
    <w:rsid w:val="00AC1AB9"/>
    <w:rsid w:val="00AC4492"/>
    <w:rsid w:val="00AD05AF"/>
    <w:rsid w:val="00AD6D57"/>
    <w:rsid w:val="00AE39F7"/>
    <w:rsid w:val="00AE4CC2"/>
    <w:rsid w:val="00AF02D6"/>
    <w:rsid w:val="00AF1E88"/>
    <w:rsid w:val="00AF35FD"/>
    <w:rsid w:val="00AF78D8"/>
    <w:rsid w:val="00B00C75"/>
    <w:rsid w:val="00B122E9"/>
    <w:rsid w:val="00B1696C"/>
    <w:rsid w:val="00B40AA5"/>
    <w:rsid w:val="00B42113"/>
    <w:rsid w:val="00B42C06"/>
    <w:rsid w:val="00B473F6"/>
    <w:rsid w:val="00B55E07"/>
    <w:rsid w:val="00B57543"/>
    <w:rsid w:val="00B60038"/>
    <w:rsid w:val="00B61310"/>
    <w:rsid w:val="00B63F31"/>
    <w:rsid w:val="00B652F4"/>
    <w:rsid w:val="00B7621A"/>
    <w:rsid w:val="00B847E8"/>
    <w:rsid w:val="00B84D37"/>
    <w:rsid w:val="00B84DA4"/>
    <w:rsid w:val="00B85F86"/>
    <w:rsid w:val="00B86235"/>
    <w:rsid w:val="00B9381A"/>
    <w:rsid w:val="00B9490E"/>
    <w:rsid w:val="00BA4FCF"/>
    <w:rsid w:val="00BA6D89"/>
    <w:rsid w:val="00BB569D"/>
    <w:rsid w:val="00BC23F9"/>
    <w:rsid w:val="00BD46D8"/>
    <w:rsid w:val="00BD60EC"/>
    <w:rsid w:val="00BD61B6"/>
    <w:rsid w:val="00BD7592"/>
    <w:rsid w:val="00BE3EF0"/>
    <w:rsid w:val="00BE6594"/>
    <w:rsid w:val="00BF0293"/>
    <w:rsid w:val="00BF3982"/>
    <w:rsid w:val="00C02920"/>
    <w:rsid w:val="00C0326C"/>
    <w:rsid w:val="00C03A91"/>
    <w:rsid w:val="00C07A04"/>
    <w:rsid w:val="00C15A5D"/>
    <w:rsid w:val="00C17F44"/>
    <w:rsid w:val="00C20557"/>
    <w:rsid w:val="00C21C04"/>
    <w:rsid w:val="00C22ECB"/>
    <w:rsid w:val="00C2624F"/>
    <w:rsid w:val="00C350D7"/>
    <w:rsid w:val="00C40AB3"/>
    <w:rsid w:val="00C44802"/>
    <w:rsid w:val="00C44BE1"/>
    <w:rsid w:val="00C52765"/>
    <w:rsid w:val="00C53BF4"/>
    <w:rsid w:val="00C60D7F"/>
    <w:rsid w:val="00C61AC2"/>
    <w:rsid w:val="00C749A4"/>
    <w:rsid w:val="00C76498"/>
    <w:rsid w:val="00C80F6F"/>
    <w:rsid w:val="00C9189C"/>
    <w:rsid w:val="00C9259A"/>
    <w:rsid w:val="00C92924"/>
    <w:rsid w:val="00C94A6C"/>
    <w:rsid w:val="00CA1666"/>
    <w:rsid w:val="00CA2C0D"/>
    <w:rsid w:val="00CA6856"/>
    <w:rsid w:val="00CB7D71"/>
    <w:rsid w:val="00CC398B"/>
    <w:rsid w:val="00CC5C76"/>
    <w:rsid w:val="00CD2141"/>
    <w:rsid w:val="00CD24CC"/>
    <w:rsid w:val="00CE7AB8"/>
    <w:rsid w:val="00CF0FCD"/>
    <w:rsid w:val="00CF121C"/>
    <w:rsid w:val="00CF1BF4"/>
    <w:rsid w:val="00CF31F0"/>
    <w:rsid w:val="00CF32FA"/>
    <w:rsid w:val="00CF587E"/>
    <w:rsid w:val="00CF6C82"/>
    <w:rsid w:val="00CF78FF"/>
    <w:rsid w:val="00D026A6"/>
    <w:rsid w:val="00D111E6"/>
    <w:rsid w:val="00D13A1D"/>
    <w:rsid w:val="00D13D0C"/>
    <w:rsid w:val="00D1447B"/>
    <w:rsid w:val="00D15DC7"/>
    <w:rsid w:val="00D237A3"/>
    <w:rsid w:val="00D32140"/>
    <w:rsid w:val="00D405E6"/>
    <w:rsid w:val="00D472A5"/>
    <w:rsid w:val="00D50F79"/>
    <w:rsid w:val="00D525B7"/>
    <w:rsid w:val="00D57156"/>
    <w:rsid w:val="00D770DF"/>
    <w:rsid w:val="00D82BF1"/>
    <w:rsid w:val="00D86F20"/>
    <w:rsid w:val="00D90408"/>
    <w:rsid w:val="00D93F3F"/>
    <w:rsid w:val="00D9585A"/>
    <w:rsid w:val="00D96F48"/>
    <w:rsid w:val="00DA1F2B"/>
    <w:rsid w:val="00DA1F66"/>
    <w:rsid w:val="00DB265E"/>
    <w:rsid w:val="00DB3CDA"/>
    <w:rsid w:val="00DB51F9"/>
    <w:rsid w:val="00DB63A4"/>
    <w:rsid w:val="00DC1D04"/>
    <w:rsid w:val="00DD24A2"/>
    <w:rsid w:val="00DD6A1A"/>
    <w:rsid w:val="00DE0125"/>
    <w:rsid w:val="00DE795E"/>
    <w:rsid w:val="00DF4728"/>
    <w:rsid w:val="00DF6B78"/>
    <w:rsid w:val="00E026FF"/>
    <w:rsid w:val="00E028AB"/>
    <w:rsid w:val="00E04C4D"/>
    <w:rsid w:val="00E14745"/>
    <w:rsid w:val="00E14DB5"/>
    <w:rsid w:val="00E16029"/>
    <w:rsid w:val="00E16975"/>
    <w:rsid w:val="00E20AA4"/>
    <w:rsid w:val="00E21432"/>
    <w:rsid w:val="00E21DF3"/>
    <w:rsid w:val="00E239F7"/>
    <w:rsid w:val="00E24198"/>
    <w:rsid w:val="00E24A58"/>
    <w:rsid w:val="00E25B10"/>
    <w:rsid w:val="00E35257"/>
    <w:rsid w:val="00E352A9"/>
    <w:rsid w:val="00E36846"/>
    <w:rsid w:val="00E455A2"/>
    <w:rsid w:val="00E4563C"/>
    <w:rsid w:val="00E57017"/>
    <w:rsid w:val="00E64998"/>
    <w:rsid w:val="00E77211"/>
    <w:rsid w:val="00E83978"/>
    <w:rsid w:val="00E85EB6"/>
    <w:rsid w:val="00E86BF8"/>
    <w:rsid w:val="00E93516"/>
    <w:rsid w:val="00EA05DD"/>
    <w:rsid w:val="00EA672B"/>
    <w:rsid w:val="00EC19A5"/>
    <w:rsid w:val="00EC3AC7"/>
    <w:rsid w:val="00ED22D4"/>
    <w:rsid w:val="00ED37BB"/>
    <w:rsid w:val="00ED5B3B"/>
    <w:rsid w:val="00EE7F83"/>
    <w:rsid w:val="00EF29EF"/>
    <w:rsid w:val="00EF5785"/>
    <w:rsid w:val="00EF6AFD"/>
    <w:rsid w:val="00EF7B3D"/>
    <w:rsid w:val="00F020D3"/>
    <w:rsid w:val="00F03C57"/>
    <w:rsid w:val="00F03FB2"/>
    <w:rsid w:val="00F07CD3"/>
    <w:rsid w:val="00F10B84"/>
    <w:rsid w:val="00F3096A"/>
    <w:rsid w:val="00F30F6D"/>
    <w:rsid w:val="00F33BF8"/>
    <w:rsid w:val="00F34D98"/>
    <w:rsid w:val="00F44102"/>
    <w:rsid w:val="00F520FB"/>
    <w:rsid w:val="00F559C0"/>
    <w:rsid w:val="00F61351"/>
    <w:rsid w:val="00F62F21"/>
    <w:rsid w:val="00F633B4"/>
    <w:rsid w:val="00F70B3A"/>
    <w:rsid w:val="00F75433"/>
    <w:rsid w:val="00F85EEF"/>
    <w:rsid w:val="00F8682C"/>
    <w:rsid w:val="00F95116"/>
    <w:rsid w:val="00FA361F"/>
    <w:rsid w:val="00FA5A3C"/>
    <w:rsid w:val="00FB1621"/>
    <w:rsid w:val="00FB3343"/>
    <w:rsid w:val="00FB5CF0"/>
    <w:rsid w:val="00FB5D34"/>
    <w:rsid w:val="00FB7114"/>
    <w:rsid w:val="00FC14E2"/>
    <w:rsid w:val="00FC16E0"/>
    <w:rsid w:val="00FC278F"/>
    <w:rsid w:val="00FC671D"/>
    <w:rsid w:val="00FD2AB4"/>
    <w:rsid w:val="00FD34C6"/>
    <w:rsid w:val="00FD7544"/>
    <w:rsid w:val="00FE2684"/>
    <w:rsid w:val="00FE3822"/>
    <w:rsid w:val="00FF6B3D"/>
    <w:rsid w:val="00FF7B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612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73F8"/>
    <w:rPr>
      <w:rFonts w:ascii="Times New Roman" w:eastAsia="Times New Roman" w:hAnsi="Times New Roman"/>
      <w:sz w:val="24"/>
      <w:szCs w:val="24"/>
    </w:rPr>
  </w:style>
  <w:style w:type="paragraph" w:styleId="Nadpis1">
    <w:name w:val="heading 1"/>
    <w:basedOn w:val="Normlny"/>
    <w:link w:val="Nadpis1Char"/>
    <w:uiPriority w:val="99"/>
    <w:qFormat/>
    <w:rsid w:val="00A9748B"/>
    <w:pPr>
      <w:widowControl w:val="0"/>
      <w:autoSpaceDE w:val="0"/>
      <w:autoSpaceDN w:val="0"/>
      <w:spacing w:line="283" w:lineRule="exact"/>
      <w:ind w:right="19"/>
      <w:jc w:val="center"/>
      <w:outlineLvl w:val="0"/>
    </w:pPr>
    <w:rPr>
      <w:rFonts w:ascii="TeX Gyre Bonum" w:eastAsia="Calibri" w:hAnsi="TeX Gyre Bonum" w:cs="TeX Gyre Bonum"/>
      <w:b/>
      <w:bCs/>
      <w:sz w:val="20"/>
      <w:szCs w:val="20"/>
      <w:lang w:eastAsia="en-US"/>
    </w:rPr>
  </w:style>
  <w:style w:type="paragraph" w:styleId="Nadpis3">
    <w:name w:val="heading 3"/>
    <w:basedOn w:val="Normlny"/>
    <w:next w:val="Normlny"/>
    <w:link w:val="Nadpis3Char"/>
    <w:uiPriority w:val="99"/>
    <w:qFormat/>
    <w:rsid w:val="00D50F79"/>
    <w:pPr>
      <w:keepNext/>
      <w:keepLines/>
      <w:spacing w:before="40"/>
      <w:outlineLvl w:val="2"/>
    </w:pPr>
    <w:rPr>
      <w:rFonts w:ascii="Calibri Light" w:hAnsi="Calibri Light"/>
      <w:color w:val="1F3763"/>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A9748B"/>
    <w:rPr>
      <w:rFonts w:ascii="TeX Gyre Bonum" w:eastAsia="Times New Roman" w:hAnsi="TeX Gyre Bonum" w:cs="TeX Gyre Bonum"/>
      <w:b/>
      <w:bCs/>
      <w:sz w:val="20"/>
      <w:szCs w:val="20"/>
    </w:rPr>
  </w:style>
  <w:style w:type="character" w:customStyle="1" w:styleId="Nadpis3Char">
    <w:name w:val="Nadpis 3 Char"/>
    <w:basedOn w:val="Predvolenpsmoodseku"/>
    <w:link w:val="Nadpis3"/>
    <w:uiPriority w:val="99"/>
    <w:semiHidden/>
    <w:locked/>
    <w:rsid w:val="00D50F79"/>
    <w:rPr>
      <w:rFonts w:ascii="Calibri Light" w:hAnsi="Calibri Light" w:cs="Times New Roman"/>
      <w:color w:val="1F3763"/>
      <w:lang w:eastAsia="sk-SK"/>
    </w:rPr>
  </w:style>
  <w:style w:type="character" w:styleId="Odkaznakomentr">
    <w:name w:val="annotation reference"/>
    <w:basedOn w:val="Predvolenpsmoodseku"/>
    <w:uiPriority w:val="99"/>
    <w:semiHidden/>
    <w:rsid w:val="00387CAB"/>
    <w:rPr>
      <w:rFonts w:cs="Times New Roman"/>
      <w:sz w:val="16"/>
      <w:szCs w:val="16"/>
    </w:rPr>
  </w:style>
  <w:style w:type="paragraph" w:styleId="Textkomentra">
    <w:name w:val="annotation text"/>
    <w:basedOn w:val="Normlny"/>
    <w:link w:val="TextkomentraChar"/>
    <w:uiPriority w:val="99"/>
    <w:rsid w:val="00387CAB"/>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locked/>
    <w:rsid w:val="00387CAB"/>
    <w:rPr>
      <w:rFonts w:cs="Times New Roman"/>
      <w:sz w:val="20"/>
      <w:szCs w:val="20"/>
    </w:rPr>
  </w:style>
  <w:style w:type="character" w:customStyle="1" w:styleId="apple-converted-space">
    <w:name w:val="apple-converted-space"/>
    <w:basedOn w:val="Predvolenpsmoodseku"/>
    <w:uiPriority w:val="99"/>
    <w:rsid w:val="00387CAB"/>
    <w:rPr>
      <w:rFonts w:cs="Times New Roman"/>
    </w:rPr>
  </w:style>
  <w:style w:type="character" w:styleId="Hypertextovprepojenie">
    <w:name w:val="Hyperlink"/>
    <w:basedOn w:val="Predvolenpsmoodseku"/>
    <w:uiPriority w:val="99"/>
    <w:rsid w:val="00387CAB"/>
    <w:rPr>
      <w:rFonts w:cs="Times New Roman"/>
      <w:color w:val="0000FF"/>
      <w:u w:val="single"/>
    </w:rPr>
  </w:style>
  <w:style w:type="paragraph" w:styleId="Odsekzoznamu">
    <w:name w:val="List Paragraph"/>
    <w:aliases w:val="Odsek zoznamu2"/>
    <w:basedOn w:val="Normlny"/>
    <w:link w:val="OdsekzoznamuChar"/>
    <w:uiPriority w:val="99"/>
    <w:qFormat/>
    <w:rsid w:val="00EA05DD"/>
    <w:pPr>
      <w:ind w:left="720"/>
      <w:contextualSpacing/>
    </w:pPr>
    <w:rPr>
      <w:sz w:val="20"/>
      <w:szCs w:val="20"/>
    </w:rPr>
  </w:style>
  <w:style w:type="paragraph" w:customStyle="1" w:styleId="l3">
    <w:name w:val="l3"/>
    <w:basedOn w:val="Normlny"/>
    <w:uiPriority w:val="99"/>
    <w:rsid w:val="008B29E9"/>
    <w:pPr>
      <w:spacing w:before="100" w:beforeAutospacing="1" w:after="100" w:afterAutospacing="1"/>
    </w:pPr>
  </w:style>
  <w:style w:type="paragraph" w:customStyle="1" w:styleId="l4">
    <w:name w:val="l4"/>
    <w:basedOn w:val="Normlny"/>
    <w:uiPriority w:val="99"/>
    <w:rsid w:val="008B29E9"/>
    <w:pPr>
      <w:spacing w:before="100" w:beforeAutospacing="1" w:after="100" w:afterAutospacing="1"/>
    </w:pPr>
  </w:style>
  <w:style w:type="character" w:styleId="PremennHTML">
    <w:name w:val="HTML Variable"/>
    <w:basedOn w:val="Predvolenpsmoodseku"/>
    <w:uiPriority w:val="99"/>
    <w:semiHidden/>
    <w:rsid w:val="008B29E9"/>
    <w:rPr>
      <w:rFonts w:cs="Times New Roman"/>
      <w:i/>
      <w:iCs/>
    </w:rPr>
  </w:style>
  <w:style w:type="paragraph" w:styleId="Zkladntext">
    <w:name w:val="Body Text"/>
    <w:basedOn w:val="Normlny"/>
    <w:link w:val="ZkladntextChar"/>
    <w:uiPriority w:val="99"/>
    <w:rsid w:val="00A9748B"/>
    <w:pPr>
      <w:widowControl w:val="0"/>
      <w:autoSpaceDE w:val="0"/>
      <w:autoSpaceDN w:val="0"/>
      <w:spacing w:before="200"/>
      <w:ind w:left="105" w:right="123" w:firstLine="226"/>
      <w:jc w:val="both"/>
    </w:pPr>
    <w:rPr>
      <w:rFonts w:ascii="TeX Gyre Bonum" w:eastAsia="Calibri" w:hAnsi="TeX Gyre Bonum" w:cs="TeX Gyre Bonum"/>
      <w:sz w:val="20"/>
      <w:szCs w:val="20"/>
      <w:lang w:eastAsia="en-US"/>
    </w:rPr>
  </w:style>
  <w:style w:type="character" w:customStyle="1" w:styleId="ZkladntextChar">
    <w:name w:val="Základný text Char"/>
    <w:basedOn w:val="Predvolenpsmoodseku"/>
    <w:link w:val="Zkladntext"/>
    <w:uiPriority w:val="99"/>
    <w:locked/>
    <w:rsid w:val="00A9748B"/>
    <w:rPr>
      <w:rFonts w:ascii="TeX Gyre Bonum" w:eastAsia="Times New Roman" w:hAnsi="TeX Gyre Bonum" w:cs="TeX Gyre Bonum"/>
      <w:sz w:val="20"/>
      <w:szCs w:val="20"/>
    </w:rPr>
  </w:style>
  <w:style w:type="character" w:styleId="Zstupntext">
    <w:name w:val="Placeholder Text"/>
    <w:basedOn w:val="Predvolenpsmoodseku"/>
    <w:uiPriority w:val="99"/>
    <w:semiHidden/>
    <w:rsid w:val="00155567"/>
    <w:rPr>
      <w:rFonts w:cs="Times New Roman"/>
      <w:color w:val="808080"/>
    </w:rPr>
  </w:style>
  <w:style w:type="paragraph" w:styleId="Revzia">
    <w:name w:val="Revision"/>
    <w:hidden/>
    <w:uiPriority w:val="99"/>
    <w:semiHidden/>
    <w:rsid w:val="00260A6B"/>
    <w:rPr>
      <w:rFonts w:ascii="Times New Roman" w:eastAsia="Times New Roman" w:hAnsi="Times New Roman"/>
      <w:sz w:val="24"/>
      <w:szCs w:val="24"/>
    </w:rPr>
  </w:style>
  <w:style w:type="paragraph" w:styleId="Predmetkomentra">
    <w:name w:val="annotation subject"/>
    <w:basedOn w:val="Textkomentra"/>
    <w:next w:val="Textkomentra"/>
    <w:link w:val="PredmetkomentraChar"/>
    <w:uiPriority w:val="99"/>
    <w:semiHidden/>
    <w:rsid w:val="00260A6B"/>
    <w:rPr>
      <w:rFonts w:ascii="Times New Roman" w:eastAsia="Times New Roman" w:hAnsi="Times New Roman"/>
      <w:b/>
      <w:bCs/>
      <w:lang w:eastAsia="sk-SK"/>
    </w:rPr>
  </w:style>
  <w:style w:type="character" w:customStyle="1" w:styleId="PredmetkomentraChar">
    <w:name w:val="Predmet komentára Char"/>
    <w:basedOn w:val="TextkomentraChar"/>
    <w:link w:val="Predmetkomentra"/>
    <w:uiPriority w:val="99"/>
    <w:semiHidden/>
    <w:locked/>
    <w:rsid w:val="00260A6B"/>
    <w:rPr>
      <w:rFonts w:ascii="Times New Roman" w:hAnsi="Times New Roman" w:cs="Times New Roman"/>
      <w:b/>
      <w:bCs/>
      <w:sz w:val="20"/>
      <w:szCs w:val="20"/>
      <w:lang w:eastAsia="sk-SK"/>
    </w:rPr>
  </w:style>
  <w:style w:type="paragraph" w:customStyle="1" w:styleId="l2">
    <w:name w:val="l2"/>
    <w:basedOn w:val="Normlny"/>
    <w:uiPriority w:val="99"/>
    <w:rsid w:val="00D50F79"/>
    <w:pPr>
      <w:spacing w:before="100" w:beforeAutospacing="1" w:after="100" w:afterAutospacing="1"/>
    </w:pPr>
  </w:style>
  <w:style w:type="paragraph" w:styleId="Textbubliny">
    <w:name w:val="Balloon Text"/>
    <w:basedOn w:val="Normlny"/>
    <w:link w:val="TextbublinyChar"/>
    <w:uiPriority w:val="99"/>
    <w:semiHidden/>
    <w:rsid w:val="00A377F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A377F9"/>
    <w:rPr>
      <w:rFonts w:ascii="Tahoma" w:hAnsi="Tahoma" w:cs="Tahoma"/>
      <w:sz w:val="16"/>
      <w:szCs w:val="16"/>
      <w:lang w:eastAsia="sk-SK"/>
    </w:rPr>
  </w:style>
  <w:style w:type="character" w:styleId="PouitHypertextovPrepojenie">
    <w:name w:val="FollowedHyperlink"/>
    <w:basedOn w:val="Predvolenpsmoodseku"/>
    <w:uiPriority w:val="99"/>
    <w:semiHidden/>
    <w:rsid w:val="00051778"/>
    <w:rPr>
      <w:rFonts w:cs="Times New Roman"/>
      <w:color w:val="954F72"/>
      <w:u w:val="single"/>
    </w:rPr>
  </w:style>
  <w:style w:type="paragraph" w:styleId="Hlavika">
    <w:name w:val="header"/>
    <w:basedOn w:val="Normlny"/>
    <w:link w:val="HlavikaChar"/>
    <w:uiPriority w:val="99"/>
    <w:rsid w:val="00E57017"/>
    <w:pPr>
      <w:tabs>
        <w:tab w:val="center" w:pos="4536"/>
        <w:tab w:val="right" w:pos="9072"/>
      </w:tabs>
    </w:pPr>
  </w:style>
  <w:style w:type="character" w:customStyle="1" w:styleId="HlavikaChar">
    <w:name w:val="Hlavička Char"/>
    <w:basedOn w:val="Predvolenpsmoodseku"/>
    <w:link w:val="Hlavika"/>
    <w:uiPriority w:val="99"/>
    <w:locked/>
    <w:rsid w:val="00E57017"/>
    <w:rPr>
      <w:rFonts w:ascii="Times New Roman" w:hAnsi="Times New Roman" w:cs="Times New Roman"/>
      <w:lang w:eastAsia="sk-SK"/>
    </w:rPr>
  </w:style>
  <w:style w:type="paragraph" w:styleId="Pta">
    <w:name w:val="footer"/>
    <w:basedOn w:val="Normlny"/>
    <w:link w:val="PtaChar"/>
    <w:uiPriority w:val="99"/>
    <w:rsid w:val="00E57017"/>
    <w:pPr>
      <w:tabs>
        <w:tab w:val="center" w:pos="4536"/>
        <w:tab w:val="right" w:pos="9072"/>
      </w:tabs>
    </w:pPr>
  </w:style>
  <w:style w:type="character" w:customStyle="1" w:styleId="PtaChar">
    <w:name w:val="Päta Char"/>
    <w:basedOn w:val="Predvolenpsmoodseku"/>
    <w:link w:val="Pta"/>
    <w:uiPriority w:val="99"/>
    <w:locked/>
    <w:rsid w:val="00E57017"/>
    <w:rPr>
      <w:rFonts w:ascii="Times New Roman" w:hAnsi="Times New Roman" w:cs="Times New Roman"/>
      <w:lang w:eastAsia="sk-SK"/>
    </w:rPr>
  </w:style>
  <w:style w:type="paragraph" w:customStyle="1" w:styleId="xmsonormal">
    <w:name w:val="x_msonormal"/>
    <w:basedOn w:val="Normlny"/>
    <w:uiPriority w:val="99"/>
    <w:rsid w:val="009F7724"/>
    <w:rPr>
      <w:rFonts w:ascii="Calibri" w:eastAsia="Calibri" w:hAnsi="Calibri"/>
      <w:sz w:val="22"/>
      <w:szCs w:val="22"/>
    </w:rPr>
  </w:style>
  <w:style w:type="character" w:customStyle="1" w:styleId="OdsekzoznamuChar">
    <w:name w:val="Odsek zoznamu Char"/>
    <w:aliases w:val="Odsek zoznamu2 Char"/>
    <w:link w:val="Odsekzoznamu"/>
    <w:uiPriority w:val="99"/>
    <w:locked/>
    <w:rsid w:val="00C44802"/>
    <w:rPr>
      <w:rFonts w:ascii="Times New Roman" w:hAnsi="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42565">
      <w:marLeft w:val="0"/>
      <w:marRight w:val="0"/>
      <w:marTop w:val="0"/>
      <w:marBottom w:val="0"/>
      <w:divBdr>
        <w:top w:val="none" w:sz="0" w:space="0" w:color="auto"/>
        <w:left w:val="none" w:sz="0" w:space="0" w:color="auto"/>
        <w:bottom w:val="none" w:sz="0" w:space="0" w:color="auto"/>
        <w:right w:val="none" w:sz="0" w:space="0" w:color="auto"/>
      </w:divBdr>
    </w:div>
    <w:div w:id="162942568">
      <w:marLeft w:val="0"/>
      <w:marRight w:val="0"/>
      <w:marTop w:val="0"/>
      <w:marBottom w:val="0"/>
      <w:divBdr>
        <w:top w:val="none" w:sz="0" w:space="0" w:color="auto"/>
        <w:left w:val="none" w:sz="0" w:space="0" w:color="auto"/>
        <w:bottom w:val="none" w:sz="0" w:space="0" w:color="auto"/>
        <w:right w:val="none" w:sz="0" w:space="0" w:color="auto"/>
      </w:divBdr>
    </w:div>
    <w:div w:id="162942570">
      <w:marLeft w:val="0"/>
      <w:marRight w:val="0"/>
      <w:marTop w:val="0"/>
      <w:marBottom w:val="0"/>
      <w:divBdr>
        <w:top w:val="none" w:sz="0" w:space="0" w:color="auto"/>
        <w:left w:val="none" w:sz="0" w:space="0" w:color="auto"/>
        <w:bottom w:val="none" w:sz="0" w:space="0" w:color="auto"/>
        <w:right w:val="none" w:sz="0" w:space="0" w:color="auto"/>
      </w:divBdr>
      <w:divsChild>
        <w:div w:id="162942581">
          <w:marLeft w:val="0"/>
          <w:marRight w:val="0"/>
          <w:marTop w:val="0"/>
          <w:marBottom w:val="300"/>
          <w:divBdr>
            <w:top w:val="none" w:sz="0" w:space="0" w:color="auto"/>
            <w:left w:val="none" w:sz="0" w:space="0" w:color="auto"/>
            <w:bottom w:val="none" w:sz="0" w:space="0" w:color="auto"/>
            <w:right w:val="none" w:sz="0" w:space="0" w:color="auto"/>
          </w:divBdr>
        </w:div>
        <w:div w:id="162942609">
          <w:marLeft w:val="255"/>
          <w:marRight w:val="0"/>
          <w:marTop w:val="75"/>
          <w:marBottom w:val="0"/>
          <w:divBdr>
            <w:top w:val="none" w:sz="0" w:space="0" w:color="auto"/>
            <w:left w:val="none" w:sz="0" w:space="0" w:color="auto"/>
            <w:bottom w:val="none" w:sz="0" w:space="0" w:color="auto"/>
            <w:right w:val="none" w:sz="0" w:space="0" w:color="auto"/>
          </w:divBdr>
        </w:div>
        <w:div w:id="162942659">
          <w:marLeft w:val="0"/>
          <w:marRight w:val="75"/>
          <w:marTop w:val="0"/>
          <w:marBottom w:val="0"/>
          <w:divBdr>
            <w:top w:val="none" w:sz="0" w:space="0" w:color="auto"/>
            <w:left w:val="none" w:sz="0" w:space="0" w:color="auto"/>
            <w:bottom w:val="none" w:sz="0" w:space="0" w:color="auto"/>
            <w:right w:val="none" w:sz="0" w:space="0" w:color="auto"/>
          </w:divBdr>
        </w:div>
      </w:divsChild>
    </w:div>
    <w:div w:id="162942573">
      <w:marLeft w:val="0"/>
      <w:marRight w:val="0"/>
      <w:marTop w:val="0"/>
      <w:marBottom w:val="0"/>
      <w:divBdr>
        <w:top w:val="none" w:sz="0" w:space="0" w:color="auto"/>
        <w:left w:val="none" w:sz="0" w:space="0" w:color="auto"/>
        <w:bottom w:val="none" w:sz="0" w:space="0" w:color="auto"/>
        <w:right w:val="none" w:sz="0" w:space="0" w:color="auto"/>
      </w:divBdr>
    </w:div>
    <w:div w:id="162942575">
      <w:marLeft w:val="0"/>
      <w:marRight w:val="0"/>
      <w:marTop w:val="0"/>
      <w:marBottom w:val="0"/>
      <w:divBdr>
        <w:top w:val="none" w:sz="0" w:space="0" w:color="auto"/>
        <w:left w:val="none" w:sz="0" w:space="0" w:color="auto"/>
        <w:bottom w:val="none" w:sz="0" w:space="0" w:color="auto"/>
        <w:right w:val="none" w:sz="0" w:space="0" w:color="auto"/>
      </w:divBdr>
    </w:div>
    <w:div w:id="162942578">
      <w:marLeft w:val="0"/>
      <w:marRight w:val="0"/>
      <w:marTop w:val="0"/>
      <w:marBottom w:val="0"/>
      <w:divBdr>
        <w:top w:val="none" w:sz="0" w:space="0" w:color="auto"/>
        <w:left w:val="none" w:sz="0" w:space="0" w:color="auto"/>
        <w:bottom w:val="none" w:sz="0" w:space="0" w:color="auto"/>
        <w:right w:val="none" w:sz="0" w:space="0" w:color="auto"/>
      </w:divBdr>
    </w:div>
    <w:div w:id="162942579">
      <w:marLeft w:val="0"/>
      <w:marRight w:val="0"/>
      <w:marTop w:val="0"/>
      <w:marBottom w:val="0"/>
      <w:divBdr>
        <w:top w:val="none" w:sz="0" w:space="0" w:color="auto"/>
        <w:left w:val="none" w:sz="0" w:space="0" w:color="auto"/>
        <w:bottom w:val="none" w:sz="0" w:space="0" w:color="auto"/>
        <w:right w:val="none" w:sz="0" w:space="0" w:color="auto"/>
      </w:divBdr>
    </w:div>
    <w:div w:id="162942580">
      <w:marLeft w:val="0"/>
      <w:marRight w:val="0"/>
      <w:marTop w:val="0"/>
      <w:marBottom w:val="0"/>
      <w:divBdr>
        <w:top w:val="none" w:sz="0" w:space="0" w:color="auto"/>
        <w:left w:val="none" w:sz="0" w:space="0" w:color="auto"/>
        <w:bottom w:val="none" w:sz="0" w:space="0" w:color="auto"/>
        <w:right w:val="none" w:sz="0" w:space="0" w:color="auto"/>
      </w:divBdr>
    </w:div>
    <w:div w:id="162942582">
      <w:marLeft w:val="0"/>
      <w:marRight w:val="0"/>
      <w:marTop w:val="0"/>
      <w:marBottom w:val="0"/>
      <w:divBdr>
        <w:top w:val="none" w:sz="0" w:space="0" w:color="auto"/>
        <w:left w:val="none" w:sz="0" w:space="0" w:color="auto"/>
        <w:bottom w:val="none" w:sz="0" w:space="0" w:color="auto"/>
        <w:right w:val="none" w:sz="0" w:space="0" w:color="auto"/>
      </w:divBdr>
    </w:div>
    <w:div w:id="162942583">
      <w:marLeft w:val="0"/>
      <w:marRight w:val="0"/>
      <w:marTop w:val="0"/>
      <w:marBottom w:val="0"/>
      <w:divBdr>
        <w:top w:val="none" w:sz="0" w:space="0" w:color="auto"/>
        <w:left w:val="none" w:sz="0" w:space="0" w:color="auto"/>
        <w:bottom w:val="none" w:sz="0" w:space="0" w:color="auto"/>
        <w:right w:val="none" w:sz="0" w:space="0" w:color="auto"/>
      </w:divBdr>
    </w:div>
    <w:div w:id="162942584">
      <w:marLeft w:val="0"/>
      <w:marRight w:val="0"/>
      <w:marTop w:val="0"/>
      <w:marBottom w:val="0"/>
      <w:divBdr>
        <w:top w:val="none" w:sz="0" w:space="0" w:color="auto"/>
        <w:left w:val="none" w:sz="0" w:space="0" w:color="auto"/>
        <w:bottom w:val="none" w:sz="0" w:space="0" w:color="auto"/>
        <w:right w:val="none" w:sz="0" w:space="0" w:color="auto"/>
      </w:divBdr>
    </w:div>
    <w:div w:id="162942585">
      <w:marLeft w:val="0"/>
      <w:marRight w:val="0"/>
      <w:marTop w:val="0"/>
      <w:marBottom w:val="0"/>
      <w:divBdr>
        <w:top w:val="none" w:sz="0" w:space="0" w:color="auto"/>
        <w:left w:val="none" w:sz="0" w:space="0" w:color="auto"/>
        <w:bottom w:val="none" w:sz="0" w:space="0" w:color="auto"/>
        <w:right w:val="none" w:sz="0" w:space="0" w:color="auto"/>
      </w:divBdr>
    </w:div>
    <w:div w:id="162942586">
      <w:marLeft w:val="0"/>
      <w:marRight w:val="0"/>
      <w:marTop w:val="0"/>
      <w:marBottom w:val="0"/>
      <w:divBdr>
        <w:top w:val="none" w:sz="0" w:space="0" w:color="auto"/>
        <w:left w:val="none" w:sz="0" w:space="0" w:color="auto"/>
        <w:bottom w:val="none" w:sz="0" w:space="0" w:color="auto"/>
        <w:right w:val="none" w:sz="0" w:space="0" w:color="auto"/>
      </w:divBdr>
    </w:div>
    <w:div w:id="162942587">
      <w:marLeft w:val="0"/>
      <w:marRight w:val="0"/>
      <w:marTop w:val="0"/>
      <w:marBottom w:val="0"/>
      <w:divBdr>
        <w:top w:val="none" w:sz="0" w:space="0" w:color="auto"/>
        <w:left w:val="none" w:sz="0" w:space="0" w:color="auto"/>
        <w:bottom w:val="none" w:sz="0" w:space="0" w:color="auto"/>
        <w:right w:val="none" w:sz="0" w:space="0" w:color="auto"/>
      </w:divBdr>
    </w:div>
    <w:div w:id="162942588">
      <w:marLeft w:val="0"/>
      <w:marRight w:val="0"/>
      <w:marTop w:val="0"/>
      <w:marBottom w:val="0"/>
      <w:divBdr>
        <w:top w:val="none" w:sz="0" w:space="0" w:color="auto"/>
        <w:left w:val="none" w:sz="0" w:space="0" w:color="auto"/>
        <w:bottom w:val="none" w:sz="0" w:space="0" w:color="auto"/>
        <w:right w:val="none" w:sz="0" w:space="0" w:color="auto"/>
      </w:divBdr>
    </w:div>
    <w:div w:id="162942589">
      <w:marLeft w:val="0"/>
      <w:marRight w:val="0"/>
      <w:marTop w:val="0"/>
      <w:marBottom w:val="0"/>
      <w:divBdr>
        <w:top w:val="none" w:sz="0" w:space="0" w:color="auto"/>
        <w:left w:val="none" w:sz="0" w:space="0" w:color="auto"/>
        <w:bottom w:val="none" w:sz="0" w:space="0" w:color="auto"/>
        <w:right w:val="none" w:sz="0" w:space="0" w:color="auto"/>
      </w:divBdr>
    </w:div>
    <w:div w:id="162942590">
      <w:marLeft w:val="0"/>
      <w:marRight w:val="0"/>
      <w:marTop w:val="0"/>
      <w:marBottom w:val="0"/>
      <w:divBdr>
        <w:top w:val="none" w:sz="0" w:space="0" w:color="auto"/>
        <w:left w:val="none" w:sz="0" w:space="0" w:color="auto"/>
        <w:bottom w:val="none" w:sz="0" w:space="0" w:color="auto"/>
        <w:right w:val="none" w:sz="0" w:space="0" w:color="auto"/>
      </w:divBdr>
    </w:div>
    <w:div w:id="162942591">
      <w:marLeft w:val="0"/>
      <w:marRight w:val="0"/>
      <w:marTop w:val="0"/>
      <w:marBottom w:val="0"/>
      <w:divBdr>
        <w:top w:val="none" w:sz="0" w:space="0" w:color="auto"/>
        <w:left w:val="none" w:sz="0" w:space="0" w:color="auto"/>
        <w:bottom w:val="none" w:sz="0" w:space="0" w:color="auto"/>
        <w:right w:val="none" w:sz="0" w:space="0" w:color="auto"/>
      </w:divBdr>
    </w:div>
    <w:div w:id="162942594">
      <w:marLeft w:val="0"/>
      <w:marRight w:val="0"/>
      <w:marTop w:val="0"/>
      <w:marBottom w:val="0"/>
      <w:divBdr>
        <w:top w:val="none" w:sz="0" w:space="0" w:color="auto"/>
        <w:left w:val="none" w:sz="0" w:space="0" w:color="auto"/>
        <w:bottom w:val="none" w:sz="0" w:space="0" w:color="auto"/>
        <w:right w:val="none" w:sz="0" w:space="0" w:color="auto"/>
      </w:divBdr>
      <w:divsChild>
        <w:div w:id="162942622">
          <w:marLeft w:val="255"/>
          <w:marRight w:val="0"/>
          <w:marTop w:val="0"/>
          <w:marBottom w:val="0"/>
          <w:divBdr>
            <w:top w:val="none" w:sz="0" w:space="0" w:color="auto"/>
            <w:left w:val="none" w:sz="0" w:space="0" w:color="auto"/>
            <w:bottom w:val="none" w:sz="0" w:space="0" w:color="auto"/>
            <w:right w:val="none" w:sz="0" w:space="0" w:color="auto"/>
          </w:divBdr>
        </w:div>
        <w:div w:id="162942641">
          <w:marLeft w:val="255"/>
          <w:marRight w:val="0"/>
          <w:marTop w:val="0"/>
          <w:marBottom w:val="0"/>
          <w:divBdr>
            <w:top w:val="none" w:sz="0" w:space="0" w:color="auto"/>
            <w:left w:val="none" w:sz="0" w:space="0" w:color="auto"/>
            <w:bottom w:val="none" w:sz="0" w:space="0" w:color="auto"/>
            <w:right w:val="none" w:sz="0" w:space="0" w:color="auto"/>
          </w:divBdr>
        </w:div>
        <w:div w:id="162942642">
          <w:marLeft w:val="255"/>
          <w:marRight w:val="0"/>
          <w:marTop w:val="0"/>
          <w:marBottom w:val="0"/>
          <w:divBdr>
            <w:top w:val="none" w:sz="0" w:space="0" w:color="auto"/>
            <w:left w:val="none" w:sz="0" w:space="0" w:color="auto"/>
            <w:bottom w:val="none" w:sz="0" w:space="0" w:color="auto"/>
            <w:right w:val="none" w:sz="0" w:space="0" w:color="auto"/>
          </w:divBdr>
        </w:div>
        <w:div w:id="162942663">
          <w:marLeft w:val="255"/>
          <w:marRight w:val="0"/>
          <w:marTop w:val="0"/>
          <w:marBottom w:val="0"/>
          <w:divBdr>
            <w:top w:val="none" w:sz="0" w:space="0" w:color="auto"/>
            <w:left w:val="none" w:sz="0" w:space="0" w:color="auto"/>
            <w:bottom w:val="none" w:sz="0" w:space="0" w:color="auto"/>
            <w:right w:val="none" w:sz="0" w:space="0" w:color="auto"/>
          </w:divBdr>
        </w:div>
      </w:divsChild>
    </w:div>
    <w:div w:id="162942596">
      <w:marLeft w:val="0"/>
      <w:marRight w:val="0"/>
      <w:marTop w:val="0"/>
      <w:marBottom w:val="0"/>
      <w:divBdr>
        <w:top w:val="none" w:sz="0" w:space="0" w:color="auto"/>
        <w:left w:val="none" w:sz="0" w:space="0" w:color="auto"/>
        <w:bottom w:val="none" w:sz="0" w:space="0" w:color="auto"/>
        <w:right w:val="none" w:sz="0" w:space="0" w:color="auto"/>
      </w:divBdr>
    </w:div>
    <w:div w:id="162942598">
      <w:marLeft w:val="0"/>
      <w:marRight w:val="0"/>
      <w:marTop w:val="0"/>
      <w:marBottom w:val="0"/>
      <w:divBdr>
        <w:top w:val="none" w:sz="0" w:space="0" w:color="auto"/>
        <w:left w:val="none" w:sz="0" w:space="0" w:color="auto"/>
        <w:bottom w:val="none" w:sz="0" w:space="0" w:color="auto"/>
        <w:right w:val="none" w:sz="0" w:space="0" w:color="auto"/>
      </w:divBdr>
    </w:div>
    <w:div w:id="162942599">
      <w:marLeft w:val="0"/>
      <w:marRight w:val="0"/>
      <w:marTop w:val="0"/>
      <w:marBottom w:val="0"/>
      <w:divBdr>
        <w:top w:val="none" w:sz="0" w:space="0" w:color="auto"/>
        <w:left w:val="none" w:sz="0" w:space="0" w:color="auto"/>
        <w:bottom w:val="none" w:sz="0" w:space="0" w:color="auto"/>
        <w:right w:val="none" w:sz="0" w:space="0" w:color="auto"/>
      </w:divBdr>
    </w:div>
    <w:div w:id="162942602">
      <w:marLeft w:val="0"/>
      <w:marRight w:val="0"/>
      <w:marTop w:val="0"/>
      <w:marBottom w:val="0"/>
      <w:divBdr>
        <w:top w:val="none" w:sz="0" w:space="0" w:color="auto"/>
        <w:left w:val="none" w:sz="0" w:space="0" w:color="auto"/>
        <w:bottom w:val="none" w:sz="0" w:space="0" w:color="auto"/>
        <w:right w:val="none" w:sz="0" w:space="0" w:color="auto"/>
      </w:divBdr>
    </w:div>
    <w:div w:id="162942603">
      <w:marLeft w:val="0"/>
      <w:marRight w:val="0"/>
      <w:marTop w:val="0"/>
      <w:marBottom w:val="0"/>
      <w:divBdr>
        <w:top w:val="none" w:sz="0" w:space="0" w:color="auto"/>
        <w:left w:val="none" w:sz="0" w:space="0" w:color="auto"/>
        <w:bottom w:val="none" w:sz="0" w:space="0" w:color="auto"/>
        <w:right w:val="none" w:sz="0" w:space="0" w:color="auto"/>
      </w:divBdr>
      <w:divsChild>
        <w:div w:id="162942566">
          <w:marLeft w:val="255"/>
          <w:marRight w:val="0"/>
          <w:marTop w:val="75"/>
          <w:marBottom w:val="0"/>
          <w:divBdr>
            <w:top w:val="none" w:sz="0" w:space="0" w:color="auto"/>
            <w:left w:val="none" w:sz="0" w:space="0" w:color="auto"/>
            <w:bottom w:val="none" w:sz="0" w:space="0" w:color="auto"/>
            <w:right w:val="none" w:sz="0" w:space="0" w:color="auto"/>
          </w:divBdr>
        </w:div>
      </w:divsChild>
    </w:div>
    <w:div w:id="162942605">
      <w:marLeft w:val="0"/>
      <w:marRight w:val="0"/>
      <w:marTop w:val="0"/>
      <w:marBottom w:val="0"/>
      <w:divBdr>
        <w:top w:val="none" w:sz="0" w:space="0" w:color="auto"/>
        <w:left w:val="none" w:sz="0" w:space="0" w:color="auto"/>
        <w:bottom w:val="none" w:sz="0" w:space="0" w:color="auto"/>
        <w:right w:val="none" w:sz="0" w:space="0" w:color="auto"/>
      </w:divBdr>
      <w:divsChild>
        <w:div w:id="162942623">
          <w:marLeft w:val="0"/>
          <w:marRight w:val="0"/>
          <w:marTop w:val="0"/>
          <w:marBottom w:val="0"/>
          <w:divBdr>
            <w:top w:val="none" w:sz="0" w:space="0" w:color="auto"/>
            <w:left w:val="none" w:sz="0" w:space="0" w:color="auto"/>
            <w:bottom w:val="none" w:sz="0" w:space="0" w:color="auto"/>
            <w:right w:val="none" w:sz="0" w:space="0" w:color="auto"/>
          </w:divBdr>
        </w:div>
        <w:div w:id="162942624">
          <w:marLeft w:val="0"/>
          <w:marRight w:val="0"/>
          <w:marTop w:val="0"/>
          <w:marBottom w:val="0"/>
          <w:divBdr>
            <w:top w:val="none" w:sz="0" w:space="0" w:color="auto"/>
            <w:left w:val="none" w:sz="0" w:space="0" w:color="auto"/>
            <w:bottom w:val="none" w:sz="0" w:space="0" w:color="auto"/>
            <w:right w:val="none" w:sz="0" w:space="0" w:color="auto"/>
          </w:divBdr>
        </w:div>
      </w:divsChild>
    </w:div>
    <w:div w:id="162942606">
      <w:marLeft w:val="0"/>
      <w:marRight w:val="0"/>
      <w:marTop w:val="0"/>
      <w:marBottom w:val="0"/>
      <w:divBdr>
        <w:top w:val="none" w:sz="0" w:space="0" w:color="auto"/>
        <w:left w:val="none" w:sz="0" w:space="0" w:color="auto"/>
        <w:bottom w:val="none" w:sz="0" w:space="0" w:color="auto"/>
        <w:right w:val="none" w:sz="0" w:space="0" w:color="auto"/>
      </w:divBdr>
      <w:divsChild>
        <w:div w:id="162942571">
          <w:marLeft w:val="255"/>
          <w:marRight w:val="0"/>
          <w:marTop w:val="0"/>
          <w:marBottom w:val="0"/>
          <w:divBdr>
            <w:top w:val="none" w:sz="0" w:space="0" w:color="auto"/>
            <w:left w:val="none" w:sz="0" w:space="0" w:color="auto"/>
            <w:bottom w:val="none" w:sz="0" w:space="0" w:color="auto"/>
            <w:right w:val="none" w:sz="0" w:space="0" w:color="auto"/>
          </w:divBdr>
        </w:div>
        <w:div w:id="162942577">
          <w:marLeft w:val="255"/>
          <w:marRight w:val="0"/>
          <w:marTop w:val="0"/>
          <w:marBottom w:val="0"/>
          <w:divBdr>
            <w:top w:val="none" w:sz="0" w:space="0" w:color="auto"/>
            <w:left w:val="none" w:sz="0" w:space="0" w:color="auto"/>
            <w:bottom w:val="none" w:sz="0" w:space="0" w:color="auto"/>
            <w:right w:val="none" w:sz="0" w:space="0" w:color="auto"/>
          </w:divBdr>
        </w:div>
        <w:div w:id="162942595">
          <w:marLeft w:val="255"/>
          <w:marRight w:val="0"/>
          <w:marTop w:val="0"/>
          <w:marBottom w:val="0"/>
          <w:divBdr>
            <w:top w:val="none" w:sz="0" w:space="0" w:color="auto"/>
            <w:left w:val="none" w:sz="0" w:space="0" w:color="auto"/>
            <w:bottom w:val="none" w:sz="0" w:space="0" w:color="auto"/>
            <w:right w:val="none" w:sz="0" w:space="0" w:color="auto"/>
          </w:divBdr>
        </w:div>
        <w:div w:id="162942604">
          <w:marLeft w:val="255"/>
          <w:marRight w:val="0"/>
          <w:marTop w:val="0"/>
          <w:marBottom w:val="0"/>
          <w:divBdr>
            <w:top w:val="none" w:sz="0" w:space="0" w:color="auto"/>
            <w:left w:val="none" w:sz="0" w:space="0" w:color="auto"/>
            <w:bottom w:val="none" w:sz="0" w:space="0" w:color="auto"/>
            <w:right w:val="none" w:sz="0" w:space="0" w:color="auto"/>
          </w:divBdr>
        </w:div>
        <w:div w:id="162942634">
          <w:marLeft w:val="255"/>
          <w:marRight w:val="0"/>
          <w:marTop w:val="0"/>
          <w:marBottom w:val="0"/>
          <w:divBdr>
            <w:top w:val="none" w:sz="0" w:space="0" w:color="auto"/>
            <w:left w:val="none" w:sz="0" w:space="0" w:color="auto"/>
            <w:bottom w:val="none" w:sz="0" w:space="0" w:color="auto"/>
            <w:right w:val="none" w:sz="0" w:space="0" w:color="auto"/>
          </w:divBdr>
        </w:div>
        <w:div w:id="162942652">
          <w:marLeft w:val="255"/>
          <w:marRight w:val="0"/>
          <w:marTop w:val="0"/>
          <w:marBottom w:val="0"/>
          <w:divBdr>
            <w:top w:val="none" w:sz="0" w:space="0" w:color="auto"/>
            <w:left w:val="none" w:sz="0" w:space="0" w:color="auto"/>
            <w:bottom w:val="none" w:sz="0" w:space="0" w:color="auto"/>
            <w:right w:val="none" w:sz="0" w:space="0" w:color="auto"/>
          </w:divBdr>
        </w:div>
        <w:div w:id="162942653">
          <w:marLeft w:val="255"/>
          <w:marRight w:val="0"/>
          <w:marTop w:val="0"/>
          <w:marBottom w:val="0"/>
          <w:divBdr>
            <w:top w:val="none" w:sz="0" w:space="0" w:color="auto"/>
            <w:left w:val="none" w:sz="0" w:space="0" w:color="auto"/>
            <w:bottom w:val="none" w:sz="0" w:space="0" w:color="auto"/>
            <w:right w:val="none" w:sz="0" w:space="0" w:color="auto"/>
          </w:divBdr>
        </w:div>
        <w:div w:id="162942661">
          <w:marLeft w:val="255"/>
          <w:marRight w:val="0"/>
          <w:marTop w:val="0"/>
          <w:marBottom w:val="0"/>
          <w:divBdr>
            <w:top w:val="none" w:sz="0" w:space="0" w:color="auto"/>
            <w:left w:val="none" w:sz="0" w:space="0" w:color="auto"/>
            <w:bottom w:val="none" w:sz="0" w:space="0" w:color="auto"/>
            <w:right w:val="none" w:sz="0" w:space="0" w:color="auto"/>
          </w:divBdr>
        </w:div>
      </w:divsChild>
    </w:div>
    <w:div w:id="162942608">
      <w:marLeft w:val="0"/>
      <w:marRight w:val="0"/>
      <w:marTop w:val="0"/>
      <w:marBottom w:val="0"/>
      <w:divBdr>
        <w:top w:val="none" w:sz="0" w:space="0" w:color="auto"/>
        <w:left w:val="none" w:sz="0" w:space="0" w:color="auto"/>
        <w:bottom w:val="none" w:sz="0" w:space="0" w:color="auto"/>
        <w:right w:val="none" w:sz="0" w:space="0" w:color="auto"/>
      </w:divBdr>
    </w:div>
    <w:div w:id="162942610">
      <w:marLeft w:val="0"/>
      <w:marRight w:val="0"/>
      <w:marTop w:val="0"/>
      <w:marBottom w:val="0"/>
      <w:divBdr>
        <w:top w:val="none" w:sz="0" w:space="0" w:color="auto"/>
        <w:left w:val="none" w:sz="0" w:space="0" w:color="auto"/>
        <w:bottom w:val="none" w:sz="0" w:space="0" w:color="auto"/>
        <w:right w:val="none" w:sz="0" w:space="0" w:color="auto"/>
      </w:divBdr>
    </w:div>
    <w:div w:id="162942611">
      <w:marLeft w:val="0"/>
      <w:marRight w:val="0"/>
      <w:marTop w:val="0"/>
      <w:marBottom w:val="0"/>
      <w:divBdr>
        <w:top w:val="none" w:sz="0" w:space="0" w:color="auto"/>
        <w:left w:val="none" w:sz="0" w:space="0" w:color="auto"/>
        <w:bottom w:val="none" w:sz="0" w:space="0" w:color="auto"/>
        <w:right w:val="none" w:sz="0" w:space="0" w:color="auto"/>
      </w:divBdr>
    </w:div>
    <w:div w:id="162942612">
      <w:marLeft w:val="0"/>
      <w:marRight w:val="0"/>
      <w:marTop w:val="0"/>
      <w:marBottom w:val="0"/>
      <w:divBdr>
        <w:top w:val="none" w:sz="0" w:space="0" w:color="auto"/>
        <w:left w:val="none" w:sz="0" w:space="0" w:color="auto"/>
        <w:bottom w:val="none" w:sz="0" w:space="0" w:color="auto"/>
        <w:right w:val="none" w:sz="0" w:space="0" w:color="auto"/>
      </w:divBdr>
    </w:div>
    <w:div w:id="162942613">
      <w:marLeft w:val="0"/>
      <w:marRight w:val="0"/>
      <w:marTop w:val="0"/>
      <w:marBottom w:val="0"/>
      <w:divBdr>
        <w:top w:val="none" w:sz="0" w:space="0" w:color="auto"/>
        <w:left w:val="none" w:sz="0" w:space="0" w:color="auto"/>
        <w:bottom w:val="none" w:sz="0" w:space="0" w:color="auto"/>
        <w:right w:val="none" w:sz="0" w:space="0" w:color="auto"/>
      </w:divBdr>
    </w:div>
    <w:div w:id="162942614">
      <w:marLeft w:val="0"/>
      <w:marRight w:val="0"/>
      <w:marTop w:val="0"/>
      <w:marBottom w:val="0"/>
      <w:divBdr>
        <w:top w:val="none" w:sz="0" w:space="0" w:color="auto"/>
        <w:left w:val="none" w:sz="0" w:space="0" w:color="auto"/>
        <w:bottom w:val="none" w:sz="0" w:space="0" w:color="auto"/>
        <w:right w:val="none" w:sz="0" w:space="0" w:color="auto"/>
      </w:divBdr>
    </w:div>
    <w:div w:id="162942615">
      <w:marLeft w:val="0"/>
      <w:marRight w:val="0"/>
      <w:marTop w:val="0"/>
      <w:marBottom w:val="0"/>
      <w:divBdr>
        <w:top w:val="none" w:sz="0" w:space="0" w:color="auto"/>
        <w:left w:val="none" w:sz="0" w:space="0" w:color="auto"/>
        <w:bottom w:val="none" w:sz="0" w:space="0" w:color="auto"/>
        <w:right w:val="none" w:sz="0" w:space="0" w:color="auto"/>
      </w:divBdr>
    </w:div>
    <w:div w:id="162942616">
      <w:marLeft w:val="0"/>
      <w:marRight w:val="0"/>
      <w:marTop w:val="0"/>
      <w:marBottom w:val="0"/>
      <w:divBdr>
        <w:top w:val="none" w:sz="0" w:space="0" w:color="auto"/>
        <w:left w:val="none" w:sz="0" w:space="0" w:color="auto"/>
        <w:bottom w:val="none" w:sz="0" w:space="0" w:color="auto"/>
        <w:right w:val="none" w:sz="0" w:space="0" w:color="auto"/>
      </w:divBdr>
    </w:div>
    <w:div w:id="162942618">
      <w:marLeft w:val="0"/>
      <w:marRight w:val="0"/>
      <w:marTop w:val="0"/>
      <w:marBottom w:val="0"/>
      <w:divBdr>
        <w:top w:val="none" w:sz="0" w:space="0" w:color="auto"/>
        <w:left w:val="none" w:sz="0" w:space="0" w:color="auto"/>
        <w:bottom w:val="none" w:sz="0" w:space="0" w:color="auto"/>
        <w:right w:val="none" w:sz="0" w:space="0" w:color="auto"/>
      </w:divBdr>
    </w:div>
    <w:div w:id="162942619">
      <w:marLeft w:val="0"/>
      <w:marRight w:val="0"/>
      <w:marTop w:val="0"/>
      <w:marBottom w:val="0"/>
      <w:divBdr>
        <w:top w:val="none" w:sz="0" w:space="0" w:color="auto"/>
        <w:left w:val="none" w:sz="0" w:space="0" w:color="auto"/>
        <w:bottom w:val="none" w:sz="0" w:space="0" w:color="auto"/>
        <w:right w:val="none" w:sz="0" w:space="0" w:color="auto"/>
      </w:divBdr>
    </w:div>
    <w:div w:id="162942620">
      <w:marLeft w:val="0"/>
      <w:marRight w:val="0"/>
      <w:marTop w:val="0"/>
      <w:marBottom w:val="0"/>
      <w:divBdr>
        <w:top w:val="none" w:sz="0" w:space="0" w:color="auto"/>
        <w:left w:val="none" w:sz="0" w:space="0" w:color="auto"/>
        <w:bottom w:val="none" w:sz="0" w:space="0" w:color="auto"/>
        <w:right w:val="none" w:sz="0" w:space="0" w:color="auto"/>
      </w:divBdr>
    </w:div>
    <w:div w:id="162942621">
      <w:marLeft w:val="0"/>
      <w:marRight w:val="0"/>
      <w:marTop w:val="0"/>
      <w:marBottom w:val="0"/>
      <w:divBdr>
        <w:top w:val="none" w:sz="0" w:space="0" w:color="auto"/>
        <w:left w:val="none" w:sz="0" w:space="0" w:color="auto"/>
        <w:bottom w:val="none" w:sz="0" w:space="0" w:color="auto"/>
        <w:right w:val="none" w:sz="0" w:space="0" w:color="auto"/>
      </w:divBdr>
      <w:divsChild>
        <w:div w:id="162942572">
          <w:marLeft w:val="0"/>
          <w:marRight w:val="0"/>
          <w:marTop w:val="100"/>
          <w:marBottom w:val="100"/>
          <w:divBdr>
            <w:top w:val="none" w:sz="0" w:space="0" w:color="auto"/>
            <w:left w:val="none" w:sz="0" w:space="0" w:color="auto"/>
            <w:bottom w:val="none" w:sz="0" w:space="0" w:color="auto"/>
            <w:right w:val="none" w:sz="0" w:space="0" w:color="auto"/>
          </w:divBdr>
        </w:div>
        <w:div w:id="162942627">
          <w:marLeft w:val="0"/>
          <w:marRight w:val="0"/>
          <w:marTop w:val="0"/>
          <w:marBottom w:val="300"/>
          <w:divBdr>
            <w:top w:val="none" w:sz="0" w:space="0" w:color="auto"/>
            <w:left w:val="none" w:sz="0" w:space="0" w:color="auto"/>
            <w:bottom w:val="single" w:sz="6" w:space="8" w:color="EFEFEF"/>
            <w:right w:val="none" w:sz="0" w:space="0" w:color="auto"/>
          </w:divBdr>
        </w:div>
        <w:div w:id="162942649">
          <w:marLeft w:val="0"/>
          <w:marRight w:val="0"/>
          <w:marTop w:val="0"/>
          <w:marBottom w:val="240"/>
          <w:divBdr>
            <w:top w:val="none" w:sz="0" w:space="0" w:color="auto"/>
            <w:left w:val="none" w:sz="0" w:space="0" w:color="auto"/>
            <w:bottom w:val="none" w:sz="0" w:space="0" w:color="auto"/>
            <w:right w:val="none" w:sz="0" w:space="0" w:color="auto"/>
          </w:divBdr>
        </w:div>
      </w:divsChild>
    </w:div>
    <w:div w:id="162942625">
      <w:marLeft w:val="0"/>
      <w:marRight w:val="0"/>
      <w:marTop w:val="0"/>
      <w:marBottom w:val="0"/>
      <w:divBdr>
        <w:top w:val="none" w:sz="0" w:space="0" w:color="auto"/>
        <w:left w:val="none" w:sz="0" w:space="0" w:color="auto"/>
        <w:bottom w:val="none" w:sz="0" w:space="0" w:color="auto"/>
        <w:right w:val="none" w:sz="0" w:space="0" w:color="auto"/>
      </w:divBdr>
    </w:div>
    <w:div w:id="162942626">
      <w:marLeft w:val="0"/>
      <w:marRight w:val="0"/>
      <w:marTop w:val="0"/>
      <w:marBottom w:val="0"/>
      <w:divBdr>
        <w:top w:val="none" w:sz="0" w:space="0" w:color="auto"/>
        <w:left w:val="none" w:sz="0" w:space="0" w:color="auto"/>
        <w:bottom w:val="none" w:sz="0" w:space="0" w:color="auto"/>
        <w:right w:val="none" w:sz="0" w:space="0" w:color="auto"/>
      </w:divBdr>
    </w:div>
    <w:div w:id="162942628">
      <w:marLeft w:val="0"/>
      <w:marRight w:val="0"/>
      <w:marTop w:val="0"/>
      <w:marBottom w:val="0"/>
      <w:divBdr>
        <w:top w:val="none" w:sz="0" w:space="0" w:color="auto"/>
        <w:left w:val="none" w:sz="0" w:space="0" w:color="auto"/>
        <w:bottom w:val="none" w:sz="0" w:space="0" w:color="auto"/>
        <w:right w:val="none" w:sz="0" w:space="0" w:color="auto"/>
      </w:divBdr>
    </w:div>
    <w:div w:id="162942629">
      <w:marLeft w:val="0"/>
      <w:marRight w:val="0"/>
      <w:marTop w:val="0"/>
      <w:marBottom w:val="0"/>
      <w:divBdr>
        <w:top w:val="none" w:sz="0" w:space="0" w:color="auto"/>
        <w:left w:val="none" w:sz="0" w:space="0" w:color="auto"/>
        <w:bottom w:val="none" w:sz="0" w:space="0" w:color="auto"/>
        <w:right w:val="none" w:sz="0" w:space="0" w:color="auto"/>
      </w:divBdr>
    </w:div>
    <w:div w:id="162942631">
      <w:marLeft w:val="0"/>
      <w:marRight w:val="0"/>
      <w:marTop w:val="0"/>
      <w:marBottom w:val="0"/>
      <w:divBdr>
        <w:top w:val="none" w:sz="0" w:space="0" w:color="auto"/>
        <w:left w:val="none" w:sz="0" w:space="0" w:color="auto"/>
        <w:bottom w:val="none" w:sz="0" w:space="0" w:color="auto"/>
        <w:right w:val="none" w:sz="0" w:space="0" w:color="auto"/>
      </w:divBdr>
    </w:div>
    <w:div w:id="162942633">
      <w:marLeft w:val="0"/>
      <w:marRight w:val="0"/>
      <w:marTop w:val="0"/>
      <w:marBottom w:val="0"/>
      <w:divBdr>
        <w:top w:val="none" w:sz="0" w:space="0" w:color="auto"/>
        <w:left w:val="none" w:sz="0" w:space="0" w:color="auto"/>
        <w:bottom w:val="none" w:sz="0" w:space="0" w:color="auto"/>
        <w:right w:val="none" w:sz="0" w:space="0" w:color="auto"/>
      </w:divBdr>
    </w:div>
    <w:div w:id="162942636">
      <w:marLeft w:val="0"/>
      <w:marRight w:val="0"/>
      <w:marTop w:val="0"/>
      <w:marBottom w:val="0"/>
      <w:divBdr>
        <w:top w:val="none" w:sz="0" w:space="0" w:color="auto"/>
        <w:left w:val="none" w:sz="0" w:space="0" w:color="auto"/>
        <w:bottom w:val="none" w:sz="0" w:space="0" w:color="auto"/>
        <w:right w:val="none" w:sz="0" w:space="0" w:color="auto"/>
      </w:divBdr>
    </w:div>
    <w:div w:id="162942637">
      <w:marLeft w:val="0"/>
      <w:marRight w:val="0"/>
      <w:marTop w:val="0"/>
      <w:marBottom w:val="0"/>
      <w:divBdr>
        <w:top w:val="none" w:sz="0" w:space="0" w:color="auto"/>
        <w:left w:val="none" w:sz="0" w:space="0" w:color="auto"/>
        <w:bottom w:val="none" w:sz="0" w:space="0" w:color="auto"/>
        <w:right w:val="none" w:sz="0" w:space="0" w:color="auto"/>
      </w:divBdr>
    </w:div>
    <w:div w:id="162942640">
      <w:marLeft w:val="0"/>
      <w:marRight w:val="0"/>
      <w:marTop w:val="0"/>
      <w:marBottom w:val="0"/>
      <w:divBdr>
        <w:top w:val="none" w:sz="0" w:space="0" w:color="auto"/>
        <w:left w:val="none" w:sz="0" w:space="0" w:color="auto"/>
        <w:bottom w:val="none" w:sz="0" w:space="0" w:color="auto"/>
        <w:right w:val="none" w:sz="0" w:space="0" w:color="auto"/>
      </w:divBdr>
    </w:div>
    <w:div w:id="162942643">
      <w:marLeft w:val="0"/>
      <w:marRight w:val="0"/>
      <w:marTop w:val="0"/>
      <w:marBottom w:val="0"/>
      <w:divBdr>
        <w:top w:val="none" w:sz="0" w:space="0" w:color="auto"/>
        <w:left w:val="none" w:sz="0" w:space="0" w:color="auto"/>
        <w:bottom w:val="none" w:sz="0" w:space="0" w:color="auto"/>
        <w:right w:val="none" w:sz="0" w:space="0" w:color="auto"/>
      </w:divBdr>
    </w:div>
    <w:div w:id="162942644">
      <w:marLeft w:val="0"/>
      <w:marRight w:val="0"/>
      <w:marTop w:val="0"/>
      <w:marBottom w:val="0"/>
      <w:divBdr>
        <w:top w:val="none" w:sz="0" w:space="0" w:color="auto"/>
        <w:left w:val="none" w:sz="0" w:space="0" w:color="auto"/>
        <w:bottom w:val="none" w:sz="0" w:space="0" w:color="auto"/>
        <w:right w:val="none" w:sz="0" w:space="0" w:color="auto"/>
      </w:divBdr>
    </w:div>
    <w:div w:id="162942645">
      <w:marLeft w:val="0"/>
      <w:marRight w:val="0"/>
      <w:marTop w:val="0"/>
      <w:marBottom w:val="0"/>
      <w:divBdr>
        <w:top w:val="none" w:sz="0" w:space="0" w:color="auto"/>
        <w:left w:val="none" w:sz="0" w:space="0" w:color="auto"/>
        <w:bottom w:val="none" w:sz="0" w:space="0" w:color="auto"/>
        <w:right w:val="none" w:sz="0" w:space="0" w:color="auto"/>
      </w:divBdr>
    </w:div>
    <w:div w:id="162942646">
      <w:marLeft w:val="0"/>
      <w:marRight w:val="0"/>
      <w:marTop w:val="0"/>
      <w:marBottom w:val="0"/>
      <w:divBdr>
        <w:top w:val="none" w:sz="0" w:space="0" w:color="auto"/>
        <w:left w:val="none" w:sz="0" w:space="0" w:color="auto"/>
        <w:bottom w:val="none" w:sz="0" w:space="0" w:color="auto"/>
        <w:right w:val="none" w:sz="0" w:space="0" w:color="auto"/>
      </w:divBdr>
      <w:divsChild>
        <w:div w:id="162942574">
          <w:marLeft w:val="0"/>
          <w:marRight w:val="0"/>
          <w:marTop w:val="0"/>
          <w:marBottom w:val="300"/>
          <w:divBdr>
            <w:top w:val="none" w:sz="0" w:space="0" w:color="auto"/>
            <w:left w:val="none" w:sz="0" w:space="0" w:color="auto"/>
            <w:bottom w:val="none" w:sz="0" w:space="0" w:color="auto"/>
            <w:right w:val="none" w:sz="0" w:space="0" w:color="auto"/>
          </w:divBdr>
        </w:div>
        <w:div w:id="162942601">
          <w:marLeft w:val="0"/>
          <w:marRight w:val="75"/>
          <w:marTop w:val="0"/>
          <w:marBottom w:val="0"/>
          <w:divBdr>
            <w:top w:val="none" w:sz="0" w:space="0" w:color="auto"/>
            <w:left w:val="none" w:sz="0" w:space="0" w:color="auto"/>
            <w:bottom w:val="none" w:sz="0" w:space="0" w:color="auto"/>
            <w:right w:val="none" w:sz="0" w:space="0" w:color="auto"/>
          </w:divBdr>
        </w:div>
        <w:div w:id="162942647">
          <w:marLeft w:val="255"/>
          <w:marRight w:val="0"/>
          <w:marTop w:val="75"/>
          <w:marBottom w:val="0"/>
          <w:divBdr>
            <w:top w:val="none" w:sz="0" w:space="0" w:color="auto"/>
            <w:left w:val="none" w:sz="0" w:space="0" w:color="auto"/>
            <w:bottom w:val="none" w:sz="0" w:space="0" w:color="auto"/>
            <w:right w:val="none" w:sz="0" w:space="0" w:color="auto"/>
          </w:divBdr>
        </w:div>
      </w:divsChild>
    </w:div>
    <w:div w:id="162942648">
      <w:marLeft w:val="0"/>
      <w:marRight w:val="0"/>
      <w:marTop w:val="0"/>
      <w:marBottom w:val="0"/>
      <w:divBdr>
        <w:top w:val="none" w:sz="0" w:space="0" w:color="auto"/>
        <w:left w:val="none" w:sz="0" w:space="0" w:color="auto"/>
        <w:bottom w:val="none" w:sz="0" w:space="0" w:color="auto"/>
        <w:right w:val="none" w:sz="0" w:space="0" w:color="auto"/>
      </w:divBdr>
    </w:div>
    <w:div w:id="162942650">
      <w:marLeft w:val="0"/>
      <w:marRight w:val="0"/>
      <w:marTop w:val="0"/>
      <w:marBottom w:val="0"/>
      <w:divBdr>
        <w:top w:val="none" w:sz="0" w:space="0" w:color="auto"/>
        <w:left w:val="none" w:sz="0" w:space="0" w:color="auto"/>
        <w:bottom w:val="none" w:sz="0" w:space="0" w:color="auto"/>
        <w:right w:val="none" w:sz="0" w:space="0" w:color="auto"/>
      </w:divBdr>
    </w:div>
    <w:div w:id="162942651">
      <w:marLeft w:val="0"/>
      <w:marRight w:val="0"/>
      <w:marTop w:val="0"/>
      <w:marBottom w:val="0"/>
      <w:divBdr>
        <w:top w:val="none" w:sz="0" w:space="0" w:color="auto"/>
        <w:left w:val="none" w:sz="0" w:space="0" w:color="auto"/>
        <w:bottom w:val="none" w:sz="0" w:space="0" w:color="auto"/>
        <w:right w:val="none" w:sz="0" w:space="0" w:color="auto"/>
      </w:divBdr>
      <w:divsChild>
        <w:div w:id="162942576">
          <w:marLeft w:val="0"/>
          <w:marRight w:val="0"/>
          <w:marTop w:val="0"/>
          <w:marBottom w:val="0"/>
          <w:divBdr>
            <w:top w:val="none" w:sz="0" w:space="0" w:color="auto"/>
            <w:left w:val="none" w:sz="0" w:space="0" w:color="auto"/>
            <w:bottom w:val="none" w:sz="0" w:space="0" w:color="auto"/>
            <w:right w:val="none" w:sz="0" w:space="0" w:color="auto"/>
          </w:divBdr>
        </w:div>
        <w:div w:id="162942593">
          <w:marLeft w:val="0"/>
          <w:marRight w:val="0"/>
          <w:marTop w:val="0"/>
          <w:marBottom w:val="0"/>
          <w:divBdr>
            <w:top w:val="none" w:sz="0" w:space="0" w:color="auto"/>
            <w:left w:val="none" w:sz="0" w:space="0" w:color="auto"/>
            <w:bottom w:val="none" w:sz="0" w:space="0" w:color="auto"/>
            <w:right w:val="none" w:sz="0" w:space="0" w:color="auto"/>
          </w:divBdr>
        </w:div>
      </w:divsChild>
    </w:div>
    <w:div w:id="162942654">
      <w:marLeft w:val="0"/>
      <w:marRight w:val="0"/>
      <w:marTop w:val="0"/>
      <w:marBottom w:val="0"/>
      <w:divBdr>
        <w:top w:val="none" w:sz="0" w:space="0" w:color="auto"/>
        <w:left w:val="none" w:sz="0" w:space="0" w:color="auto"/>
        <w:bottom w:val="none" w:sz="0" w:space="0" w:color="auto"/>
        <w:right w:val="none" w:sz="0" w:space="0" w:color="auto"/>
      </w:divBdr>
    </w:div>
    <w:div w:id="162942656">
      <w:marLeft w:val="0"/>
      <w:marRight w:val="0"/>
      <w:marTop w:val="0"/>
      <w:marBottom w:val="0"/>
      <w:divBdr>
        <w:top w:val="none" w:sz="0" w:space="0" w:color="auto"/>
        <w:left w:val="none" w:sz="0" w:space="0" w:color="auto"/>
        <w:bottom w:val="none" w:sz="0" w:space="0" w:color="auto"/>
        <w:right w:val="none" w:sz="0" w:space="0" w:color="auto"/>
      </w:divBdr>
    </w:div>
    <w:div w:id="162942657">
      <w:marLeft w:val="0"/>
      <w:marRight w:val="0"/>
      <w:marTop w:val="0"/>
      <w:marBottom w:val="0"/>
      <w:divBdr>
        <w:top w:val="none" w:sz="0" w:space="0" w:color="auto"/>
        <w:left w:val="none" w:sz="0" w:space="0" w:color="auto"/>
        <w:bottom w:val="none" w:sz="0" w:space="0" w:color="auto"/>
        <w:right w:val="none" w:sz="0" w:space="0" w:color="auto"/>
      </w:divBdr>
      <w:divsChild>
        <w:div w:id="162942630">
          <w:marLeft w:val="0"/>
          <w:marRight w:val="0"/>
          <w:marTop w:val="0"/>
          <w:marBottom w:val="0"/>
          <w:divBdr>
            <w:top w:val="none" w:sz="0" w:space="0" w:color="auto"/>
            <w:left w:val="none" w:sz="0" w:space="0" w:color="auto"/>
            <w:bottom w:val="none" w:sz="0" w:space="0" w:color="auto"/>
            <w:right w:val="none" w:sz="0" w:space="0" w:color="auto"/>
          </w:divBdr>
        </w:div>
        <w:div w:id="162942638">
          <w:marLeft w:val="0"/>
          <w:marRight w:val="0"/>
          <w:marTop w:val="0"/>
          <w:marBottom w:val="0"/>
          <w:divBdr>
            <w:top w:val="none" w:sz="0" w:space="0" w:color="auto"/>
            <w:left w:val="none" w:sz="0" w:space="0" w:color="auto"/>
            <w:bottom w:val="none" w:sz="0" w:space="0" w:color="auto"/>
            <w:right w:val="none" w:sz="0" w:space="0" w:color="auto"/>
          </w:divBdr>
        </w:div>
      </w:divsChild>
    </w:div>
    <w:div w:id="162942658">
      <w:marLeft w:val="0"/>
      <w:marRight w:val="0"/>
      <w:marTop w:val="0"/>
      <w:marBottom w:val="0"/>
      <w:divBdr>
        <w:top w:val="none" w:sz="0" w:space="0" w:color="auto"/>
        <w:left w:val="none" w:sz="0" w:space="0" w:color="auto"/>
        <w:bottom w:val="none" w:sz="0" w:space="0" w:color="auto"/>
        <w:right w:val="none" w:sz="0" w:space="0" w:color="auto"/>
      </w:divBdr>
      <w:divsChild>
        <w:div w:id="162942600">
          <w:marLeft w:val="0"/>
          <w:marRight w:val="0"/>
          <w:marTop w:val="0"/>
          <w:marBottom w:val="0"/>
          <w:divBdr>
            <w:top w:val="none" w:sz="0" w:space="0" w:color="auto"/>
            <w:left w:val="none" w:sz="0" w:space="0" w:color="auto"/>
            <w:bottom w:val="none" w:sz="0" w:space="0" w:color="auto"/>
            <w:right w:val="none" w:sz="0" w:space="0" w:color="auto"/>
          </w:divBdr>
        </w:div>
        <w:div w:id="162942617">
          <w:marLeft w:val="0"/>
          <w:marRight w:val="0"/>
          <w:marTop w:val="0"/>
          <w:marBottom w:val="0"/>
          <w:divBdr>
            <w:top w:val="none" w:sz="0" w:space="0" w:color="auto"/>
            <w:left w:val="none" w:sz="0" w:space="0" w:color="auto"/>
            <w:bottom w:val="none" w:sz="0" w:space="0" w:color="auto"/>
            <w:right w:val="none" w:sz="0" w:space="0" w:color="auto"/>
          </w:divBdr>
        </w:div>
      </w:divsChild>
    </w:div>
    <w:div w:id="162942660">
      <w:marLeft w:val="0"/>
      <w:marRight w:val="0"/>
      <w:marTop w:val="0"/>
      <w:marBottom w:val="0"/>
      <w:divBdr>
        <w:top w:val="none" w:sz="0" w:space="0" w:color="auto"/>
        <w:left w:val="none" w:sz="0" w:space="0" w:color="auto"/>
        <w:bottom w:val="none" w:sz="0" w:space="0" w:color="auto"/>
        <w:right w:val="none" w:sz="0" w:space="0" w:color="auto"/>
      </w:divBdr>
    </w:div>
    <w:div w:id="162942662">
      <w:marLeft w:val="0"/>
      <w:marRight w:val="0"/>
      <w:marTop w:val="0"/>
      <w:marBottom w:val="0"/>
      <w:divBdr>
        <w:top w:val="none" w:sz="0" w:space="0" w:color="auto"/>
        <w:left w:val="none" w:sz="0" w:space="0" w:color="auto"/>
        <w:bottom w:val="none" w:sz="0" w:space="0" w:color="auto"/>
        <w:right w:val="none" w:sz="0" w:space="0" w:color="auto"/>
      </w:divBdr>
      <w:divsChild>
        <w:div w:id="162942655">
          <w:marLeft w:val="0"/>
          <w:marRight w:val="75"/>
          <w:marTop w:val="0"/>
          <w:marBottom w:val="0"/>
          <w:divBdr>
            <w:top w:val="none" w:sz="0" w:space="0" w:color="auto"/>
            <w:left w:val="none" w:sz="0" w:space="0" w:color="auto"/>
            <w:bottom w:val="none" w:sz="0" w:space="0" w:color="auto"/>
            <w:right w:val="none" w:sz="0" w:space="0" w:color="auto"/>
          </w:divBdr>
        </w:div>
        <w:div w:id="162942677">
          <w:marLeft w:val="255"/>
          <w:marRight w:val="0"/>
          <w:marTop w:val="75"/>
          <w:marBottom w:val="0"/>
          <w:divBdr>
            <w:top w:val="none" w:sz="0" w:space="0" w:color="auto"/>
            <w:left w:val="none" w:sz="0" w:space="0" w:color="auto"/>
            <w:bottom w:val="none" w:sz="0" w:space="0" w:color="auto"/>
            <w:right w:val="none" w:sz="0" w:space="0" w:color="auto"/>
          </w:divBdr>
        </w:div>
      </w:divsChild>
    </w:div>
    <w:div w:id="162942665">
      <w:marLeft w:val="0"/>
      <w:marRight w:val="0"/>
      <w:marTop w:val="0"/>
      <w:marBottom w:val="0"/>
      <w:divBdr>
        <w:top w:val="none" w:sz="0" w:space="0" w:color="auto"/>
        <w:left w:val="none" w:sz="0" w:space="0" w:color="auto"/>
        <w:bottom w:val="none" w:sz="0" w:space="0" w:color="auto"/>
        <w:right w:val="none" w:sz="0" w:space="0" w:color="auto"/>
      </w:divBdr>
    </w:div>
    <w:div w:id="162942666">
      <w:marLeft w:val="0"/>
      <w:marRight w:val="0"/>
      <w:marTop w:val="0"/>
      <w:marBottom w:val="0"/>
      <w:divBdr>
        <w:top w:val="none" w:sz="0" w:space="0" w:color="auto"/>
        <w:left w:val="none" w:sz="0" w:space="0" w:color="auto"/>
        <w:bottom w:val="none" w:sz="0" w:space="0" w:color="auto"/>
        <w:right w:val="none" w:sz="0" w:space="0" w:color="auto"/>
      </w:divBdr>
    </w:div>
    <w:div w:id="162942667">
      <w:marLeft w:val="0"/>
      <w:marRight w:val="0"/>
      <w:marTop w:val="0"/>
      <w:marBottom w:val="0"/>
      <w:divBdr>
        <w:top w:val="none" w:sz="0" w:space="0" w:color="auto"/>
        <w:left w:val="none" w:sz="0" w:space="0" w:color="auto"/>
        <w:bottom w:val="none" w:sz="0" w:space="0" w:color="auto"/>
        <w:right w:val="none" w:sz="0" w:space="0" w:color="auto"/>
      </w:divBdr>
    </w:div>
    <w:div w:id="162942669">
      <w:marLeft w:val="0"/>
      <w:marRight w:val="0"/>
      <w:marTop w:val="0"/>
      <w:marBottom w:val="0"/>
      <w:divBdr>
        <w:top w:val="none" w:sz="0" w:space="0" w:color="auto"/>
        <w:left w:val="none" w:sz="0" w:space="0" w:color="auto"/>
        <w:bottom w:val="none" w:sz="0" w:space="0" w:color="auto"/>
        <w:right w:val="none" w:sz="0" w:space="0" w:color="auto"/>
      </w:divBdr>
      <w:divsChild>
        <w:div w:id="162942567">
          <w:marLeft w:val="255"/>
          <w:marRight w:val="0"/>
          <w:marTop w:val="75"/>
          <w:marBottom w:val="0"/>
          <w:divBdr>
            <w:top w:val="none" w:sz="0" w:space="0" w:color="auto"/>
            <w:left w:val="none" w:sz="0" w:space="0" w:color="auto"/>
            <w:bottom w:val="none" w:sz="0" w:space="0" w:color="auto"/>
            <w:right w:val="none" w:sz="0" w:space="0" w:color="auto"/>
          </w:divBdr>
          <w:divsChild>
            <w:div w:id="162942569">
              <w:marLeft w:val="255"/>
              <w:marRight w:val="0"/>
              <w:marTop w:val="0"/>
              <w:marBottom w:val="0"/>
              <w:divBdr>
                <w:top w:val="none" w:sz="0" w:space="0" w:color="auto"/>
                <w:left w:val="none" w:sz="0" w:space="0" w:color="auto"/>
                <w:bottom w:val="none" w:sz="0" w:space="0" w:color="auto"/>
                <w:right w:val="none" w:sz="0" w:space="0" w:color="auto"/>
              </w:divBdr>
            </w:div>
            <w:div w:id="162942607">
              <w:marLeft w:val="255"/>
              <w:marRight w:val="0"/>
              <w:marTop w:val="0"/>
              <w:marBottom w:val="0"/>
              <w:divBdr>
                <w:top w:val="none" w:sz="0" w:space="0" w:color="auto"/>
                <w:left w:val="none" w:sz="0" w:space="0" w:color="auto"/>
                <w:bottom w:val="none" w:sz="0" w:space="0" w:color="auto"/>
                <w:right w:val="none" w:sz="0" w:space="0" w:color="auto"/>
              </w:divBdr>
            </w:div>
            <w:div w:id="162942639">
              <w:marLeft w:val="255"/>
              <w:marRight w:val="0"/>
              <w:marTop w:val="0"/>
              <w:marBottom w:val="0"/>
              <w:divBdr>
                <w:top w:val="none" w:sz="0" w:space="0" w:color="auto"/>
                <w:left w:val="none" w:sz="0" w:space="0" w:color="auto"/>
                <w:bottom w:val="none" w:sz="0" w:space="0" w:color="auto"/>
                <w:right w:val="none" w:sz="0" w:space="0" w:color="auto"/>
              </w:divBdr>
            </w:div>
            <w:div w:id="162942668">
              <w:marLeft w:val="255"/>
              <w:marRight w:val="0"/>
              <w:marTop w:val="0"/>
              <w:marBottom w:val="0"/>
              <w:divBdr>
                <w:top w:val="none" w:sz="0" w:space="0" w:color="auto"/>
                <w:left w:val="none" w:sz="0" w:space="0" w:color="auto"/>
                <w:bottom w:val="none" w:sz="0" w:space="0" w:color="auto"/>
                <w:right w:val="none" w:sz="0" w:space="0" w:color="auto"/>
              </w:divBdr>
            </w:div>
          </w:divsChild>
        </w:div>
        <w:div w:id="162942664">
          <w:marLeft w:val="255"/>
          <w:marRight w:val="0"/>
          <w:marTop w:val="75"/>
          <w:marBottom w:val="0"/>
          <w:divBdr>
            <w:top w:val="none" w:sz="0" w:space="0" w:color="auto"/>
            <w:left w:val="none" w:sz="0" w:space="0" w:color="auto"/>
            <w:bottom w:val="none" w:sz="0" w:space="0" w:color="auto"/>
            <w:right w:val="none" w:sz="0" w:space="0" w:color="auto"/>
          </w:divBdr>
        </w:div>
      </w:divsChild>
    </w:div>
    <w:div w:id="162942670">
      <w:marLeft w:val="0"/>
      <w:marRight w:val="0"/>
      <w:marTop w:val="0"/>
      <w:marBottom w:val="0"/>
      <w:divBdr>
        <w:top w:val="none" w:sz="0" w:space="0" w:color="auto"/>
        <w:left w:val="none" w:sz="0" w:space="0" w:color="auto"/>
        <w:bottom w:val="none" w:sz="0" w:space="0" w:color="auto"/>
        <w:right w:val="none" w:sz="0" w:space="0" w:color="auto"/>
      </w:divBdr>
      <w:divsChild>
        <w:div w:id="162942597">
          <w:marLeft w:val="0"/>
          <w:marRight w:val="0"/>
          <w:marTop w:val="0"/>
          <w:marBottom w:val="0"/>
          <w:divBdr>
            <w:top w:val="none" w:sz="0" w:space="0" w:color="auto"/>
            <w:left w:val="none" w:sz="0" w:space="0" w:color="auto"/>
            <w:bottom w:val="none" w:sz="0" w:space="0" w:color="auto"/>
            <w:right w:val="none" w:sz="0" w:space="0" w:color="auto"/>
          </w:divBdr>
        </w:div>
        <w:div w:id="162942632">
          <w:marLeft w:val="0"/>
          <w:marRight w:val="0"/>
          <w:marTop w:val="0"/>
          <w:marBottom w:val="0"/>
          <w:divBdr>
            <w:top w:val="none" w:sz="0" w:space="0" w:color="auto"/>
            <w:left w:val="none" w:sz="0" w:space="0" w:color="auto"/>
            <w:bottom w:val="none" w:sz="0" w:space="0" w:color="auto"/>
            <w:right w:val="none" w:sz="0" w:space="0" w:color="auto"/>
          </w:divBdr>
        </w:div>
      </w:divsChild>
    </w:div>
    <w:div w:id="162942671">
      <w:marLeft w:val="0"/>
      <w:marRight w:val="0"/>
      <w:marTop w:val="0"/>
      <w:marBottom w:val="0"/>
      <w:divBdr>
        <w:top w:val="none" w:sz="0" w:space="0" w:color="auto"/>
        <w:left w:val="none" w:sz="0" w:space="0" w:color="auto"/>
        <w:bottom w:val="none" w:sz="0" w:space="0" w:color="auto"/>
        <w:right w:val="none" w:sz="0" w:space="0" w:color="auto"/>
      </w:divBdr>
    </w:div>
    <w:div w:id="162942672">
      <w:marLeft w:val="0"/>
      <w:marRight w:val="0"/>
      <w:marTop w:val="0"/>
      <w:marBottom w:val="0"/>
      <w:divBdr>
        <w:top w:val="none" w:sz="0" w:space="0" w:color="auto"/>
        <w:left w:val="none" w:sz="0" w:space="0" w:color="auto"/>
        <w:bottom w:val="none" w:sz="0" w:space="0" w:color="auto"/>
        <w:right w:val="none" w:sz="0" w:space="0" w:color="auto"/>
      </w:divBdr>
    </w:div>
    <w:div w:id="162942674">
      <w:marLeft w:val="0"/>
      <w:marRight w:val="0"/>
      <w:marTop w:val="0"/>
      <w:marBottom w:val="0"/>
      <w:divBdr>
        <w:top w:val="none" w:sz="0" w:space="0" w:color="auto"/>
        <w:left w:val="none" w:sz="0" w:space="0" w:color="auto"/>
        <w:bottom w:val="none" w:sz="0" w:space="0" w:color="auto"/>
        <w:right w:val="none" w:sz="0" w:space="0" w:color="auto"/>
      </w:divBdr>
    </w:div>
    <w:div w:id="162942675">
      <w:marLeft w:val="0"/>
      <w:marRight w:val="0"/>
      <w:marTop w:val="0"/>
      <w:marBottom w:val="0"/>
      <w:divBdr>
        <w:top w:val="none" w:sz="0" w:space="0" w:color="auto"/>
        <w:left w:val="none" w:sz="0" w:space="0" w:color="auto"/>
        <w:bottom w:val="none" w:sz="0" w:space="0" w:color="auto"/>
        <w:right w:val="none" w:sz="0" w:space="0" w:color="auto"/>
      </w:divBdr>
      <w:divsChild>
        <w:div w:id="162942592">
          <w:marLeft w:val="0"/>
          <w:marRight w:val="75"/>
          <w:marTop w:val="0"/>
          <w:marBottom w:val="0"/>
          <w:divBdr>
            <w:top w:val="none" w:sz="0" w:space="0" w:color="auto"/>
            <w:left w:val="none" w:sz="0" w:space="0" w:color="auto"/>
            <w:bottom w:val="none" w:sz="0" w:space="0" w:color="auto"/>
            <w:right w:val="none" w:sz="0" w:space="0" w:color="auto"/>
          </w:divBdr>
        </w:div>
        <w:div w:id="162942635">
          <w:marLeft w:val="0"/>
          <w:marRight w:val="0"/>
          <w:marTop w:val="0"/>
          <w:marBottom w:val="300"/>
          <w:divBdr>
            <w:top w:val="none" w:sz="0" w:space="0" w:color="auto"/>
            <w:left w:val="none" w:sz="0" w:space="0" w:color="auto"/>
            <w:bottom w:val="none" w:sz="0" w:space="0" w:color="auto"/>
            <w:right w:val="none" w:sz="0" w:space="0" w:color="auto"/>
          </w:divBdr>
        </w:div>
        <w:div w:id="162942673">
          <w:marLeft w:val="255"/>
          <w:marRight w:val="0"/>
          <w:marTop w:val="75"/>
          <w:marBottom w:val="0"/>
          <w:divBdr>
            <w:top w:val="none" w:sz="0" w:space="0" w:color="auto"/>
            <w:left w:val="none" w:sz="0" w:space="0" w:color="auto"/>
            <w:bottom w:val="none" w:sz="0" w:space="0" w:color="auto"/>
            <w:right w:val="none" w:sz="0" w:space="0" w:color="auto"/>
          </w:divBdr>
        </w:div>
      </w:divsChild>
    </w:div>
    <w:div w:id="162942676">
      <w:marLeft w:val="0"/>
      <w:marRight w:val="0"/>
      <w:marTop w:val="0"/>
      <w:marBottom w:val="0"/>
      <w:divBdr>
        <w:top w:val="none" w:sz="0" w:space="0" w:color="auto"/>
        <w:left w:val="none" w:sz="0" w:space="0" w:color="auto"/>
        <w:bottom w:val="none" w:sz="0" w:space="0" w:color="auto"/>
        <w:right w:val="none" w:sz="0" w:space="0" w:color="auto"/>
      </w:divBdr>
    </w:div>
    <w:div w:id="162942678">
      <w:marLeft w:val="0"/>
      <w:marRight w:val="0"/>
      <w:marTop w:val="0"/>
      <w:marBottom w:val="0"/>
      <w:divBdr>
        <w:top w:val="none" w:sz="0" w:space="0" w:color="auto"/>
        <w:left w:val="none" w:sz="0" w:space="0" w:color="auto"/>
        <w:bottom w:val="none" w:sz="0" w:space="0" w:color="auto"/>
        <w:right w:val="none" w:sz="0" w:space="0" w:color="auto"/>
      </w:divBdr>
    </w:div>
    <w:div w:id="1102385543">
      <w:bodyDiv w:val="1"/>
      <w:marLeft w:val="0"/>
      <w:marRight w:val="0"/>
      <w:marTop w:val="0"/>
      <w:marBottom w:val="0"/>
      <w:divBdr>
        <w:top w:val="none" w:sz="0" w:space="0" w:color="auto"/>
        <w:left w:val="none" w:sz="0" w:space="0" w:color="auto"/>
        <w:bottom w:val="none" w:sz="0" w:space="0" w:color="auto"/>
        <w:right w:val="none" w:sz="0" w:space="0" w:color="auto"/>
      </w:divBdr>
    </w:div>
    <w:div w:id="110437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2181</Words>
  <Characters>12438</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Osobitná časť</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Osobitná časť</dc:title>
  <dc:subject/>
  <dc:creator/>
  <cp:keywords/>
  <dc:description/>
  <cp:lastModifiedBy/>
  <cp:revision>1</cp:revision>
  <dcterms:created xsi:type="dcterms:W3CDTF">2024-03-01T11:58:00Z</dcterms:created>
  <dcterms:modified xsi:type="dcterms:W3CDTF">2024-03-26T09:24:00Z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&lt;p&gt;Predbežná informácia týkajúca sa návrh zákona, ktorým sa mení a dopĺňa&amp;nbsp; zákon č.&amp;nbsp; 311/2001 Z. z. Zákonník práce v znení neskorších predpisov a ktorým sa&amp;nbsp; menia a dopĺňajú niektoré zákony (ďalej len „návrh zákona“) bola zverejnená na port</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Po rokovaní poradných orgánov vlády SR</vt:lpwstr>
  </property>
  <property fmtid="{D5CDD505-2E9C-101B-9397-08002B2CF9AE}" pid="7" name="FSC#SKEDITIONSLOVLEX@103.510:povodpredpis">
    <vt:lpwstr>Slovlex (eLeg)</vt:lpwstr>
  </property>
  <property fmtid="{D5CDD505-2E9C-101B-9397-08002B2CF9AE}" pid="8" name="FSC#SKEDITIONSLOVLEX@103.510:legoblast">
    <vt:lpwstr>Pracovno-právne vzťahy</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Lýdia Ďurannová</vt:lpwstr>
  </property>
  <property fmtid="{D5CDD505-2E9C-101B-9397-08002B2CF9AE}" pid="12" name="FSC#SKEDITIONSLOVLEX@103.510:zodppredkladatel">
    <vt:lpwstr>Bc. Milan Krajniak</vt:lpwstr>
  </property>
  <property fmtid="{D5CDD505-2E9C-101B-9397-08002B2CF9AE}" pid="13" name="FSC#SKEDITIONSLOVLEX@103.510:dalsipredkladatel">
    <vt:lpwstr/>
  </property>
  <property fmtid="{D5CDD505-2E9C-101B-9397-08002B2CF9AE}" pid="14" name="FSC#SKEDITIONSLOVLEX@103.510:nazovpredpis">
    <vt:lpwstr>, ktorým sa mení a dopĺňa zákon č. 311/2001 Z. z. Zákonník práce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práce, sociálnych vecí a rodiny Slovenskej republiky</vt:lpwstr>
  </property>
  <property fmtid="{D5CDD505-2E9C-101B-9397-08002B2CF9AE}" pid="20"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mesiace jún až december 2021</vt:lpwstr>
  </property>
  <property fmtid="{D5CDD505-2E9C-101B-9397-08002B2CF9AE}" pid="23" name="FSC#SKEDITIONSLOVLEX@103.510:plnynazovpredpis">
    <vt:lpwstr> Zákon, ktorým sa mení a dopĺňa zákon č. 311/2001 Z. z. Zákonník práce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24242/2021-M_OPVA</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LP/2021/416</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 v čl. 48, čl. 151 až 153 a čl. 156 až 158 Zmluvy o fungovaní Európskej únie v platnom znení,- v čl. 33 a 34 Charty základných práv Európskej únie,</vt:lpwstr>
  </property>
  <property fmtid="{D5CDD505-2E9C-101B-9397-08002B2CF9AE}" pid="47" name="FSC#SKEDITIONSLOVLEX@103.510:AttrStrListDocPropSekundarneLegPravoPO">
    <vt:lpwstr>-	smernica Európskeho parlamentu a Rady (EÚ) 2019/1152 z 20. júna 2019 o transparentných a predvídateľných pracovných podmienkach v Európskej únii (Ú. v. EÚ L 186, 11.7.2019), gestor zodpovedný za prebratie smernice – MPSVR SR,-	smernica Európskeho parl</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c)  nie je obsiahnutá v judikatúre Súdneho dvora Európskej únie.</vt:lpwstr>
  </property>
  <property fmtid="{D5CDD505-2E9C-101B-9397-08002B2CF9AE}" pid="52" name="FSC#SKEDITIONSLOVLEX@103.510:AttrStrListDocPropLehotaPrebratieSmernice">
    <vt:lpwstr>Lehota na prebratie smernice (EÚ) 2019/1152 je 1. august 2022.Lehota na prebratie smernice (EÚ) 2019/1158 je 2. august 2022.</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Slovenskej republike nezačalo žiadne konanie o porušení podľa čl. 258 až 260 Zmluvy o fungovaní Európskej únie.</vt:lpwstr>
  </property>
  <property fmtid="{D5CDD505-2E9C-101B-9397-08002B2CF9AE}" pid="55" name="FSC#SKEDITIONSLOVLEX@103.510:AttrStrListDocPropInfoUzPreberanePP">
    <vt:lpwstr>Smernica (EÚ) 2019/1152 a smernica (EÚ) 2019/1158 sú už čiastočne prebraté - Zákonníkom práce,- zákonom č. 73/1998 Z. z. o štátnej službe príslušníkov Policajného zboru, Slovenskej informačnej služby, Zboru väzenskej a justičnej stráže Slovenskej repu</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16. 7. 2021</vt:lpwstr>
  </property>
  <property fmtid="{D5CDD505-2E9C-101B-9397-08002B2CF9AE}" pid="59" name="FSC#SKEDITIONSLOVLEX@103.510:AttrDateDocPropUkonceniePKK">
    <vt:lpwstr>26. 7. 2021</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Vzhľadom na transpozíciu smernice EÚ sa nezvažovali alternatívne riešenia. Prípadné alternatívne riešenia by išli nad rámec transponovaných smerníc, čo by mohlo mať za následok goldplating.Nulový variant by znamenal nevykonanie transpozície smerníc EÚ, čo</vt:lpwstr>
  </property>
  <property fmtid="{D5CDD505-2E9C-101B-9397-08002B2CF9AE}" pid="67" name="FSC#SKEDITIONSLOVLEX@103.510:AttrStrListDocPropStanoviskoGest">
    <vt:lpwstr>&lt;p&gt;&lt;strong&gt;K&amp;nbsp;vplyvom na rozpočet verejnej správy&lt;/strong&gt;&lt;/p&gt;&lt;p&gt;V&amp;nbsp;doložke vybraných vplyvov je označený negatívny, rozpočtovo nekrytý vplyv na rozpočet verejnej správy. V&amp;nbsp;analýze vplyvov je kvantifikovaný negatívny vplyv v&amp;nbsp;sume 8&amp;nbsp;</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republikyminister práce, sociálnych vecí a rodiny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práce, sociálnych vecí a rodiny Slovenskej republiky</vt:lpwstr>
  </property>
  <property fmtid="{D5CDD505-2E9C-101B-9397-08002B2CF9AE}" pid="142" name="FSC#SKEDITIONSLOVLEX@103.510:funkciaZodpPredAkuzativ">
    <vt:lpwstr>ministra práce, sociálnych vecí a rodiny Slovenskej republiky</vt:lpwstr>
  </property>
  <property fmtid="{D5CDD505-2E9C-101B-9397-08002B2CF9AE}" pid="143" name="FSC#SKEDITIONSLOVLEX@103.510:funkciaZodpPredDativ">
    <vt:lpwstr>ministrovi práce, sociálnych vecí a rodiny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Bc. Milan Krajniakminister práce, sociálnych vecí a rodiny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práce, sociálnych vecí a rodiny Slovenskej republiky predkladá návrh zákona, ktorým sa mení a dopĺňa zákon č. 311/2001 Z. z. Zákonník práce v znení neskorších predpisov a ktorým sa menia a dopĺňajú niektoré zákony (ďalej len „návrh zákona“</vt:lpwstr>
  </property>
  <property fmtid="{D5CDD505-2E9C-101B-9397-08002B2CF9AE}" pid="150" name="FSC#SKEDITIONSLOVLEX@103.510:vytvorenedna">
    <vt:lpwstr>19. 8. 2021</vt:lpwstr>
  </property>
  <property fmtid="{D5CDD505-2E9C-101B-9397-08002B2CF9AE}" pid="151" name="FSC#COOSYSTEM@1.1:Container">
    <vt:lpwstr>COO.2145.1000.3.4511754</vt:lpwstr>
  </property>
  <property fmtid="{D5CDD505-2E9C-101B-9397-08002B2CF9AE}" pid="152" name="FSC#FSCFOLIO@1.1001:docpropproject">
    <vt:lpwstr/>
  </property>
</Properties>
</file>