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2 -->
  <w:body>
    <w:p w:rsidR="00AC7099" w:rsidRPr="00AC7099" w:rsidP="00AC7099">
      <w:pPr>
        <w:spacing w:after="0"/>
        <w:jc w:val="center"/>
        <w:rPr>
          <w:rFonts w:ascii="Times New Roman" w:hAnsi="Times New Roman" w:cs="Times New Roman"/>
          <w:b/>
          <w:color w:val="000000" w:themeColor="text1"/>
          <w:sz w:val="24"/>
          <w:szCs w:val="24"/>
        </w:rPr>
      </w:pPr>
      <w:r w:rsidRPr="00AC7099">
        <w:rPr>
          <w:rFonts w:ascii="Times New Roman" w:hAnsi="Times New Roman" w:cs="Times New Roman"/>
          <w:b/>
          <w:caps/>
          <w:color w:val="000000" w:themeColor="text1"/>
          <w:sz w:val="24"/>
          <w:szCs w:val="24"/>
        </w:rPr>
        <w:t xml:space="preserve">Dôvodová správa </w:t>
      </w:r>
    </w:p>
    <w:p w:rsidR="00AC7099" w:rsidRPr="00AC7099" w:rsidP="00AC7099">
      <w:pPr>
        <w:spacing w:after="0"/>
        <w:rPr>
          <w:rFonts w:ascii="Times New Roman" w:hAnsi="Times New Roman" w:cs="Times New Roman"/>
          <w:b/>
          <w:color w:val="000000" w:themeColor="text1"/>
          <w:sz w:val="24"/>
          <w:szCs w:val="24"/>
        </w:rPr>
      </w:pPr>
    </w:p>
    <w:p w:rsidR="00AC7099" w:rsidRPr="00AC7099" w:rsidP="00AC7099">
      <w:pPr>
        <w:spacing w:after="0"/>
        <w:rPr>
          <w:rFonts w:ascii="Times New Roman" w:hAnsi="Times New Roman" w:cs="Times New Roman"/>
          <w:b/>
          <w:color w:val="000000" w:themeColor="text1"/>
          <w:sz w:val="24"/>
          <w:szCs w:val="24"/>
        </w:rPr>
      </w:pPr>
      <w:r w:rsidRPr="00AC7099">
        <w:rPr>
          <w:rFonts w:ascii="Times New Roman" w:hAnsi="Times New Roman" w:cs="Times New Roman"/>
          <w:b/>
          <w:color w:val="000000" w:themeColor="text1"/>
          <w:sz w:val="24"/>
          <w:szCs w:val="24"/>
        </w:rPr>
        <w:t>A. Všeobecná časť</w:t>
      </w:r>
    </w:p>
    <w:p w:rsidR="00AC7099" w:rsidRPr="00AC7099" w:rsidP="00AC7099">
      <w:pPr>
        <w:spacing w:after="0"/>
        <w:rPr>
          <w:rFonts w:ascii="Times New Roman" w:hAnsi="Times New Roman" w:cs="Times New Roman"/>
          <w:color w:val="000000" w:themeColor="text1"/>
          <w:sz w:val="24"/>
          <w:szCs w:val="24"/>
        </w:rPr>
      </w:pPr>
    </w:p>
    <w:p w:rsidR="00AC7099" w:rsidRPr="00AC7099" w:rsidP="00AC7099">
      <w:pPr>
        <w:autoSpaceDE w:val="0"/>
        <w:autoSpaceDN w:val="0"/>
        <w:spacing w:after="0"/>
        <w:ind w:firstLine="708"/>
        <w:jc w:val="both"/>
        <w:rPr>
          <w:rStyle w:val="awspan1"/>
          <w:rFonts w:ascii="Times New Roman" w:hAnsi="Times New Roman"/>
          <w:color w:val="000000" w:themeColor="text1"/>
        </w:rPr>
      </w:pPr>
      <w:r w:rsidRPr="00AC7099">
        <w:rPr>
          <w:rStyle w:val="PlaceholderText"/>
          <w:color w:val="000000" w:themeColor="text1"/>
          <w:sz w:val="24"/>
          <w:szCs w:val="24"/>
        </w:rPr>
        <w:t xml:space="preserve">Návrh zákona, </w:t>
      </w:r>
      <w:r w:rsidRPr="00AC7099">
        <w:rPr>
          <w:rFonts w:ascii="Times New Roman" w:hAnsi="Times New Roman" w:cs="Times New Roman"/>
          <w:color w:val="000000" w:themeColor="text1"/>
          <w:sz w:val="24"/>
          <w:szCs w:val="24"/>
        </w:rPr>
        <w:t xml:space="preserve">ktorým sa mení a dopĺňa zákon č. 135/1961 Zb. o pozemných komunikáciách (cestný zákon) v znení neskorších predpisov (ďalej len „návrh zákona“) </w:t>
      </w:r>
      <w:r w:rsidR="00EA4861">
        <w:rPr>
          <w:rFonts w:ascii="Times New Roman" w:hAnsi="Times New Roman" w:cs="Times New Roman"/>
          <w:color w:val="000000" w:themeColor="text1"/>
          <w:sz w:val="24"/>
          <w:szCs w:val="24"/>
        </w:rPr>
        <w:t xml:space="preserve">sa </w:t>
      </w:r>
      <w:r w:rsidRPr="00AC7099">
        <w:rPr>
          <w:rFonts w:ascii="Times New Roman" w:hAnsi="Times New Roman" w:cs="Times New Roman"/>
          <w:color w:val="000000" w:themeColor="text1"/>
          <w:sz w:val="24"/>
          <w:szCs w:val="24"/>
        </w:rPr>
        <w:t>predkladá</w:t>
      </w:r>
      <w:r w:rsidRPr="00AC7099">
        <w:rPr>
          <w:rStyle w:val="awspan1"/>
          <w:rFonts w:ascii="Times New Roman" w:hAnsi="Times New Roman"/>
          <w:color w:val="000000" w:themeColor="text1"/>
        </w:rPr>
        <w:t xml:space="preserve"> ako iniciatívny návrh.</w:t>
      </w:r>
    </w:p>
    <w:p w:rsidR="00AC7099" w:rsidRPr="00AC7099" w:rsidP="00AC7099">
      <w:pPr>
        <w:autoSpaceDE w:val="0"/>
        <w:autoSpaceDN w:val="0"/>
        <w:spacing w:after="0"/>
        <w:ind w:firstLine="708"/>
        <w:jc w:val="both"/>
        <w:rPr>
          <w:rFonts w:ascii="Times New Roman" w:hAnsi="Times New Roman" w:cs="Times New Roman"/>
          <w:bCs/>
          <w:color w:val="000000" w:themeColor="text1"/>
          <w:sz w:val="24"/>
          <w:szCs w:val="24"/>
        </w:rPr>
      </w:pPr>
    </w:p>
    <w:p w:rsidR="00AC7099" w:rsidRPr="00AC7099" w:rsidP="00AC7099">
      <w:pPr>
        <w:spacing w:after="0"/>
        <w:jc w:val="both"/>
        <w:rPr>
          <w:rFonts w:ascii="Times New Roman" w:hAnsi="Times New Roman" w:cs="Times New Roman"/>
          <w:color w:val="000000" w:themeColor="text1"/>
          <w:sz w:val="24"/>
          <w:szCs w:val="24"/>
          <w:highlight w:val="yellow"/>
        </w:rPr>
      </w:pPr>
      <w:r w:rsidRPr="00AC7099">
        <w:rPr>
          <w:rFonts w:ascii="Times New Roman" w:hAnsi="Times New Roman" w:cs="Times New Roman"/>
          <w:color w:val="000000" w:themeColor="text1"/>
          <w:sz w:val="24"/>
          <w:szCs w:val="24"/>
        </w:rPr>
        <w:t xml:space="preserve"> </w:t>
      </w:r>
      <w:r w:rsidRPr="00AC7099">
        <w:rPr>
          <w:rFonts w:ascii="Times New Roman" w:hAnsi="Times New Roman" w:cs="Times New Roman"/>
          <w:color w:val="000000" w:themeColor="text1"/>
          <w:sz w:val="24"/>
          <w:szCs w:val="24"/>
        </w:rPr>
        <w:tab/>
        <w:t>Účelom návrhu je rozšíriť dozornú (kontrolnú) právomoc ministerstva ako ústredného orgánu štátnej správy pre cestnú dopravu a pozemné komunikácie na cestách I. až III. triedy a miestnych cestách. Súčasná právna úprava neposkytuje ministerstvu náležité kompetencie v prípadoch, ak nežiaducimi opatreniami orgánov miestnej štátnej správy či obcí dôjde k ohrozeniu verejného záujmu na zabezpečení plynulosti a bezpečnosti cestnej premávky.</w:t>
      </w:r>
    </w:p>
    <w:p w:rsidR="00AC7099" w:rsidRPr="00AC7099" w:rsidP="00AC7099">
      <w:pPr>
        <w:spacing w:after="0"/>
        <w:jc w:val="both"/>
        <w:rPr>
          <w:rStyle w:val="PlaceholderText"/>
          <w:color w:val="000000" w:themeColor="text1"/>
          <w:sz w:val="24"/>
          <w:szCs w:val="24"/>
        </w:rPr>
      </w:pPr>
    </w:p>
    <w:p w:rsidR="00AC7099" w:rsidRPr="00AC7099" w:rsidP="00AC7099">
      <w:pPr>
        <w:spacing w:after="0"/>
        <w:ind w:firstLine="708"/>
        <w:jc w:val="both"/>
        <w:rPr>
          <w:rFonts w:ascii="Times New Roman" w:hAnsi="Times New Roman" w:cs="Times New Roman"/>
          <w:color w:val="000000" w:themeColor="text1"/>
          <w:sz w:val="24"/>
          <w:szCs w:val="24"/>
        </w:rPr>
      </w:pPr>
      <w:r w:rsidRPr="00AC7099">
        <w:rPr>
          <w:rFonts w:ascii="Times New Roman" w:hAnsi="Times New Roman" w:cs="Times New Roman"/>
          <w:color w:val="000000" w:themeColor="text1"/>
          <w:sz w:val="24"/>
          <w:szCs w:val="24"/>
        </w:rPr>
        <w:t xml:space="preserve">Návrh zákona má pozitívne vplyvy na rozpočet verejnej správy, negatívne vplyvy </w:t>
      </w:r>
      <w:r w:rsidRPr="00AC7099">
        <w:rPr>
          <w:rFonts w:ascii="Times New Roman" w:hAnsi="Times New Roman" w:cs="Times New Roman"/>
          <w:color w:val="000000" w:themeColor="text1"/>
          <w:sz w:val="24"/>
          <w:szCs w:val="24"/>
        </w:rPr>
        <w:br/>
        <w:t>na podnikateľské prostredie, nemá žiadne sociálne vplyvy, ani vplyvy na životné prostredie, ani vplyvy na informatizáciu spoločnosti, ani vplyvy na služby verejnej správy pre občana, ani vplyvy na manželstvo, rodičovstvo a rodinu</w:t>
      </w:r>
      <w:r w:rsidRPr="00AC7099">
        <w:rPr>
          <w:rStyle w:val="PlaceholderText"/>
          <w:color w:val="000000" w:themeColor="text1"/>
          <w:sz w:val="24"/>
          <w:szCs w:val="24"/>
        </w:rPr>
        <w:t>.</w:t>
      </w:r>
    </w:p>
    <w:p w:rsidR="00AC7099" w:rsidRPr="00AC7099" w:rsidP="00AC7099">
      <w:pPr>
        <w:spacing w:after="0"/>
        <w:jc w:val="both"/>
        <w:rPr>
          <w:rStyle w:val="PlaceholderText"/>
          <w:color w:val="000000" w:themeColor="text1"/>
          <w:sz w:val="24"/>
          <w:szCs w:val="24"/>
        </w:rPr>
      </w:pPr>
    </w:p>
    <w:p w:rsidR="00AC7099" w:rsidRPr="00AC7099" w:rsidP="00AC7099">
      <w:pPr>
        <w:spacing w:after="0"/>
        <w:ind w:firstLine="708"/>
        <w:jc w:val="both"/>
        <w:rPr>
          <w:rStyle w:val="PlaceholderText"/>
          <w:color w:val="000000" w:themeColor="text1"/>
          <w:sz w:val="24"/>
          <w:szCs w:val="24"/>
        </w:rPr>
      </w:pPr>
      <w:r w:rsidRPr="00AC7099">
        <w:rPr>
          <w:rFonts w:ascii="Times New Roman" w:hAnsi="Times New Roman" w:cs="Times New Roman"/>
          <w:color w:val="000000" w:themeColor="text1"/>
          <w:sz w:val="24"/>
          <w:szCs w:val="24"/>
        </w:rPr>
        <w:t>Návrh zákona je v súlade</w:t>
      </w:r>
      <w:bookmarkStart w:id="0" w:name="_GoBack"/>
      <w:bookmarkEnd w:id="0"/>
      <w:r w:rsidRPr="00AC7099">
        <w:rPr>
          <w:rFonts w:ascii="Times New Roman" w:hAnsi="Times New Roman" w:cs="Times New Roman"/>
          <w:color w:val="000000" w:themeColor="text1"/>
          <w:sz w:val="24"/>
          <w:szCs w:val="24"/>
        </w:rPr>
        <w:t xml:space="preserve"> s Ústavou Slovenskej republiky, ústavnými zákonmi a nálezmi Ústavného súdu Slovenskej republiky, platným právnym poriadkom Slovenskej republiky, medzinárodnými zmluvami a inými medzinárodnými dokumentmi, ktorými je Slovenská republika viazaná, ako aj s právom Európskej únie. </w:t>
      </w: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EA4861"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RPr="00612E08" w:rsidP="00AC7099">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Doložka vybraných vplyvov</w:t>
      </w:r>
    </w:p>
    <w:p w:rsidR="00AC7099" w:rsidRPr="00612E08" w:rsidP="00AC7099">
      <w:pPr>
        <w:spacing w:after="0" w:line="240" w:lineRule="auto"/>
        <w:jc w:val="center"/>
        <w:rPr>
          <w:rFonts w:ascii="Times New Roman" w:eastAsia="Times New Roman" w:hAnsi="Times New Roman" w:cs="Times New Roman"/>
          <w:b/>
          <w:sz w:val="28"/>
          <w:szCs w:val="28"/>
          <w:lang w:eastAsia="sk-SK"/>
        </w:rPr>
      </w:pPr>
    </w:p>
    <w:p w:rsidR="00AC7099" w:rsidRPr="00612E08" w:rsidP="00AC7099">
      <w:pPr>
        <w:ind w:left="426"/>
        <w:contextualSpacing/>
        <w:rPr>
          <w:rFonts w:ascii="Calibri" w:eastAsia="Calibri" w:hAnsi="Calibri" w:cs="Times New Roman"/>
          <w:b/>
        </w:rPr>
      </w:pPr>
    </w:p>
    <w:tbl>
      <w:tblPr>
        <w:tblStyle w:val="Mriekatabuky1"/>
        <w:tblW w:w="9180" w:type="dxa"/>
        <w:tblLayout w:type="fixed"/>
        <w:tblLook w:val="04A0"/>
      </w:tblPr>
      <w:tblGrid>
        <w:gridCol w:w="3812"/>
        <w:gridCol w:w="400"/>
        <w:gridCol w:w="141"/>
        <w:gridCol w:w="564"/>
        <w:gridCol w:w="748"/>
        <w:gridCol w:w="284"/>
        <w:gridCol w:w="254"/>
        <w:gridCol w:w="1133"/>
        <w:gridCol w:w="284"/>
        <w:gridCol w:w="263"/>
        <w:gridCol w:w="1297"/>
      </w:tblGrid>
      <w:tr w:rsidTr="007327E7">
        <w:tblPrEx>
          <w:tblW w:w="9180" w:type="dxa"/>
          <w:tblLayout w:type="fixed"/>
          <w:tblLook w:val="04A0"/>
        </w:tblPrEx>
        <w:tc>
          <w:tcPr>
            <w:tcW w:w="9180" w:type="dxa"/>
            <w:gridSpan w:val="11"/>
            <w:tcBorders>
              <w:bottom w:val="single" w:sz="4" w:space="0" w:color="FFFFFF"/>
            </w:tcBorders>
            <w:shd w:val="clear" w:color="auto" w:fill="E2E2E2"/>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Tr="007327E7">
        <w:tblPrEx>
          <w:tblW w:w="9180" w:type="dxa"/>
          <w:tblLayout w:type="fixed"/>
          <w:tblLook w:val="04A0"/>
        </w:tblPrEx>
        <w:tc>
          <w:tcPr>
            <w:tcW w:w="9180" w:type="dxa"/>
            <w:gridSpan w:val="11"/>
            <w:tcBorders>
              <w:bottom w:val="single" w:sz="4" w:space="0" w:color="FFFFFF"/>
            </w:tcBorders>
            <w:shd w:val="clear" w:color="auto" w:fill="E2E2E2"/>
          </w:tcPr>
          <w:p w:rsidR="00AC7099" w:rsidRPr="00612E08" w:rsidP="007327E7">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Tr="007327E7">
        <w:tblPrEx>
          <w:tblW w:w="9180" w:type="dxa"/>
          <w:tblLayout w:type="fixed"/>
          <w:tblLook w:val="04A0"/>
        </w:tblPrEx>
        <w:tc>
          <w:tcPr>
            <w:tcW w:w="9180" w:type="dxa"/>
            <w:gridSpan w:val="11"/>
            <w:tcBorders>
              <w:top w:val="single" w:sz="4" w:space="0" w:color="FFFFFF"/>
              <w:bottom w:val="single" w:sz="4" w:space="0" w:color="auto"/>
            </w:tcBorders>
          </w:tcPr>
          <w:p w:rsidR="00AC7099" w:rsidRPr="00612E08" w:rsidP="007327E7">
            <w:pPr>
              <w:jc w:val="both"/>
              <w:rPr>
                <w:rFonts w:ascii="Times New Roman" w:eastAsia="Times New Roman" w:hAnsi="Times New Roman" w:cs="Times New Roman"/>
                <w:sz w:val="20"/>
                <w:szCs w:val="20"/>
                <w:lang w:eastAsia="sk-SK"/>
              </w:rPr>
            </w:pPr>
            <w:r w:rsidRPr="001A33B0">
              <w:rPr>
                <w:rFonts w:ascii="Times New Roman" w:hAnsi="Times New Roman" w:cs="Times New Roman"/>
                <w:i/>
                <w:color w:val="000000"/>
                <w:sz w:val="20"/>
                <w:szCs w:val="20"/>
              </w:rPr>
              <w:t>Návrh zákona, ktorým sa mení a dopĺňa zákon č. 135/1961 Zb. o pozemných komunikáciách (cestný zákon) v znení neskorších predpisov.</w:t>
            </w:r>
          </w:p>
          <w:p w:rsidR="00AC7099" w:rsidRPr="00612E08" w:rsidP="007327E7">
            <w:pPr>
              <w:rPr>
                <w:rFonts w:ascii="Times New Roman" w:eastAsia="Times New Roman" w:hAnsi="Times New Roman" w:cs="Times New Roman"/>
                <w:sz w:val="20"/>
                <w:szCs w:val="20"/>
                <w:lang w:eastAsia="sk-SK"/>
              </w:rPr>
            </w:pPr>
          </w:p>
        </w:tc>
      </w:tr>
      <w:tr w:rsidTr="007327E7">
        <w:tblPrEx>
          <w:tblW w:w="9180" w:type="dxa"/>
          <w:tblLayout w:type="fixed"/>
          <w:tblLook w:val="04A0"/>
        </w:tblPrEx>
        <w:tc>
          <w:tcPr>
            <w:tcW w:w="9180" w:type="dxa"/>
            <w:gridSpan w:val="11"/>
            <w:tcBorders>
              <w:top w:val="single" w:sz="4" w:space="0" w:color="auto"/>
              <w:left w:val="single" w:sz="4" w:space="0" w:color="auto"/>
              <w:bottom w:val="single" w:sz="4" w:space="0" w:color="FFFFFF"/>
            </w:tcBorders>
            <w:shd w:val="clear" w:color="auto" w:fill="E2E2E2"/>
          </w:tcPr>
          <w:p w:rsidR="00AC7099" w:rsidRPr="00612E08" w:rsidP="007327E7">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Tr="007327E7">
        <w:tblPrEx>
          <w:tblW w:w="9180" w:type="dxa"/>
          <w:tblLayout w:type="fixed"/>
          <w:tblLook w:val="04A0"/>
        </w:tblPrEx>
        <w:tc>
          <w:tcPr>
            <w:tcW w:w="9180" w:type="dxa"/>
            <w:gridSpan w:val="11"/>
            <w:tcBorders>
              <w:top w:val="single" w:sz="4" w:space="0" w:color="FFFFFF"/>
              <w:left w:val="single" w:sz="4" w:space="0" w:color="auto"/>
              <w:bottom w:val="single" w:sz="4" w:space="0" w:color="auto"/>
            </w:tcBorders>
            <w:shd w:val="clear" w:color="auto" w:fill="FFFFFF"/>
          </w:tcPr>
          <w:p w:rsidR="00AC7099" w:rsidRPr="00BC6280" w:rsidP="007327E7">
            <w:pPr>
              <w:rPr>
                <w:rFonts w:ascii="Times New Roman" w:eastAsia="Times New Roman" w:hAnsi="Times New Roman" w:cs="Times New Roman"/>
                <w:i/>
                <w:sz w:val="20"/>
                <w:szCs w:val="20"/>
                <w:lang w:eastAsia="sk-SK"/>
              </w:rPr>
            </w:pPr>
            <w:r w:rsidRPr="002F6259">
              <w:rPr>
                <w:rFonts w:ascii="Times New Roman" w:eastAsia="Times New Roman" w:hAnsi="Times New Roman" w:cs="Times New Roman"/>
                <w:i/>
                <w:sz w:val="20"/>
                <w:szCs w:val="20"/>
                <w:lang w:eastAsia="sk-SK"/>
              </w:rPr>
              <w:t>Ministerstvo</w:t>
            </w:r>
            <w:r>
              <w:rPr>
                <w:rFonts w:ascii="Times New Roman" w:eastAsia="Times New Roman" w:hAnsi="Times New Roman" w:cs="Times New Roman"/>
                <w:i/>
                <w:sz w:val="20"/>
                <w:szCs w:val="20"/>
                <w:lang w:eastAsia="sk-SK"/>
              </w:rPr>
              <w:t xml:space="preserve"> dopravy Slovenskej republiky.</w:t>
            </w:r>
            <w:r w:rsidRPr="002F6259">
              <w:rPr>
                <w:rFonts w:ascii="Times New Roman" w:eastAsia="Times New Roman" w:hAnsi="Times New Roman" w:cs="Times New Roman"/>
                <w:i/>
                <w:sz w:val="20"/>
                <w:szCs w:val="20"/>
                <w:lang w:eastAsia="sk-SK"/>
              </w:rPr>
              <w:t>.</w:t>
            </w:r>
          </w:p>
          <w:p w:rsidR="00AC7099" w:rsidRPr="00612E08" w:rsidP="007327E7">
            <w:pPr>
              <w:rPr>
                <w:rFonts w:ascii="Times New Roman" w:eastAsia="Times New Roman" w:hAnsi="Times New Roman" w:cs="Times New Roman"/>
                <w:sz w:val="20"/>
                <w:szCs w:val="20"/>
                <w:lang w:eastAsia="sk-SK"/>
              </w:rPr>
            </w:pPr>
          </w:p>
        </w:tc>
      </w:tr>
      <w:tr w:rsidTr="007327E7">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AC7099" w:rsidRPr="00612E08" w:rsidP="007327E7">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AC7099" w:rsidRPr="00612E08" w:rsidP="007327E7">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Tr="007327E7">
        <w:tblPrEx>
          <w:tblW w:w="9180" w:type="dxa"/>
          <w:tblLayout w:type="fixed"/>
          <w:tblLook w:val="04A0"/>
        </w:tblPrEx>
        <w:tc>
          <w:tcPr>
            <w:tcW w:w="4212" w:type="dxa"/>
            <w:gridSpan w:val="2"/>
            <w:vMerge/>
            <w:tcBorders>
              <w:top w:val="nil"/>
              <w:left w:val="single" w:sz="4" w:space="0" w:color="auto"/>
              <w:bottom w:val="single" w:sz="4" w:space="0" w:color="FFFFFF"/>
            </w:tcBorders>
            <w:shd w:val="clear" w:color="auto" w:fill="E2E2E2"/>
          </w:tcPr>
          <w:p w:rsidR="00AC7099" w:rsidRPr="00612E08" w:rsidP="007327E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AC7099" w:rsidRPr="00612E08" w:rsidP="007327E7">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AC7099" w:rsidRPr="00612E08" w:rsidP="007327E7">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Tr="007327E7">
        <w:tblPrEx>
          <w:tblW w:w="9180" w:type="dxa"/>
          <w:tblLayout w:type="fixed"/>
          <w:tblLook w:val="04A0"/>
        </w:tblPrEx>
        <w:tc>
          <w:tcPr>
            <w:tcW w:w="4212" w:type="dxa"/>
            <w:gridSpan w:val="2"/>
            <w:vMerge/>
            <w:tcBorders>
              <w:top w:val="nil"/>
              <w:left w:val="single" w:sz="4" w:space="0" w:color="auto"/>
              <w:bottom w:val="single" w:sz="4" w:space="0" w:color="auto"/>
            </w:tcBorders>
            <w:shd w:val="clear" w:color="auto" w:fill="E2E2E2"/>
          </w:tcPr>
          <w:p w:rsidR="00AC7099" w:rsidRPr="00612E08" w:rsidP="007327E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AC7099" w:rsidRPr="00612E08" w:rsidP="007327E7">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Tr="007327E7">
        <w:tblPrEx>
          <w:tblW w:w="9180" w:type="dxa"/>
          <w:tblLayout w:type="fixed"/>
          <w:tblLook w:val="04A0"/>
        </w:tblPrEx>
        <w:tc>
          <w:tcPr>
            <w:tcW w:w="9180" w:type="dxa"/>
            <w:gridSpan w:val="11"/>
            <w:tcBorders>
              <w:top w:val="single" w:sz="4" w:space="0" w:color="auto"/>
              <w:left w:val="single" w:sz="4" w:space="0" w:color="auto"/>
              <w:bottom w:val="single" w:sz="4" w:space="0" w:color="FFFFFF"/>
            </w:tcBorders>
            <w:shd w:val="clear" w:color="auto" w:fill="FFFFFF"/>
          </w:tcPr>
          <w:p w:rsidR="00AC7099" w:rsidRPr="00612E08" w:rsidP="007327E7">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AC7099" w:rsidRPr="00612E08" w:rsidP="007327E7">
            <w:pPr>
              <w:rPr>
                <w:rFonts w:ascii="Times New Roman" w:eastAsia="Times New Roman" w:hAnsi="Times New Roman" w:cs="Times New Roman"/>
                <w:sz w:val="20"/>
                <w:szCs w:val="20"/>
                <w:lang w:eastAsia="sk-SK"/>
              </w:rPr>
            </w:pPr>
          </w:p>
        </w:tc>
      </w:tr>
      <w:tr w:rsidTr="007327E7">
        <w:tblPrEx>
          <w:tblW w:w="9180" w:type="dxa"/>
          <w:tblLayout w:type="fixed"/>
          <w:tblLook w:val="04A0"/>
        </w:tblPrEx>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AC7099" w:rsidRPr="00612E08" w:rsidP="007327E7">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AC7099" w:rsidRPr="00612E08" w:rsidP="007327E7">
            <w:pPr>
              <w:rPr>
                <w:rFonts w:ascii="Times New Roman" w:eastAsia="Times New Roman" w:hAnsi="Times New Roman" w:cs="Times New Roman"/>
                <w:i/>
                <w:sz w:val="20"/>
                <w:szCs w:val="20"/>
                <w:lang w:eastAsia="sk-SK"/>
              </w:rPr>
            </w:pPr>
          </w:p>
        </w:tc>
      </w:tr>
      <w:tr w:rsidTr="007327E7">
        <w:tblPrEx>
          <w:tblW w:w="9180" w:type="dxa"/>
          <w:tblLayout w:type="fixed"/>
          <w:tblLook w:val="04A0"/>
        </w:tblPrEx>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AC7099" w:rsidRPr="00612E08" w:rsidP="007327E7">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AC7099" w:rsidRPr="00612E08" w:rsidP="007327E7">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Február 2024</w:t>
            </w:r>
          </w:p>
        </w:tc>
      </w:tr>
      <w:tr w:rsidTr="007327E7">
        <w:tblPrEx>
          <w:tblW w:w="9180" w:type="dxa"/>
          <w:tblLayout w:type="fixed"/>
          <w:tblLook w:val="04A0"/>
        </w:tblPrEx>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AC7099" w:rsidRPr="00612E08" w:rsidP="007327E7">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AC7099" w:rsidRPr="00612E08" w:rsidP="007327E7">
            <w:pPr>
              <w:rPr>
                <w:rFonts w:ascii="Times New Roman" w:eastAsia="Times New Roman" w:hAnsi="Times New Roman" w:cs="Times New Roman"/>
                <w:i/>
                <w:sz w:val="20"/>
                <w:szCs w:val="20"/>
                <w:lang w:eastAsia="sk-SK"/>
              </w:rPr>
            </w:pPr>
          </w:p>
        </w:tc>
      </w:tr>
      <w:tr w:rsidTr="007327E7">
        <w:tblPrEx>
          <w:tblW w:w="9180" w:type="dxa"/>
          <w:tblLayout w:type="fixed"/>
          <w:tblLook w:val="04A0"/>
        </w:tblPrEx>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AC7099" w:rsidRPr="00612E08" w:rsidP="007327E7">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AC7099" w:rsidRPr="00612E08" w:rsidP="007327E7">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Marec 2024</w:t>
            </w:r>
          </w:p>
        </w:tc>
      </w:tr>
      <w:tr w:rsidTr="007327E7">
        <w:tblPrEx>
          <w:tblW w:w="9180" w:type="dxa"/>
          <w:tblLayout w:type="fixed"/>
          <w:tblLook w:val="04A0"/>
        </w:tblPrEx>
        <w:tc>
          <w:tcPr>
            <w:tcW w:w="9180" w:type="dxa"/>
            <w:gridSpan w:val="11"/>
            <w:tcBorders>
              <w:top w:val="single" w:sz="4" w:space="0" w:color="auto"/>
              <w:left w:val="nil"/>
              <w:bottom w:val="single" w:sz="4" w:space="0" w:color="auto"/>
              <w:right w:val="nil"/>
            </w:tcBorders>
            <w:shd w:val="clear" w:color="auto" w:fill="FFFFFF"/>
          </w:tcPr>
          <w:p w:rsidR="00AC7099" w:rsidRPr="00612E08" w:rsidP="007327E7">
            <w:pPr>
              <w:rPr>
                <w:rFonts w:ascii="Times New Roman" w:eastAsia="Times New Roman" w:hAnsi="Times New Roman" w:cs="Times New Roman"/>
                <w:sz w:val="20"/>
                <w:szCs w:val="20"/>
                <w:lang w:eastAsia="sk-SK"/>
              </w:rPr>
            </w:pPr>
          </w:p>
        </w:tc>
      </w:tr>
      <w:tr w:rsidTr="007327E7">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Tr="007327E7">
        <w:tblPrEx>
          <w:tblW w:w="9180" w:type="dxa"/>
          <w:tblLayout w:type="fixed"/>
          <w:tblLook w:val="04A0"/>
        </w:tblPrEx>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AC7099" w:rsidRPr="00612E08" w:rsidP="007278D6">
            <w:pPr>
              <w:jc w:val="both"/>
              <w:rPr>
                <w:rFonts w:ascii="Times New Roman" w:eastAsia="Times New Roman" w:hAnsi="Times New Roman" w:cs="Times New Roman"/>
                <w:b/>
                <w:sz w:val="20"/>
                <w:szCs w:val="20"/>
                <w:lang w:eastAsia="sk-SK"/>
              </w:rPr>
            </w:pPr>
            <w:r w:rsidRPr="001A33B0">
              <w:rPr>
                <w:rFonts w:ascii="Times New Roman" w:hAnsi="Times New Roman" w:cs="Times New Roman"/>
                <w:bCs/>
                <w:i/>
                <w:iCs/>
                <w:color w:val="000000" w:themeColor="text1"/>
                <w:sz w:val="20"/>
                <w:szCs w:val="20"/>
              </w:rPr>
              <w:t>Potreba kontroly zmien organizácie dopravy, ktoré môžu negatívne ovplyvniť plynulosť a bezpečnosť cestnej premávky s nežiaducimi socio-ekonomickými vplyvmi na určitý región.</w:t>
            </w:r>
          </w:p>
        </w:tc>
      </w:tr>
      <w:tr w:rsidTr="007327E7">
        <w:tblPrEx>
          <w:tblW w:w="9180" w:type="dxa"/>
          <w:tblLayout w:type="fixed"/>
          <w:tblLook w:val="04A0"/>
        </w:tblPrEx>
        <w:tc>
          <w:tcPr>
            <w:tcW w:w="9180" w:type="dxa"/>
            <w:gridSpan w:val="11"/>
            <w:tcBorders>
              <w:top w:val="single" w:sz="4" w:space="0" w:color="auto"/>
              <w:left w:val="single" w:sz="4" w:space="0" w:color="auto"/>
              <w:bottom w:val="nil"/>
              <w:right w:val="single" w:sz="4" w:space="0" w:color="auto"/>
            </w:tcBorders>
            <w:shd w:val="clear" w:color="auto" w:fill="E2E2E2"/>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Tr="007327E7">
        <w:tblPrEx>
          <w:tblW w:w="9180" w:type="dxa"/>
          <w:tblLayout w:type="fixed"/>
          <w:tblLook w:val="04A0"/>
        </w:tblPrEx>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AC7099" w:rsidRPr="002F6259" w:rsidP="007327E7">
            <w:pPr>
              <w:jc w:val="both"/>
              <w:rPr>
                <w:rFonts w:ascii="Times New Roman" w:eastAsia="Times New Roman" w:hAnsi="Times New Roman" w:cs="Times New Roman"/>
                <w:i/>
                <w:color w:val="000000" w:themeColor="text1"/>
                <w:sz w:val="20"/>
                <w:szCs w:val="20"/>
                <w:lang w:eastAsia="sk-SK"/>
              </w:rPr>
            </w:pPr>
            <w:r w:rsidRPr="001A33B0">
              <w:rPr>
                <w:rFonts w:ascii="Times New Roman" w:hAnsi="Times New Roman" w:cs="Times New Roman"/>
                <w:i/>
                <w:sz w:val="20"/>
                <w:szCs w:val="20"/>
              </w:rPr>
              <w:t xml:space="preserve">Účelom návrhu je rozšíriť dozornú (kontrolnú) právomoc </w:t>
            </w:r>
            <w:r>
              <w:rPr>
                <w:rFonts w:ascii="Times New Roman" w:hAnsi="Times New Roman" w:cs="Times New Roman"/>
                <w:i/>
                <w:sz w:val="20"/>
                <w:szCs w:val="20"/>
              </w:rPr>
              <w:t>Ministerstva dopravy Slovenskej republiky</w:t>
            </w:r>
            <w:r w:rsidRPr="001A33B0">
              <w:rPr>
                <w:rFonts w:ascii="Times New Roman" w:hAnsi="Times New Roman" w:cs="Times New Roman"/>
                <w:i/>
                <w:sz w:val="20"/>
                <w:szCs w:val="20"/>
              </w:rPr>
              <w:t xml:space="preserve"> ako ústredného orgánu štátnej správy pre cestn</w:t>
            </w:r>
            <w:r>
              <w:rPr>
                <w:rFonts w:ascii="Times New Roman" w:hAnsi="Times New Roman" w:cs="Times New Roman"/>
                <w:i/>
                <w:sz w:val="20"/>
                <w:szCs w:val="20"/>
              </w:rPr>
              <w:t xml:space="preserve">ú dopravu a pozemné komunikácie </w:t>
            </w:r>
            <w:r w:rsidRPr="001A33B0">
              <w:rPr>
                <w:rFonts w:ascii="Times New Roman" w:hAnsi="Times New Roman" w:cs="Times New Roman"/>
                <w:i/>
                <w:sz w:val="20"/>
                <w:szCs w:val="20"/>
              </w:rPr>
              <w:t>na cestách I. až I</w:t>
            </w:r>
            <w:r>
              <w:rPr>
                <w:rFonts w:ascii="Times New Roman" w:hAnsi="Times New Roman" w:cs="Times New Roman"/>
                <w:i/>
                <w:sz w:val="20"/>
                <w:szCs w:val="20"/>
              </w:rPr>
              <w:t xml:space="preserve">II. triedy a miestnych cestách. Cieľom návrhu je zároveň aj </w:t>
            </w:r>
            <w:r w:rsidRPr="004559D4">
              <w:rPr>
                <w:rStyle w:val="awspan1"/>
                <w:rFonts w:ascii="Times New Roman" w:hAnsi="Times New Roman"/>
                <w:i/>
                <w:color w:val="000000" w:themeColor="text1"/>
                <w:sz w:val="20"/>
                <w:szCs w:val="20"/>
              </w:rPr>
              <w:t>zníženie nežiaducich zásahov orgánov miestnej štátnej správy, obcí, príp. podnikateľských  subjektov do organizácie dopravy na cestách I. až III. triedy a miestnych cestách.</w:t>
            </w:r>
          </w:p>
          <w:p w:rsidR="00AC7099" w:rsidRPr="00612E08" w:rsidP="007327E7">
            <w:pPr>
              <w:jc w:val="both"/>
              <w:rPr>
                <w:rFonts w:ascii="Times New Roman" w:eastAsia="Times New Roman" w:hAnsi="Times New Roman" w:cs="Times New Roman"/>
                <w:sz w:val="20"/>
                <w:szCs w:val="20"/>
                <w:lang w:eastAsia="sk-SK"/>
              </w:rPr>
            </w:pPr>
          </w:p>
        </w:tc>
      </w:tr>
      <w:tr w:rsidTr="007327E7">
        <w:tblPrEx>
          <w:tblW w:w="9180" w:type="dxa"/>
          <w:tblLayout w:type="fixed"/>
          <w:tblLook w:val="04A0"/>
        </w:tblPrEx>
        <w:tc>
          <w:tcPr>
            <w:tcW w:w="9180" w:type="dxa"/>
            <w:gridSpan w:val="11"/>
            <w:tcBorders>
              <w:top w:val="single" w:sz="4" w:space="0" w:color="auto"/>
              <w:left w:val="single" w:sz="4" w:space="0" w:color="auto"/>
              <w:bottom w:val="nil"/>
              <w:right w:val="single" w:sz="4" w:space="0" w:color="auto"/>
            </w:tcBorders>
            <w:shd w:val="clear" w:color="auto" w:fill="E2E2E2"/>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Tr="007327E7">
        <w:tblPrEx>
          <w:tblW w:w="9180" w:type="dxa"/>
          <w:tblLayout w:type="fixed"/>
          <w:tblLook w:val="04A0"/>
        </w:tblPrEx>
        <w:tc>
          <w:tcPr>
            <w:tcW w:w="9180" w:type="dxa"/>
            <w:gridSpan w:val="11"/>
            <w:tcBorders>
              <w:top w:val="nil"/>
              <w:left w:val="single" w:sz="4" w:space="0" w:color="auto"/>
              <w:bottom w:val="single" w:sz="4" w:space="0" w:color="auto"/>
              <w:right w:val="single" w:sz="4" w:space="0" w:color="auto"/>
            </w:tcBorders>
            <w:shd w:val="clear" w:color="auto" w:fill="FFFFFF"/>
          </w:tcPr>
          <w:p w:rsidR="00AC7099" w:rsidRPr="002F6259" w:rsidP="007327E7">
            <w:pPr>
              <w:rPr>
                <w:rFonts w:ascii="Times New Roman" w:hAnsi="Times New Roman" w:cs="Times New Roman"/>
                <w:i/>
                <w:sz w:val="20"/>
                <w:szCs w:val="20"/>
              </w:rPr>
            </w:pPr>
            <w:r>
              <w:rPr>
                <w:rFonts w:ascii="Times New Roman" w:hAnsi="Times New Roman" w:cs="Times New Roman"/>
                <w:i/>
                <w:sz w:val="20"/>
                <w:szCs w:val="20"/>
              </w:rPr>
              <w:t>Užívatelia pozemných komunikácií, právnické osoby, fyzické osoby – podnikatelia, obce, samosprávne kraje</w:t>
            </w:r>
          </w:p>
          <w:p w:rsidR="00AC7099" w:rsidRPr="00612E08" w:rsidP="007327E7">
            <w:pPr>
              <w:rPr>
                <w:rFonts w:ascii="Times New Roman" w:eastAsia="Times New Roman" w:hAnsi="Times New Roman" w:cs="Times New Roman"/>
                <w:i/>
                <w:sz w:val="20"/>
                <w:szCs w:val="20"/>
                <w:lang w:eastAsia="sk-SK"/>
              </w:rPr>
            </w:pPr>
          </w:p>
        </w:tc>
      </w:tr>
      <w:tr w:rsidTr="007327E7">
        <w:tblPrEx>
          <w:tblW w:w="9180" w:type="dxa"/>
          <w:tblLayout w:type="fixed"/>
          <w:tblLook w:val="04A0"/>
        </w:tblPrEx>
        <w:tc>
          <w:tcPr>
            <w:tcW w:w="9180" w:type="dxa"/>
            <w:gridSpan w:val="11"/>
            <w:tcBorders>
              <w:top w:val="single" w:sz="4" w:space="0" w:color="auto"/>
              <w:left w:val="single" w:sz="4" w:space="0" w:color="auto"/>
              <w:bottom w:val="nil"/>
              <w:right w:val="single" w:sz="4" w:space="0" w:color="auto"/>
            </w:tcBorders>
            <w:shd w:val="clear" w:color="auto" w:fill="E2E2E2"/>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Tr="007327E7">
        <w:tblPrEx>
          <w:tblW w:w="9180" w:type="dxa"/>
          <w:tblLayout w:type="fixed"/>
          <w:tblLook w:val="04A0"/>
        </w:tblPrEx>
        <w:trPr>
          <w:trHeight w:val="633"/>
        </w:trPr>
        <w:tc>
          <w:tcPr>
            <w:tcW w:w="9180" w:type="dxa"/>
            <w:gridSpan w:val="11"/>
            <w:tcBorders>
              <w:top w:val="nil"/>
              <w:left w:val="single" w:sz="4" w:space="0" w:color="auto"/>
              <w:bottom w:val="single" w:sz="4" w:space="0" w:color="auto"/>
              <w:right w:val="single" w:sz="4" w:space="0" w:color="auto"/>
            </w:tcBorders>
            <w:shd w:val="clear" w:color="auto" w:fill="FFFFFF"/>
          </w:tcPr>
          <w:p w:rsidR="00AC7099" w:rsidRPr="00612E08" w:rsidP="007327E7">
            <w:pPr>
              <w:jc w:val="both"/>
              <w:rPr>
                <w:rFonts w:ascii="Times New Roman" w:eastAsia="Times New Roman" w:hAnsi="Times New Roman" w:cs="Times New Roman"/>
                <w:i/>
                <w:sz w:val="20"/>
                <w:szCs w:val="20"/>
                <w:lang w:eastAsia="sk-SK"/>
              </w:rPr>
            </w:pPr>
            <w:r w:rsidRPr="002F6259">
              <w:rPr>
                <w:rFonts w:ascii="Times New Roman" w:hAnsi="Times New Roman" w:cs="Times New Roman"/>
                <w:i/>
                <w:sz w:val="20"/>
                <w:szCs w:val="20"/>
              </w:rPr>
              <w:t>Nulový variant</w:t>
            </w:r>
            <w:r w:rsidRPr="004559D4">
              <w:rPr>
                <w:rFonts w:ascii="Times New Roman" w:hAnsi="Times New Roman" w:cs="Times New Roman"/>
                <w:i/>
                <w:sz w:val="20"/>
                <w:szCs w:val="20"/>
              </w:rPr>
              <w:t>. Súčasná právna úprava neposkytuje Ministerstvu dopravy Slovenskej republiky vecné kompetencie v prípadoch, ak je ohrozený verejný záujem na bezpečnosti a plynulosti cestnej premávky. Je preto potrebné pristúpiť k navrhovanej úprave. Výška navrhovaných pokút zohľadňuje potrebu pôsobiť na pokutované subjekty tak, aby sa dospelo k požadovanej organizácií cestnej premávky na cestách I. až III. triedy a miestnych cestách na základe odborných požiadaviek Ministerstva dopravy Slovenskej republiky ako ústredného orgánu štátnej správy pre pozemné komunikácie.</w:t>
            </w:r>
            <w:r>
              <w:rPr>
                <w:rFonts w:ascii="Times New Roman" w:hAnsi="Times New Roman" w:cs="Times New Roman"/>
                <w:i/>
                <w:sz w:val="20"/>
                <w:szCs w:val="20"/>
              </w:rPr>
              <w:t xml:space="preserve"> </w:t>
            </w:r>
          </w:p>
        </w:tc>
      </w:tr>
      <w:tr w:rsidTr="007327E7">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Tr="007327E7">
        <w:tblPrEx>
          <w:tblW w:w="9180" w:type="dxa"/>
          <w:tblLayout w:type="fixed"/>
          <w:tblLook w:val="04A0"/>
        </w:tblPrEx>
        <w:tc>
          <w:tcPr>
            <w:tcW w:w="6203" w:type="dxa"/>
            <w:gridSpan w:val="7"/>
            <w:tcBorders>
              <w:top w:val="single" w:sz="4" w:space="0" w:color="FFFFFF"/>
              <w:left w:val="single" w:sz="4" w:space="0" w:color="auto"/>
              <w:bottom w:val="nil"/>
              <w:right w:val="nil"/>
            </w:tcBorders>
            <w:shd w:val="clear" w:color="auto" w:fill="FFFFFF"/>
          </w:tcPr>
          <w:p w:rsidR="00AC7099" w:rsidRPr="00612E08" w:rsidP="007327E7">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AC7099" w:rsidRPr="00612E08" w:rsidP="007327E7">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Content>
                <w:r w:rsidRPr="00612E08">
                  <w:rPr>
                    <w:rFonts w:ascii="MS Gothic" w:eastAsia="MS Gothic" w:hAnsi="MS Gothic" w:cs="Times New Roman" w:hint="eastAsia"/>
                    <w:b/>
                    <w:sz w:val="20"/>
                    <w:szCs w:val="20"/>
                    <w:lang w:eastAsia="sk-SK"/>
                  </w:rPr>
                  <w:t>☐</w:t>
                </w:r>
              </w:sdtContent>
            </w:sdt>
            <w:r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AC7099" w:rsidRPr="00612E08" w:rsidP="007327E7">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Content>
                <w:r>
                  <w:rPr>
                    <w:rFonts w:ascii="MS Gothic" w:eastAsia="MS Gothic" w:hAnsi="MS Gothic" w:cs="Times New Roman" w:hint="eastAsia"/>
                    <w:b/>
                    <w:sz w:val="20"/>
                    <w:szCs w:val="20"/>
                    <w:lang w:eastAsia="sk-SK"/>
                  </w:rPr>
                  <w:t>☒</w:t>
                </w:r>
              </w:sdtContent>
            </w:sdt>
            <w:r w:rsidRPr="00612E08">
              <w:rPr>
                <w:rFonts w:ascii="Times New Roman" w:eastAsia="Times New Roman" w:hAnsi="Times New Roman" w:cs="Times New Roman"/>
                <w:b/>
                <w:sz w:val="20"/>
                <w:szCs w:val="20"/>
                <w:lang w:eastAsia="sk-SK"/>
              </w:rPr>
              <w:t xml:space="preserve">  Nie</w:t>
            </w:r>
          </w:p>
        </w:tc>
      </w:tr>
      <w:tr w:rsidTr="007327E7">
        <w:tblPrEx>
          <w:tblW w:w="9180" w:type="dxa"/>
          <w:tblLayout w:type="fixed"/>
          <w:tblLook w:val="04A0"/>
        </w:tblPrEx>
        <w:tc>
          <w:tcPr>
            <w:tcW w:w="9180" w:type="dxa"/>
            <w:gridSpan w:val="11"/>
            <w:tcBorders>
              <w:top w:val="nil"/>
              <w:left w:val="single" w:sz="4" w:space="0" w:color="auto"/>
              <w:bottom w:val="single" w:sz="4" w:space="0" w:color="auto"/>
              <w:right w:val="single" w:sz="4" w:space="0" w:color="auto"/>
            </w:tcBorders>
            <w:shd w:val="clear" w:color="auto" w:fill="FFFFFF"/>
          </w:tcPr>
          <w:p w:rsidR="00AC7099" w:rsidRPr="00612E08" w:rsidP="007327E7">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AC7099" w:rsidRPr="00612E08" w:rsidP="007327E7">
            <w:pPr>
              <w:rPr>
                <w:rFonts w:ascii="Times New Roman" w:eastAsia="Times New Roman" w:hAnsi="Times New Roman" w:cs="Times New Roman"/>
                <w:sz w:val="20"/>
                <w:szCs w:val="20"/>
                <w:lang w:eastAsia="sk-SK"/>
              </w:rPr>
            </w:pPr>
          </w:p>
        </w:tc>
      </w:tr>
      <w:tr w:rsidTr="007327E7">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Tr="007327E7">
        <w:tblPrEx>
          <w:tblW w:w="9180" w:type="dxa"/>
          <w:tblLayout w:type="fixed"/>
          <w:tblLook w:val="04A0"/>
        </w:tblPrEx>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tblPr>
            <w:tblGrid>
              <w:gridCol w:w="8643"/>
            </w:tblGrid>
            <w:tr w:rsidTr="007327E7">
              <w:tblPrEx>
                <w:tblW w:w="0" w:type="auto"/>
                <w:tblBorders>
                  <w:top w:val="nil"/>
                  <w:left w:val="nil"/>
                  <w:bottom w:val="nil"/>
                  <w:right w:val="nil"/>
                </w:tblBorders>
                <w:tblLayout w:type="fixed"/>
                <w:tblLook w:val="0000"/>
              </w:tblPrEx>
              <w:trPr>
                <w:trHeight w:val="90"/>
              </w:trPr>
              <w:tc>
                <w:tcPr>
                  <w:tcW w:w="8643" w:type="dxa"/>
                </w:tcPr>
                <w:p w:rsidR="00AC7099" w:rsidRPr="00612E08" w:rsidP="007327E7">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Tr="007327E7">
              <w:tblPrEx>
                <w:tblW w:w="0" w:type="auto"/>
                <w:tblLayout w:type="fixed"/>
                <w:tblLook w:val="0000"/>
              </w:tblPrEx>
              <w:trPr>
                <w:trHeight w:val="296"/>
              </w:trPr>
              <w:tc>
                <w:tcPr>
                  <w:tcW w:w="8643" w:type="dxa"/>
                </w:tcPr>
                <w:p w:rsidR="00AC7099" w:rsidRPr="00612E08" w:rsidP="007327E7">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AC7099" w:rsidRPr="00612E08" w:rsidP="007327E7">
                  <w:pPr>
                    <w:pStyle w:val="Default"/>
                    <w:rPr>
                      <w:i/>
                      <w:iCs/>
                      <w:color w:val="auto"/>
                      <w:sz w:val="20"/>
                      <w:szCs w:val="20"/>
                    </w:rPr>
                  </w:pPr>
                </w:p>
                <w:p w:rsidR="00AC7099" w:rsidRPr="00612E08" w:rsidP="007327E7">
                  <w:pPr>
                    <w:pStyle w:val="Default"/>
                    <w:rPr>
                      <w:color w:val="auto"/>
                      <w:sz w:val="20"/>
                      <w:szCs w:val="20"/>
                    </w:rPr>
                  </w:pPr>
                  <w:r w:rsidRPr="00612E08">
                    <w:rPr>
                      <w:i/>
                      <w:iCs/>
                      <w:color w:val="auto"/>
                      <w:sz w:val="20"/>
                      <w:szCs w:val="20"/>
                    </w:rPr>
                    <w:t xml:space="preserve">Ak áno, uveďte, ktorých vplyvov podľa bodu 9 sa goldplating týka: </w:t>
                  </w:r>
                </w:p>
              </w:tc>
            </w:tr>
            <w:tr w:rsidTr="007327E7">
              <w:tblPrEx>
                <w:tblW w:w="0" w:type="auto"/>
                <w:tblLayout w:type="fixed"/>
                <w:tblLook w:val="0000"/>
              </w:tblPrEx>
              <w:trPr>
                <w:trHeight w:val="296"/>
              </w:trPr>
              <w:tc>
                <w:tcPr>
                  <w:tcW w:w="8643" w:type="dxa"/>
                </w:tcPr>
                <w:p w:rsidR="00AC7099" w:rsidRPr="00612E08" w:rsidP="007327E7">
                  <w:pPr>
                    <w:pStyle w:val="Default"/>
                    <w:rPr>
                      <w:rFonts w:ascii="Segoe UI Symbol" w:hAnsi="Segoe UI Symbol" w:cs="Segoe UI Symbol"/>
                      <w:color w:val="auto"/>
                      <w:sz w:val="20"/>
                      <w:szCs w:val="20"/>
                    </w:rPr>
                  </w:pPr>
                </w:p>
              </w:tc>
            </w:tr>
          </w:tbl>
          <w:p w:rsidR="00AC7099" w:rsidRPr="00612E08" w:rsidP="007327E7">
            <w:pPr>
              <w:jc w:val="both"/>
              <w:rPr>
                <w:rFonts w:ascii="Times New Roman" w:eastAsia="Times New Roman" w:hAnsi="Times New Roman" w:cs="Times New Roman"/>
                <w:i/>
                <w:sz w:val="20"/>
                <w:szCs w:val="20"/>
                <w:lang w:eastAsia="sk-SK"/>
              </w:rPr>
            </w:pPr>
          </w:p>
        </w:tc>
      </w:tr>
      <w:tr w:rsidTr="007327E7">
        <w:tblPrEx>
          <w:tblW w:w="9180" w:type="dxa"/>
          <w:tblLayout w:type="fixed"/>
          <w:tblLook w:val="04A0"/>
        </w:tblPrEx>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AC7099" w:rsidRPr="00612E08" w:rsidP="007327E7">
            <w:pPr>
              <w:jc w:val="center"/>
              <w:rPr>
                <w:rFonts w:ascii="Times New Roman" w:eastAsia="Times New Roman" w:hAnsi="Times New Roman" w:cs="Times New Roman"/>
                <w:sz w:val="20"/>
                <w:szCs w:val="20"/>
                <w:lang w:eastAsia="sk-SK"/>
              </w:rPr>
            </w:pPr>
          </w:p>
        </w:tc>
      </w:tr>
      <w:tr w:rsidTr="007327E7">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Tr="007327E7">
        <w:tblPrEx>
          <w:tblW w:w="9180" w:type="dxa"/>
          <w:tblLayout w:type="fixed"/>
          <w:tblLook w:val="04A0"/>
        </w:tblPrEx>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AC7099" w:rsidRPr="002F6259" w:rsidP="007327E7">
            <w:pPr>
              <w:jc w:val="both"/>
              <w:rPr>
                <w:rFonts w:ascii="Times New Roman" w:eastAsia="Times New Roman" w:hAnsi="Times New Roman" w:cs="Times New Roman"/>
                <w:i/>
                <w:color w:val="000000" w:themeColor="text1"/>
                <w:sz w:val="20"/>
                <w:szCs w:val="20"/>
                <w:lang w:eastAsia="sk-SK"/>
              </w:rPr>
            </w:pPr>
            <w:r w:rsidRPr="004559D4">
              <w:rPr>
                <w:rStyle w:val="awspan1"/>
                <w:rFonts w:ascii="Times New Roman" w:hAnsi="Times New Roman"/>
                <w:i/>
                <w:color w:val="000000" w:themeColor="text1"/>
                <w:sz w:val="20"/>
                <w:szCs w:val="20"/>
              </w:rPr>
              <w:t>Preskúmanie účelnosti navrhovaného predpisu bude vykonávané priebežne po nadobudnutí jeho účinnosti, a to v lehote do 3 rokov. Základné kritérium, na základe ktorého bude vykonané preskúmanie účelnosti navrhovaného predpisu, je zníženie nežiaducich zásahov orgánov miestnej štátnej správy, obcí, príp. podnikateľských  subjektov do organizácie dopravy na cestách I. až III. triedy a miestnych cestách.</w:t>
            </w:r>
          </w:p>
          <w:p w:rsidR="00AC7099" w:rsidRPr="00612E08" w:rsidP="007327E7">
            <w:pPr>
              <w:rPr>
                <w:rFonts w:ascii="Times New Roman" w:eastAsia="Times New Roman" w:hAnsi="Times New Roman" w:cs="Times New Roman"/>
                <w:i/>
                <w:sz w:val="20"/>
                <w:szCs w:val="20"/>
                <w:lang w:eastAsia="sk-SK"/>
              </w:rPr>
            </w:pPr>
          </w:p>
        </w:tc>
      </w:tr>
      <w:tr w:rsidTr="007327E7">
        <w:tblPrEx>
          <w:tblW w:w="9180" w:type="dxa"/>
          <w:tblLayout w:type="fixed"/>
          <w:tblLook w:val="04A0"/>
        </w:tblPrEx>
        <w:tc>
          <w:tcPr>
            <w:tcW w:w="9180" w:type="dxa"/>
            <w:gridSpan w:val="11"/>
            <w:tcBorders>
              <w:top w:val="nil"/>
              <w:left w:val="nil"/>
              <w:bottom w:val="single" w:sz="4" w:space="0" w:color="auto"/>
              <w:right w:val="nil"/>
            </w:tcBorders>
            <w:shd w:val="clear" w:color="auto" w:fill="FFFFFF"/>
          </w:tcPr>
          <w:p w:rsidR="00AC7099" w:rsidRPr="00612E08" w:rsidP="007327E7">
            <w:pPr>
              <w:jc w:val="both"/>
              <w:rPr>
                <w:rFonts w:ascii="Times New Roman" w:eastAsia="Times New Roman" w:hAnsi="Times New Roman" w:cs="Times New Roman"/>
                <w:b/>
                <w:sz w:val="20"/>
                <w:szCs w:val="20"/>
                <w:lang w:eastAsia="sk-SK"/>
              </w:rPr>
            </w:pPr>
          </w:p>
          <w:p w:rsidR="00AC7099" w:rsidRPr="00612E08" w:rsidP="007327E7">
            <w:pPr>
              <w:jc w:val="both"/>
              <w:rPr>
                <w:rFonts w:ascii="Times New Roman" w:eastAsia="Times New Roman" w:hAnsi="Times New Roman" w:cs="Times New Roman"/>
                <w:b/>
                <w:sz w:val="20"/>
                <w:szCs w:val="20"/>
                <w:lang w:eastAsia="sk-SK"/>
              </w:rPr>
            </w:pPr>
          </w:p>
          <w:p w:rsidR="00AC7099" w:rsidRPr="00612E08" w:rsidP="007327E7">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C7099" w:rsidRPr="00612E08" w:rsidP="007327E7">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AC7099" w:rsidRPr="00612E08" w:rsidP="007327E7">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AC7099" w:rsidRPr="00612E08" w:rsidP="007327E7">
            <w:pPr>
              <w:jc w:val="both"/>
              <w:rPr>
                <w:rFonts w:ascii="Times New Roman" w:eastAsia="Times New Roman" w:hAnsi="Times New Roman" w:cs="Times New Roman"/>
                <w:sz w:val="20"/>
                <w:szCs w:val="20"/>
                <w:lang w:eastAsia="sk-SK"/>
              </w:rPr>
            </w:pPr>
          </w:p>
          <w:p w:rsidR="00AC7099" w:rsidRPr="00612E08" w:rsidP="007327E7">
            <w:pPr>
              <w:jc w:val="both"/>
              <w:rPr>
                <w:rFonts w:ascii="Times New Roman" w:eastAsia="Times New Roman" w:hAnsi="Times New Roman" w:cs="Times New Roman"/>
                <w:b/>
                <w:sz w:val="20"/>
                <w:szCs w:val="20"/>
                <w:lang w:eastAsia="sk-SK"/>
              </w:rPr>
            </w:pPr>
          </w:p>
        </w:tc>
      </w:tr>
      <w:tr w:rsidTr="007327E7">
        <w:tblPrEx>
          <w:tblW w:w="9180" w:type="dxa"/>
          <w:tblLayout w:type="fixed"/>
          <w:tblLook w:val="04A0"/>
        </w:tblPrEx>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Tr="007327E7">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rsidR="00AC7099" w:rsidRPr="00612E08" w:rsidP="007327E7">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AC7099" w:rsidRPr="00612E08" w:rsidP="007327E7">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Tr="007327E7">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rsidR="00AC7099" w:rsidRPr="00612E08" w:rsidP="007327E7">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AC7099" w:rsidRPr="00612E08" w:rsidP="007327E7">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AC7099" w:rsidRPr="00612E08" w:rsidP="007327E7">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AC7099" w:rsidRPr="00612E08" w:rsidP="007327E7">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Tr="007327E7">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rsidR="00AC7099" w:rsidRPr="00612E08" w:rsidP="007327E7">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AC7099" w:rsidRPr="00612E08" w:rsidP="007327E7">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Tr="007327E7">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cPr>
          <w:p w:rsidR="00AC7099" w:rsidRPr="00612E08" w:rsidP="007327E7">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AC7099" w:rsidRPr="00612E08" w:rsidP="007327E7">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rsidR="00AC7099" w:rsidRPr="00612E08" w:rsidP="007327E7">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rsidR="00AC7099" w:rsidRPr="00612E08" w:rsidP="007327E7">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rsidR="00AC7099" w:rsidRPr="00612E08" w:rsidP="007327E7">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AC7099" w:rsidRPr="00612E08" w:rsidP="007327E7">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Tr="007327E7">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AC7099" w:rsidRPr="00612E08" w:rsidP="007327E7">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rsidR="00AC7099" w:rsidRPr="00612E08" w:rsidP="007327E7">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C7099" w:rsidRPr="00612E08" w:rsidP="007327E7">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C7099" w:rsidRPr="00612E08" w:rsidP="007327E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rsidR="00AC7099" w:rsidRPr="00612E08" w:rsidP="007327E7">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C7099" w:rsidRPr="00612E08" w:rsidP="007327E7">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Tr="007327E7">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rsidR="00AC7099" w:rsidRPr="00612E08" w:rsidP="007327E7">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rsidR="00AC7099" w:rsidRPr="00612E08" w:rsidP="007327E7">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rsidR="00AC7099" w:rsidRPr="00612E08" w:rsidP="007327E7">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C7099" w:rsidRPr="00612E08" w:rsidP="007327E7">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Tr="007327E7">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AC7099" w:rsidRPr="00612E08" w:rsidP="007327E7">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AC7099" w:rsidRPr="00612E08" w:rsidP="007327E7">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Tr="007327E7">
        <w:tblPrEx>
          <w:tblW w:w="9180" w:type="dxa"/>
          <w:tblLayout w:type="fixed"/>
          <w:tblLook w:val="04A0"/>
        </w:tblPrEx>
        <w:tc>
          <w:tcPr>
            <w:tcW w:w="3812" w:type="dxa"/>
            <w:tcBorders>
              <w:top w:val="nil"/>
              <w:left w:val="single" w:sz="4" w:space="0" w:color="000000"/>
              <w:bottom w:val="nil"/>
              <w:right w:val="single" w:sz="4" w:space="0" w:color="000000"/>
            </w:tcBorders>
            <w:shd w:val="clear" w:color="auto" w:fill="E2E2E2"/>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AC7099" w:rsidRPr="00612E08" w:rsidP="007327E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rsidR="00AC7099" w:rsidRPr="00612E08" w:rsidP="007327E7">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AC7099" w:rsidRPr="00612E08" w:rsidP="007327E7">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AC7099" w:rsidRPr="00612E08" w:rsidP="007327E7">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AC7099" w:rsidRPr="00612E08" w:rsidP="007327E7">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AC7099" w:rsidRPr="00612E08" w:rsidP="007327E7">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Tr="007327E7">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cPr>
          <w:p w:rsidR="00AC7099" w:rsidRPr="00612E08" w:rsidP="007327E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AC7099" w:rsidRPr="00612E08" w:rsidP="007327E7">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AC7099" w:rsidRPr="00612E08" w:rsidP="007327E7">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Tr="007327E7">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AC7099" w:rsidRPr="00612E08" w:rsidP="007327E7">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AC7099" w:rsidRPr="00612E08" w:rsidP="007327E7">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Tr="007327E7">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AC7099" w:rsidRPr="00612E08" w:rsidP="007327E7">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AC7099" w:rsidRPr="00612E08" w:rsidP="007327E7">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Tr="007327E7">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cPr>
          <w:p w:rsidR="00AC7099" w:rsidRPr="00612E08" w:rsidP="007327E7">
            <w:pPr>
              <w:rPr>
                <w:rFonts w:ascii="Times New Roman" w:eastAsia="Times New Roman" w:hAnsi="Times New Roman" w:cs="Times New Roman"/>
                <w:sz w:val="20"/>
                <w:szCs w:val="20"/>
                <w:lang w:eastAsia="sk-SK"/>
              </w:rPr>
            </w:pPr>
          </w:p>
          <w:p w:rsidR="00AC7099" w:rsidRPr="00612E08" w:rsidP="007327E7">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C7099" w:rsidRPr="00612E08" w:rsidP="007327E7">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C7099" w:rsidRPr="00612E08" w:rsidP="007327E7">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Tr="007327E7">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AC7099" w:rsidRPr="00612E08" w:rsidP="007327E7">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AC7099" w:rsidRPr="00612E08" w:rsidP="007327E7">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31"/>
        <w:gridCol w:w="538"/>
        <w:gridCol w:w="1133"/>
        <w:gridCol w:w="547"/>
        <w:gridCol w:w="1297"/>
      </w:tblGrid>
      <w:tr w:rsidTr="007327E7">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AC7099" w:rsidRPr="00612E08" w:rsidP="007327E7">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AC7099" w:rsidRPr="00612E08" w:rsidP="007327E7">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AC7099" w:rsidRPr="00612E08" w:rsidP="007327E7">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AC7099" w:rsidRPr="00612E08" w:rsidP="007327E7">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AC7099" w:rsidRPr="00612E08" w:rsidP="007327E7">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AC7099" w:rsidRPr="00612E08" w:rsidP="007327E7">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AC7099" w:rsidRPr="00612E08" w:rsidP="007327E7">
            <w:pPr>
              <w:spacing w:after="0" w:line="240" w:lineRule="auto"/>
              <w:ind w:left="54"/>
              <w:rPr>
                <w:rFonts w:ascii="Times New Roman" w:eastAsia="Times New Roman" w:hAnsi="Times New Roman" w:cs="Times New Roman"/>
                <w:b/>
                <w:sz w:val="20"/>
                <w:szCs w:val="20"/>
                <w:lang w:eastAsia="sk-SK"/>
              </w:rPr>
            </w:pPr>
          </w:p>
        </w:tc>
      </w:tr>
      <w:tr w:rsidTr="007327E7">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AC7099" w:rsidRPr="00612E08" w:rsidP="007327E7">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rsidR="00AC7099" w:rsidRPr="00612E08" w:rsidP="007327E7">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AC7099" w:rsidRPr="00612E08" w:rsidP="007327E7">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rsidR="00AC7099" w:rsidRPr="00612E08" w:rsidP="007327E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AC7099" w:rsidRPr="00612E08" w:rsidP="007327E7">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rsidR="00AC7099" w:rsidRPr="00612E08" w:rsidP="007327E7">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AC7099" w:rsidRPr="00612E08" w:rsidP="007327E7">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Tr="007327E7">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AC7099" w:rsidRPr="00612E08" w:rsidP="007327E7">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rsidR="00AC7099" w:rsidRPr="00612E08" w:rsidP="007327E7">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AC7099" w:rsidRPr="00612E08" w:rsidP="007327E7">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rsidR="00AC7099" w:rsidRPr="00612E08" w:rsidP="007327E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AC7099" w:rsidRPr="00612E08" w:rsidP="007327E7">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rsidR="00AC7099" w:rsidRPr="00612E08" w:rsidP="007327E7">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AC7099" w:rsidRPr="00612E08" w:rsidP="007327E7">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tblPr>
      <w:tblGrid>
        <w:gridCol w:w="3812"/>
        <w:gridCol w:w="541"/>
        <w:gridCol w:w="1312"/>
        <w:gridCol w:w="538"/>
        <w:gridCol w:w="1133"/>
        <w:gridCol w:w="547"/>
        <w:gridCol w:w="1297"/>
      </w:tblGrid>
      <w:tr w:rsidTr="007327E7">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C7099" w:rsidRPr="00612E08" w:rsidP="007327E7">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C7099" w:rsidRPr="00612E08" w:rsidP="007327E7">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rsidR="00AC7099" w:rsidRPr="00612E08" w:rsidP="007327E7">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C7099" w:rsidRPr="00612E08" w:rsidP="007327E7">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AC7099" w:rsidRPr="00612E08" w:rsidP="00AC7099">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tblPr>
      <w:tblGrid>
        <w:gridCol w:w="9176"/>
      </w:tblGrid>
      <w:tr w:rsidTr="007327E7">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Tr="007327E7">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shd w:val="clear" w:color="auto" w:fill="auto"/>
          </w:tcPr>
          <w:p w:rsidR="00AC7099" w:rsidRPr="00612E08" w:rsidP="007327E7">
            <w:pPr>
              <w:jc w:val="both"/>
              <w:rPr>
                <w:rFonts w:ascii="Times New Roman" w:eastAsia="Times New Roman" w:hAnsi="Times New Roman" w:cs="Times New Roman"/>
                <w:i/>
                <w:sz w:val="20"/>
                <w:szCs w:val="20"/>
                <w:lang w:eastAsia="sk-SK"/>
              </w:rPr>
            </w:pPr>
            <w:r w:rsidRPr="00672BC3">
              <w:rPr>
                <w:rFonts w:ascii="Times New Roman" w:eastAsia="Times New Roman" w:hAnsi="Times New Roman" w:cs="Times New Roman"/>
                <w:i/>
                <w:sz w:val="20"/>
                <w:szCs w:val="20"/>
                <w:lang w:eastAsia="sk-SK"/>
              </w:rPr>
              <w:t>Návrhom sa predpokladá pozitívny vplyv na rozpočet verejn</w:t>
            </w:r>
            <w:r>
              <w:rPr>
                <w:rFonts w:ascii="Times New Roman" w:eastAsia="Times New Roman" w:hAnsi="Times New Roman" w:cs="Times New Roman"/>
                <w:i/>
                <w:sz w:val="20"/>
                <w:szCs w:val="20"/>
                <w:lang w:eastAsia="sk-SK"/>
              </w:rPr>
              <w:t>ej správy, keďže sa zavádza nový druh pokuty</w:t>
            </w:r>
            <w:r w:rsidRPr="00672BC3">
              <w:rPr>
                <w:rFonts w:ascii="Times New Roman" w:eastAsia="Times New Roman" w:hAnsi="Times New Roman" w:cs="Times New Roman"/>
                <w:i/>
                <w:sz w:val="20"/>
                <w:szCs w:val="20"/>
                <w:lang w:eastAsia="sk-SK"/>
              </w:rPr>
              <w:t>, ktorú smi</w:t>
            </w:r>
            <w:r>
              <w:rPr>
                <w:rFonts w:ascii="Times New Roman" w:eastAsia="Times New Roman" w:hAnsi="Times New Roman" w:cs="Times New Roman"/>
                <w:i/>
                <w:sz w:val="20"/>
                <w:szCs w:val="20"/>
                <w:lang w:eastAsia="sk-SK"/>
              </w:rPr>
              <w:t>e udeliť Ministerstvo dopravy Slovenskej republiky</w:t>
            </w:r>
            <w:r w:rsidRPr="00672BC3">
              <w:rPr>
                <w:rFonts w:ascii="Times New Roman" w:eastAsia="Times New Roman" w:hAnsi="Times New Roman" w:cs="Times New Roman"/>
                <w:i/>
                <w:sz w:val="20"/>
                <w:szCs w:val="20"/>
                <w:lang w:eastAsia="sk-SK"/>
              </w:rPr>
              <w:t>, pričom príjmy z </w:t>
            </w:r>
            <w:r>
              <w:rPr>
                <w:rFonts w:ascii="Times New Roman" w:eastAsia="Times New Roman" w:hAnsi="Times New Roman" w:cs="Times New Roman"/>
                <w:i/>
                <w:sz w:val="20"/>
                <w:szCs w:val="20"/>
                <w:lang w:eastAsia="sk-SK"/>
              </w:rPr>
              <w:t>pokút majú byť príjmom štátneho rozpočtu.</w:t>
            </w:r>
            <w:r w:rsidRPr="00672BC3">
              <w:rPr>
                <w:rFonts w:ascii="Times New Roman" w:eastAsia="Times New Roman" w:hAnsi="Times New Roman" w:cs="Times New Roman"/>
                <w:i/>
                <w:sz w:val="20"/>
                <w:szCs w:val="20"/>
                <w:lang w:eastAsia="sk-SK"/>
              </w:rPr>
              <w:t xml:space="preserve"> Vzhľadom na skutočnosť, že nemožno odhadnúť, koľko pokút a v akej vý</w:t>
            </w:r>
            <w:r>
              <w:rPr>
                <w:rFonts w:ascii="Times New Roman" w:eastAsia="Times New Roman" w:hAnsi="Times New Roman" w:cs="Times New Roman"/>
                <w:i/>
                <w:sz w:val="20"/>
                <w:szCs w:val="20"/>
                <w:lang w:eastAsia="sk-SK"/>
              </w:rPr>
              <w:t>ške bude Ministerstvo dopravy Slovenskej republiky</w:t>
            </w:r>
            <w:r w:rsidRPr="00672BC3">
              <w:rPr>
                <w:rFonts w:ascii="Times New Roman" w:eastAsia="Times New Roman" w:hAnsi="Times New Roman" w:cs="Times New Roman"/>
                <w:i/>
                <w:sz w:val="20"/>
                <w:szCs w:val="20"/>
                <w:lang w:eastAsia="sk-SK"/>
              </w:rPr>
              <w:t xml:space="preserve"> nútené udeliť, nemožno ani </w:t>
            </w:r>
            <w:r>
              <w:rPr>
                <w:rFonts w:ascii="Times New Roman" w:eastAsia="Times New Roman" w:hAnsi="Times New Roman" w:cs="Times New Roman"/>
                <w:i/>
                <w:sz w:val="20"/>
                <w:szCs w:val="20"/>
                <w:lang w:eastAsia="sk-SK"/>
              </w:rPr>
              <w:t>objektívne</w:t>
            </w:r>
            <w:r w:rsidRPr="00672BC3">
              <w:rPr>
                <w:rFonts w:ascii="Times New Roman" w:eastAsia="Times New Roman" w:hAnsi="Times New Roman" w:cs="Times New Roman"/>
                <w:i/>
                <w:sz w:val="20"/>
                <w:szCs w:val="20"/>
                <w:lang w:eastAsia="sk-SK"/>
              </w:rPr>
              <w:t xml:space="preserve"> vyčísliť predpokladané príjmy, resp. ani poskytnúť kvalifikovaný odhad. Z tohto dôvodu sa </w:t>
            </w:r>
            <w:r>
              <w:rPr>
                <w:rFonts w:ascii="Times New Roman" w:eastAsia="Times New Roman" w:hAnsi="Times New Roman" w:cs="Times New Roman"/>
                <w:i/>
                <w:sz w:val="20"/>
                <w:szCs w:val="20"/>
                <w:lang w:eastAsia="sk-SK"/>
              </w:rPr>
              <w:t xml:space="preserve">konkrétne </w:t>
            </w:r>
            <w:r w:rsidRPr="00672BC3">
              <w:rPr>
                <w:rFonts w:ascii="Times New Roman" w:eastAsia="Times New Roman" w:hAnsi="Times New Roman" w:cs="Times New Roman"/>
                <w:i/>
                <w:sz w:val="20"/>
                <w:szCs w:val="20"/>
                <w:lang w:eastAsia="sk-SK"/>
              </w:rPr>
              <w:t>vyčíslenie ani neuvádza v analýze vplyvov na rozpočet vere</w:t>
            </w:r>
            <w:r>
              <w:rPr>
                <w:rFonts w:ascii="Times New Roman" w:eastAsia="Times New Roman" w:hAnsi="Times New Roman" w:cs="Times New Roman"/>
                <w:i/>
                <w:sz w:val="20"/>
                <w:szCs w:val="20"/>
                <w:lang w:eastAsia="sk-SK"/>
              </w:rPr>
              <w:t>j</w:t>
            </w:r>
            <w:r w:rsidRPr="00672BC3">
              <w:rPr>
                <w:rFonts w:ascii="Times New Roman" w:eastAsia="Times New Roman" w:hAnsi="Times New Roman" w:cs="Times New Roman"/>
                <w:i/>
                <w:sz w:val="20"/>
                <w:szCs w:val="20"/>
                <w:lang w:eastAsia="sk-SK"/>
              </w:rPr>
              <w:t xml:space="preserve">nej </w:t>
            </w:r>
            <w:r w:rsidRPr="00672BC3">
              <w:rPr>
                <w:rFonts w:ascii="Times New Roman" w:eastAsia="Times New Roman" w:hAnsi="Times New Roman" w:cs="Times New Roman"/>
                <w:i/>
                <w:sz w:val="20"/>
                <w:szCs w:val="20"/>
                <w:lang w:eastAsia="sk-SK"/>
              </w:rPr>
              <w:t>správy.</w:t>
            </w:r>
            <w:r>
              <w:rPr>
                <w:rFonts w:ascii="Times New Roman" w:eastAsia="Times New Roman" w:hAnsi="Times New Roman" w:cs="Times New Roman"/>
                <w:i/>
                <w:sz w:val="20"/>
                <w:szCs w:val="20"/>
                <w:lang w:eastAsia="sk-SK"/>
              </w:rPr>
              <w:t xml:space="preserve"> </w:t>
            </w:r>
            <w:r w:rsidRPr="00EC6806">
              <w:rPr>
                <w:rFonts w:ascii="Times New Roman" w:eastAsia="Times New Roman" w:hAnsi="Times New Roman" w:cs="Times New Roman"/>
                <w:i/>
                <w:sz w:val="20"/>
                <w:szCs w:val="20"/>
                <w:lang w:eastAsia="sk-SK"/>
              </w:rPr>
              <w:t xml:space="preserve">Zároveň je potrebné zdôrazniť, že </w:t>
            </w:r>
            <w:r w:rsidRPr="00EC6806">
              <w:rPr>
                <w:rFonts w:ascii="Times New Roman" w:hAnsi="Times New Roman" w:cs="Times New Roman"/>
                <w:i/>
                <w:color w:val="000000"/>
                <w:sz w:val="20"/>
                <w:szCs w:val="20"/>
              </w:rPr>
              <w:t>prípadné negatívne rozpočtové dôsledky predloženého návrhu sú zabezpečené v rámci limitov výdavkov a počtu zamestnancov dotknutej kapitoly Ministerstva dopravy Slovenskej republiky na príslušný rozpočtový rok, t. j. bez dodatočných požiadaviek na rozpočet verejnej správy. Uvedené rovnako platí aj v súvislosti s technickým a personálnym zabezpečením výkonu navrhovaného osobitného druhu štátneho odboru dozoru vykonávaného Ministerstvom dopravy Slovenskej republiky.</w:t>
            </w:r>
          </w:p>
          <w:p w:rsidR="00AC7099" w:rsidRPr="00612E08" w:rsidP="007327E7">
            <w:pPr>
              <w:ind w:left="426"/>
              <w:contextualSpacing/>
              <w:rPr>
                <w:rFonts w:ascii="Times New Roman" w:eastAsia="Calibri" w:hAnsi="Times New Roman" w:cs="Times New Roman"/>
                <w:b/>
              </w:rPr>
            </w:pPr>
          </w:p>
        </w:tc>
      </w:tr>
      <w:tr w:rsidTr="007327E7">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Tr="007327E7">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C7099" w:rsidRPr="00612E08" w:rsidP="007327E7">
            <w:pPr>
              <w:jc w:val="both"/>
              <w:rPr>
                <w:rFonts w:ascii="Times New Roman" w:eastAsia="Times New Roman" w:hAnsi="Times New Roman" w:cs="Times New Roman"/>
                <w:i/>
                <w:sz w:val="20"/>
                <w:szCs w:val="20"/>
                <w:lang w:eastAsia="sk-SK"/>
              </w:rPr>
            </w:pPr>
            <w:r>
              <w:rPr>
                <w:rFonts w:ascii="Times New Roman" w:hAnsi="Times New Roman" w:cs="Times New Roman"/>
                <w:i/>
                <w:color w:val="000000" w:themeColor="text1"/>
                <w:sz w:val="20"/>
                <w:szCs w:val="20"/>
              </w:rPr>
              <w:t xml:space="preserve">Ministerstvo dopravy </w:t>
            </w:r>
            <w:r w:rsidRPr="002F6259">
              <w:rPr>
                <w:rFonts w:ascii="Times New Roman" w:hAnsi="Times New Roman" w:cs="Times New Roman"/>
                <w:i/>
                <w:color w:val="000000" w:themeColor="text1"/>
                <w:sz w:val="20"/>
                <w:szCs w:val="20"/>
              </w:rPr>
              <w:t xml:space="preserve">Slovenskej republiky, Sekcia cestnej dopravy a pozemných komunikácii –  </w:t>
            </w:r>
            <w:hyperlink r:id="rId9" w:history="1">
              <w:r w:rsidRPr="002F6259">
                <w:rPr>
                  <w:rStyle w:val="Hyperlink"/>
                  <w:rFonts w:ascii="Times New Roman" w:hAnsi="Times New Roman"/>
                  <w:i/>
                  <w:color w:val="000000" w:themeColor="text1"/>
                  <w:sz w:val="20"/>
                  <w:szCs w:val="20"/>
                </w:rPr>
                <w:t>scdpk@mindop.sk</w:t>
              </w:r>
            </w:hyperlink>
            <w:r w:rsidRPr="002F6259">
              <w:rPr>
                <w:rStyle w:val="Hyperlink"/>
                <w:rFonts w:ascii="Times New Roman" w:hAnsi="Times New Roman"/>
                <w:i/>
                <w:color w:val="000000" w:themeColor="text1"/>
                <w:sz w:val="20"/>
                <w:szCs w:val="20"/>
              </w:rPr>
              <w:t xml:space="preserve">, </w:t>
            </w:r>
            <w:r>
              <w:rPr>
                <w:rFonts w:ascii="Times New Roman" w:eastAsia="Times New Roman" w:hAnsi="Times New Roman" w:cs="Times New Roman"/>
                <w:i/>
                <w:sz w:val="20"/>
                <w:szCs w:val="20"/>
              </w:rPr>
              <w:t>+421 2 594 94 347</w:t>
            </w:r>
            <w:r w:rsidRPr="002F6259">
              <w:rPr>
                <w:rFonts w:ascii="Times New Roman" w:eastAsia="Times New Roman" w:hAnsi="Times New Roman" w:cs="Times New Roman"/>
                <w:i/>
                <w:sz w:val="20"/>
                <w:szCs w:val="20"/>
              </w:rPr>
              <w:t xml:space="preserve">                </w:t>
            </w:r>
            <w:r w:rsidRPr="002F6259">
              <w:rPr>
                <w:rFonts w:ascii="Times New Roman" w:eastAsia="Times New Roman" w:hAnsi="Times New Roman" w:cs="Times New Roman"/>
                <w:i/>
                <w:sz w:val="20"/>
                <w:szCs w:val="20"/>
                <w:lang w:eastAsia="sk-SK"/>
              </w:rPr>
              <w:t xml:space="preserve">                                                                         </w:t>
            </w:r>
          </w:p>
        </w:tc>
      </w:tr>
      <w:tr w:rsidTr="007327E7">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AC7099" w:rsidRPr="00612E08" w:rsidP="00AC7099">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Tr="007327E7">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C7099" w:rsidRPr="00612E08" w:rsidP="007327E7">
            <w:pPr>
              <w:rPr>
                <w:rFonts w:ascii="Times New Roman" w:eastAsia="Times New Roman" w:hAnsi="Times New Roman" w:cs="Times New Roman"/>
                <w:i/>
                <w:sz w:val="20"/>
                <w:szCs w:val="20"/>
                <w:lang w:eastAsia="sk-SK"/>
              </w:rPr>
            </w:pPr>
          </w:p>
          <w:p w:rsidR="00AC7099" w:rsidRPr="00612E08" w:rsidP="007327E7">
            <w:pPr>
              <w:rPr>
                <w:rFonts w:ascii="Times New Roman" w:eastAsia="Times New Roman" w:hAnsi="Times New Roman" w:cs="Times New Roman"/>
                <w:b/>
                <w:sz w:val="20"/>
                <w:szCs w:val="20"/>
                <w:lang w:eastAsia="sk-SK"/>
              </w:rPr>
            </w:pPr>
          </w:p>
        </w:tc>
      </w:tr>
      <w:tr w:rsidTr="007327E7">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AC7099" w:rsidRPr="00612E08" w:rsidP="00AC7099">
            <w:pPr>
              <w:numPr>
                <w:ilvl w:val="0"/>
                <w:numId w:val="4"/>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rsidR="00AC7099" w:rsidRPr="00612E08" w:rsidP="007327E7">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Tr="007327E7">
        <w:tblPrEx>
          <w:tblW w:w="9176" w:type="dxa"/>
          <w:tblLayout w:type="fixed"/>
          <w:tblLook w:val="04A0"/>
        </w:tblPrEx>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C7099" w:rsidRPr="00612E08" w:rsidP="007327E7">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3827"/>
              <w:gridCol w:w="2534"/>
            </w:tblGrid>
            <w:tr w:rsidTr="007327E7">
              <w:tblPrEx>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96"/>
              </w:trPr>
              <w:tc>
                <w:tcPr>
                  <w:tcW w:w="2552" w:type="dxa"/>
                </w:tcPr>
                <w:p w:rsidR="00AC7099" w:rsidRPr="00612E08" w:rsidP="007327E7">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Content>
                      <w:r w:rsidRPr="00612E08">
                        <w:rPr>
                          <w:rFonts w:ascii="MS Gothic" w:eastAsia="MS Gothic" w:hAnsi="MS Gothic" w:cs="Times New Roman" w:hint="eastAsia"/>
                          <w:b/>
                          <w:sz w:val="20"/>
                          <w:szCs w:val="20"/>
                          <w:lang w:eastAsia="sk-SK"/>
                        </w:rPr>
                        <w:t>☐</w:t>
                      </w:r>
                    </w:sdtContent>
                  </w:sdt>
                  <w:r w:rsidRPr="00612E08">
                    <w:rPr>
                      <w:rFonts w:ascii="Times New Roman" w:eastAsia="Times New Roman" w:hAnsi="Times New Roman" w:cs="Times New Roman"/>
                      <w:b/>
                      <w:sz w:val="20"/>
                      <w:szCs w:val="20"/>
                      <w:lang w:eastAsia="sk-SK"/>
                    </w:rPr>
                    <w:t xml:space="preserve">  Súhlasné </w:t>
                  </w:r>
                </w:p>
              </w:tc>
              <w:tc>
                <w:tcPr>
                  <w:tcW w:w="3827" w:type="dxa"/>
                </w:tcPr>
                <w:p w:rsidR="00AC7099" w:rsidRPr="00612E08" w:rsidP="007327E7">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Content>
                      <w:r w:rsidRPr="00612E08">
                        <w:rPr>
                          <w:rFonts w:ascii="MS Gothic" w:eastAsia="MS Gothic" w:hAnsi="MS Gothic" w:cs="Times New Roman" w:hint="eastAsia"/>
                          <w:b/>
                          <w:sz w:val="20"/>
                          <w:szCs w:val="20"/>
                          <w:lang w:eastAsia="sk-SK"/>
                        </w:rPr>
                        <w:t>☐</w:t>
                      </w:r>
                    </w:sdtContent>
                  </w:sdt>
                  <w:r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AC7099" w:rsidRPr="00612E08" w:rsidP="007327E7">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Content>
                      <w:r w:rsidRPr="00612E08">
                        <w:rPr>
                          <w:rFonts w:ascii="MS Gothic" w:eastAsia="MS Gothic" w:hAnsi="MS Gothic" w:cs="Times New Roman" w:hint="eastAsia"/>
                          <w:b/>
                          <w:sz w:val="20"/>
                          <w:szCs w:val="20"/>
                          <w:lang w:eastAsia="sk-SK"/>
                        </w:rPr>
                        <w:t>☐</w:t>
                      </w:r>
                    </w:sdtContent>
                  </w:sdt>
                  <w:r w:rsidRPr="00612E08">
                    <w:rPr>
                      <w:rFonts w:ascii="Times New Roman" w:eastAsia="Times New Roman" w:hAnsi="Times New Roman" w:cs="Times New Roman"/>
                      <w:b/>
                      <w:sz w:val="20"/>
                      <w:szCs w:val="20"/>
                      <w:lang w:eastAsia="sk-SK"/>
                    </w:rPr>
                    <w:t xml:space="preserve">  Nesúhlasné</w:t>
                  </w:r>
                </w:p>
              </w:tc>
            </w:tr>
          </w:tbl>
          <w:p w:rsidR="00AC7099" w:rsidRPr="00612E08" w:rsidP="007327E7">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AC7099" w:rsidRPr="00612E08" w:rsidP="007327E7">
            <w:pPr>
              <w:rPr>
                <w:rFonts w:ascii="Times New Roman" w:eastAsia="Times New Roman" w:hAnsi="Times New Roman" w:cs="Times New Roman"/>
                <w:b/>
                <w:sz w:val="20"/>
                <w:szCs w:val="20"/>
                <w:lang w:eastAsia="sk-SK"/>
              </w:rPr>
            </w:pPr>
          </w:p>
          <w:p w:rsidR="00AC7099" w:rsidRPr="00612E08" w:rsidP="007327E7">
            <w:pPr>
              <w:rPr>
                <w:rFonts w:ascii="Times New Roman" w:eastAsia="Times New Roman" w:hAnsi="Times New Roman" w:cs="Times New Roman"/>
                <w:b/>
                <w:sz w:val="20"/>
                <w:szCs w:val="20"/>
                <w:lang w:eastAsia="sk-SK"/>
              </w:rPr>
            </w:pPr>
          </w:p>
        </w:tc>
      </w:tr>
      <w:tr w:rsidTr="007327E7">
        <w:tblPrEx>
          <w:tblW w:w="9176" w:type="dxa"/>
          <w:tblBorders>
            <w:insideH w:val="single" w:sz="4" w:space="0" w:color="FFFFFF"/>
            <w:insideV w:val="single" w:sz="4" w:space="0" w:color="FFFFFF"/>
          </w:tblBorders>
          <w:tblLayout w:type="fixed"/>
          <w:tblLook w:val="04A0"/>
        </w:tblPrEx>
        <w:tc>
          <w:tcPr>
            <w:tcW w:w="9176" w:type="dxa"/>
            <w:tcBorders>
              <w:top w:val="single" w:sz="4" w:space="0" w:color="auto"/>
            </w:tcBorders>
            <w:shd w:val="clear" w:color="auto" w:fill="E2E2E2"/>
          </w:tcPr>
          <w:p w:rsidR="00AC7099" w:rsidRPr="00612E08" w:rsidP="00AC7099">
            <w:pPr>
              <w:numPr>
                <w:ilvl w:val="0"/>
                <w:numId w:val="4"/>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Tr="007327E7">
        <w:tblPrEx>
          <w:tblW w:w="9176" w:type="dxa"/>
          <w:tblBorders>
            <w:insideH w:val="single" w:sz="4" w:space="0" w:color="FFFFFF"/>
            <w:insideV w:val="single" w:sz="4" w:space="0" w:color="FFFFFF"/>
          </w:tblBorders>
          <w:tblLayout w:type="fixed"/>
          <w:tblLook w:val="04A0"/>
        </w:tblPrEx>
        <w:tc>
          <w:tcPr>
            <w:tcW w:w="9176" w:type="dxa"/>
            <w:shd w:val="clear" w:color="auto" w:fill="FFFFFF"/>
          </w:tcPr>
          <w:p w:rsidR="00AC7099" w:rsidRPr="00612E08" w:rsidP="007327E7">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3827"/>
              <w:gridCol w:w="2534"/>
            </w:tblGrid>
            <w:tr w:rsidTr="007327E7">
              <w:tblPrEx>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96"/>
              </w:trPr>
              <w:tc>
                <w:tcPr>
                  <w:tcW w:w="2552" w:type="dxa"/>
                </w:tcPr>
                <w:p w:rsidR="00AC7099" w:rsidRPr="00612E08" w:rsidP="007327E7">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Content>
                      <w:r w:rsidRPr="00612E08">
                        <w:rPr>
                          <w:rFonts w:ascii="MS Gothic" w:eastAsia="MS Gothic" w:hAnsi="MS Gothic" w:cs="Times New Roman" w:hint="eastAsia"/>
                          <w:b/>
                          <w:sz w:val="20"/>
                          <w:szCs w:val="20"/>
                          <w:lang w:eastAsia="sk-SK"/>
                        </w:rPr>
                        <w:t>☐</w:t>
                      </w:r>
                    </w:sdtContent>
                  </w:sdt>
                  <w:r w:rsidRPr="00612E08">
                    <w:rPr>
                      <w:rFonts w:ascii="Times New Roman" w:eastAsia="Times New Roman" w:hAnsi="Times New Roman" w:cs="Times New Roman"/>
                      <w:b/>
                      <w:sz w:val="20"/>
                      <w:szCs w:val="20"/>
                      <w:lang w:eastAsia="sk-SK"/>
                    </w:rPr>
                    <w:t xml:space="preserve">   Súhlasné </w:t>
                  </w:r>
                </w:p>
              </w:tc>
              <w:tc>
                <w:tcPr>
                  <w:tcW w:w="3827" w:type="dxa"/>
                </w:tcPr>
                <w:p w:rsidR="00AC7099" w:rsidRPr="00612E08" w:rsidP="007327E7">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Content>
                      <w:r w:rsidRPr="00612E08">
                        <w:rPr>
                          <w:rFonts w:ascii="MS Gothic" w:eastAsia="MS Gothic" w:hAnsi="MS Gothic" w:cs="Times New Roman" w:hint="eastAsia"/>
                          <w:b/>
                          <w:sz w:val="20"/>
                          <w:szCs w:val="20"/>
                          <w:lang w:eastAsia="sk-SK"/>
                        </w:rPr>
                        <w:t>☐</w:t>
                      </w:r>
                    </w:sdtContent>
                  </w:sdt>
                  <w:r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AC7099" w:rsidRPr="00612E08" w:rsidP="007327E7">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Content>
                      <w:r w:rsidRPr="00612E08">
                        <w:rPr>
                          <w:rFonts w:ascii="MS Gothic" w:eastAsia="MS Gothic" w:hAnsi="MS Gothic" w:cs="Times New Roman" w:hint="eastAsia"/>
                          <w:b/>
                          <w:sz w:val="20"/>
                          <w:szCs w:val="20"/>
                          <w:lang w:eastAsia="sk-SK"/>
                        </w:rPr>
                        <w:t>☐</w:t>
                      </w:r>
                    </w:sdtContent>
                  </w:sdt>
                  <w:r w:rsidRPr="00612E08">
                    <w:rPr>
                      <w:rFonts w:ascii="Times New Roman" w:eastAsia="Times New Roman" w:hAnsi="Times New Roman" w:cs="Times New Roman"/>
                      <w:b/>
                      <w:sz w:val="20"/>
                      <w:szCs w:val="20"/>
                      <w:lang w:eastAsia="sk-SK"/>
                    </w:rPr>
                    <w:t xml:space="preserve">  Nesúhlasné</w:t>
                  </w:r>
                </w:p>
              </w:tc>
            </w:tr>
          </w:tbl>
          <w:p w:rsidR="00AC7099" w:rsidRPr="00612E08" w:rsidP="007327E7">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AC7099" w:rsidRPr="00612E08" w:rsidP="007327E7">
            <w:pPr>
              <w:rPr>
                <w:rFonts w:ascii="Times New Roman" w:eastAsia="Times New Roman" w:hAnsi="Times New Roman" w:cs="Times New Roman"/>
                <w:b/>
                <w:sz w:val="20"/>
                <w:szCs w:val="20"/>
                <w:lang w:eastAsia="sk-SK"/>
              </w:rPr>
            </w:pPr>
          </w:p>
          <w:p w:rsidR="00AC7099" w:rsidRPr="00612E08" w:rsidP="007327E7">
            <w:pPr>
              <w:rPr>
                <w:rFonts w:ascii="Times New Roman" w:eastAsia="Times New Roman" w:hAnsi="Times New Roman" w:cs="Times New Roman"/>
                <w:b/>
                <w:sz w:val="20"/>
                <w:szCs w:val="20"/>
                <w:lang w:eastAsia="sk-SK"/>
              </w:rPr>
            </w:pPr>
          </w:p>
        </w:tc>
      </w:tr>
    </w:tbl>
    <w:p w:rsidR="00AC7099" w:rsidRPr="00612E08" w:rsidP="00AC7099"/>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AC7099" w:rsidP="00AC7099">
      <w:pPr>
        <w:spacing w:after="0" w:line="240" w:lineRule="auto"/>
        <w:rPr>
          <w:rFonts w:ascii="Times New Roman" w:eastAsia="Times New Roman" w:hAnsi="Times New Roman" w:cs="Times New Roman"/>
          <w:b/>
          <w:bCs/>
          <w:sz w:val="28"/>
          <w:szCs w:val="28"/>
          <w:lang w:eastAsia="sk-SK"/>
        </w:rPr>
      </w:pPr>
    </w:p>
    <w:p w:rsidR="00AC7099" w:rsidP="00AC7099">
      <w:pPr>
        <w:spacing w:after="0" w:line="240" w:lineRule="auto"/>
        <w:rPr>
          <w:rFonts w:ascii="Times New Roman" w:eastAsia="Times New Roman" w:hAnsi="Times New Roman" w:cs="Times New Roman"/>
          <w:b/>
          <w:bCs/>
          <w:sz w:val="28"/>
          <w:szCs w:val="28"/>
          <w:lang w:eastAsia="sk-SK"/>
        </w:rPr>
      </w:pPr>
    </w:p>
    <w:p w:rsidR="00AC7099" w:rsidP="007D5748">
      <w:pPr>
        <w:spacing w:after="0" w:line="240" w:lineRule="auto"/>
        <w:jc w:val="center"/>
        <w:rPr>
          <w:rFonts w:ascii="Times New Roman" w:eastAsia="Times New Roman" w:hAnsi="Times New Roman" w:cs="Times New Roman"/>
          <w:b/>
          <w:bCs/>
          <w:sz w:val="28"/>
          <w:szCs w:val="28"/>
          <w:lang w:eastAsia="sk-SK"/>
        </w:rPr>
      </w:pPr>
    </w:p>
    <w:p w:rsidR="007D5748" w:rsidRPr="007B7470"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Analýza vplyvov na rozpočet verejnej správy,</w:t>
      </w:r>
    </w:p>
    <w:p w:rsidR="007D5748" w:rsidRPr="007B7470"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rsidR="00E963A3" w:rsidRPr="007B7470" w:rsidP="007D5748">
      <w:pPr>
        <w:spacing w:after="0" w:line="240" w:lineRule="auto"/>
        <w:jc w:val="right"/>
        <w:rPr>
          <w:rFonts w:ascii="Times New Roman" w:eastAsia="Times New Roman" w:hAnsi="Times New Roman" w:cs="Times New Roman"/>
          <w:b/>
          <w:bCs/>
          <w:sz w:val="24"/>
          <w:szCs w:val="24"/>
          <w:lang w:eastAsia="sk-SK"/>
        </w:rPr>
      </w:pPr>
    </w:p>
    <w:p w:rsidR="005307FC" w:rsidRPr="007B7470" w:rsidP="007D5748">
      <w:pPr>
        <w:spacing w:after="0" w:line="240" w:lineRule="auto"/>
        <w:jc w:val="right"/>
        <w:rPr>
          <w:rFonts w:ascii="Times New Roman" w:eastAsia="Times New Roman" w:hAnsi="Times New Roman" w:cs="Times New Roman"/>
          <w:b/>
          <w:bCs/>
          <w:sz w:val="24"/>
          <w:szCs w:val="24"/>
          <w:lang w:eastAsia="sk-SK"/>
        </w:rPr>
      </w:pPr>
    </w:p>
    <w:p w:rsidR="00E963A3" w:rsidRPr="007B7470" w:rsidP="00212894">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rsidR="007D5748" w:rsidRPr="007B7470"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Tabuľka č. 1</w:t>
      </w:r>
      <w:r w:rsidRPr="007B7470" w:rsidR="001F624A">
        <w:rPr>
          <w:rFonts w:ascii="Times New Roman" w:eastAsia="Times New Roman" w:hAnsi="Times New Roman" w:cs="Times New Roman"/>
          <w:sz w:val="20"/>
          <w:szCs w:val="20"/>
          <w:lang w:eastAsia="sk-SK"/>
        </w:rPr>
        <w:t>/A</w:t>
      </w:r>
      <w:r w:rsidRPr="007B7470">
        <w:rPr>
          <w:rFonts w:ascii="Times New Roman" w:eastAsia="Times New Roman" w:hAnsi="Times New Roman" w:cs="Times New Roman"/>
          <w:sz w:val="20"/>
          <w:szCs w:val="20"/>
          <w:lang w:eastAsia="sk-SK"/>
        </w:rPr>
        <w:t xml:space="preserve">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61"/>
        <w:gridCol w:w="1267"/>
        <w:gridCol w:w="1267"/>
        <w:gridCol w:w="1267"/>
        <w:gridCol w:w="1267"/>
      </w:tblGrid>
      <w:tr w:rsidTr="002B63FD">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Height w:val="194"/>
          <w:jc w:val="center"/>
        </w:trPr>
        <w:tc>
          <w:tcPr>
            <w:tcW w:w="4661" w:type="dxa"/>
            <w:vMerge w:val="restart"/>
            <w:shd w:val="clear" w:color="auto" w:fill="BFBFBF" w:themeFill="background1" w:themeFillShade="BF"/>
            <w:vAlign w:val="center"/>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bookmarkStart w:id="1"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Tr="002B63FD">
        <w:tblPrEx>
          <w:tblW w:w="9729" w:type="dxa"/>
          <w:jc w:val="center"/>
          <w:tblCellMar>
            <w:left w:w="70" w:type="dxa"/>
            <w:right w:w="70" w:type="dxa"/>
          </w:tblCellMar>
          <w:tblLook w:val="0000"/>
        </w:tblPrEx>
        <w:trPr>
          <w:cantSplit/>
          <w:trHeight w:val="70"/>
          <w:jc w:val="center"/>
        </w:trPr>
        <w:tc>
          <w:tcPr>
            <w:tcW w:w="4661" w:type="dxa"/>
            <w:vMerge/>
            <w:shd w:val="clear" w:color="auto" w:fill="BFBFBF" w:themeFill="background1" w:themeFillShade="BF"/>
            <w:vAlign w:val="center"/>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r>
      <w:tr w:rsidTr="002B63FD">
        <w:tblPrEx>
          <w:tblW w:w="9729" w:type="dxa"/>
          <w:jc w:val="center"/>
          <w:tblCellMar>
            <w:left w:w="70" w:type="dxa"/>
            <w:right w:w="70" w:type="dxa"/>
          </w:tblCellMar>
          <w:tblLook w:val="0000"/>
        </w:tblPrEx>
        <w:trPr>
          <w:trHeight w:val="70"/>
          <w:jc w:val="center"/>
        </w:trPr>
        <w:tc>
          <w:tcPr>
            <w:tcW w:w="4661" w:type="dxa"/>
            <w:shd w:val="clear" w:color="auto" w:fill="C0C0C0"/>
            <w:noWrap/>
            <w:vAlign w:val="center"/>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7D5748" w:rsidRPr="007B7470"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c>
          <w:tcPr>
            <w:tcW w:w="1267" w:type="dxa"/>
            <w:shd w:val="clear" w:color="auto" w:fill="C0C0C0"/>
            <w:vAlign w:val="center"/>
          </w:tcPr>
          <w:p w:rsidR="007D5748" w:rsidRPr="007B7470"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c>
          <w:tcPr>
            <w:tcW w:w="1267" w:type="dxa"/>
            <w:shd w:val="clear" w:color="auto" w:fill="C0C0C0"/>
            <w:vAlign w:val="center"/>
          </w:tcPr>
          <w:p w:rsidR="007D5748" w:rsidRPr="007B7470"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c>
          <w:tcPr>
            <w:tcW w:w="1267" w:type="dxa"/>
            <w:shd w:val="clear" w:color="auto" w:fill="C0C0C0"/>
            <w:vAlign w:val="center"/>
          </w:tcPr>
          <w:p w:rsidR="007D5748" w:rsidRPr="007B7470"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r>
      <w:tr w:rsidTr="002B63FD">
        <w:tblPrEx>
          <w:tblW w:w="9729" w:type="dxa"/>
          <w:jc w:val="center"/>
          <w:tblCellMar>
            <w:left w:w="70" w:type="dxa"/>
            <w:right w:w="70" w:type="dxa"/>
          </w:tblCellMar>
          <w:tblLook w:val="0000"/>
        </w:tblPrEx>
        <w:trPr>
          <w:trHeight w:val="132"/>
          <w:jc w:val="center"/>
        </w:trPr>
        <w:tc>
          <w:tcPr>
            <w:tcW w:w="4661" w:type="dxa"/>
            <w:noWrap/>
            <w:vAlign w:val="center"/>
          </w:tcPr>
          <w:p w:rsidR="007D5748" w:rsidRPr="007B7470" w:rsidP="00E70DF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sidR="00320D1A">
              <w:rPr>
                <w:rFonts w:ascii="Times New Roman" w:eastAsia="Times New Roman" w:hAnsi="Times New Roman" w:cs="Times New Roman"/>
                <w:sz w:val="24"/>
                <w:szCs w:val="24"/>
                <w:lang w:eastAsia="sk-SK"/>
              </w:rPr>
              <w:t xml:space="preserve">Ministerstvo dopravy </w:t>
            </w:r>
          </w:p>
        </w:tc>
        <w:tc>
          <w:tcPr>
            <w:tcW w:w="1267" w:type="dxa"/>
            <w:noWrap/>
            <w:vAlign w:val="center"/>
          </w:tcPr>
          <w:p w:rsidR="007D5748" w:rsidRPr="00320D1A" w:rsidP="007D5748">
            <w:pPr>
              <w:spacing w:after="0" w:line="240" w:lineRule="auto"/>
              <w:jc w:val="right"/>
              <w:rPr>
                <w:rFonts w:ascii="Times New Roman" w:eastAsia="Times New Roman" w:hAnsi="Times New Roman" w:cs="Times New Roman"/>
                <w:sz w:val="24"/>
                <w:szCs w:val="24"/>
                <w:lang w:eastAsia="sk-SK"/>
              </w:rPr>
            </w:pPr>
            <w:r w:rsidRPr="00320D1A">
              <w:rPr>
                <w:rFonts w:ascii="Times New Roman" w:eastAsia="Times New Roman" w:hAnsi="Times New Roman" w:cs="Times New Roman"/>
                <w:bCs/>
                <w:sz w:val="24"/>
                <w:szCs w:val="24"/>
                <w:lang w:eastAsia="sk-SK"/>
              </w:rPr>
              <w:t>N/A</w:t>
            </w:r>
          </w:p>
        </w:tc>
        <w:tc>
          <w:tcPr>
            <w:tcW w:w="1267" w:type="dxa"/>
            <w:noWrap/>
            <w:vAlign w:val="center"/>
          </w:tcPr>
          <w:p w:rsidR="007D5748" w:rsidRPr="00320D1A" w:rsidP="007D5748">
            <w:pPr>
              <w:spacing w:after="0" w:line="240" w:lineRule="auto"/>
              <w:jc w:val="right"/>
              <w:rPr>
                <w:rFonts w:ascii="Times New Roman" w:eastAsia="Times New Roman" w:hAnsi="Times New Roman" w:cs="Times New Roman"/>
                <w:sz w:val="24"/>
                <w:szCs w:val="24"/>
                <w:lang w:eastAsia="sk-SK"/>
              </w:rPr>
            </w:pPr>
            <w:r w:rsidRPr="00320D1A">
              <w:rPr>
                <w:rFonts w:ascii="Times New Roman" w:eastAsia="Times New Roman" w:hAnsi="Times New Roman" w:cs="Times New Roman"/>
                <w:bCs/>
                <w:sz w:val="24"/>
                <w:szCs w:val="24"/>
                <w:lang w:eastAsia="sk-SK"/>
              </w:rPr>
              <w:t>N/A</w:t>
            </w:r>
          </w:p>
        </w:tc>
        <w:tc>
          <w:tcPr>
            <w:tcW w:w="1267" w:type="dxa"/>
            <w:noWrap/>
            <w:vAlign w:val="center"/>
          </w:tcPr>
          <w:p w:rsidR="007D5748" w:rsidRPr="00320D1A" w:rsidP="007D5748">
            <w:pPr>
              <w:spacing w:after="0" w:line="240" w:lineRule="auto"/>
              <w:jc w:val="right"/>
              <w:rPr>
                <w:rFonts w:ascii="Times New Roman" w:eastAsia="Times New Roman" w:hAnsi="Times New Roman" w:cs="Times New Roman"/>
                <w:sz w:val="24"/>
                <w:szCs w:val="24"/>
                <w:lang w:eastAsia="sk-SK"/>
              </w:rPr>
            </w:pPr>
            <w:r w:rsidRPr="00320D1A">
              <w:rPr>
                <w:rFonts w:ascii="Times New Roman" w:eastAsia="Times New Roman" w:hAnsi="Times New Roman" w:cs="Times New Roman"/>
                <w:bCs/>
                <w:sz w:val="24"/>
                <w:szCs w:val="24"/>
                <w:lang w:eastAsia="sk-SK"/>
              </w:rPr>
              <w:t>N/A</w:t>
            </w:r>
          </w:p>
        </w:tc>
        <w:tc>
          <w:tcPr>
            <w:tcW w:w="1267" w:type="dxa"/>
            <w:noWrap/>
            <w:vAlign w:val="center"/>
          </w:tcPr>
          <w:p w:rsidR="007D5748" w:rsidRPr="00320D1A" w:rsidP="007D5748">
            <w:pPr>
              <w:spacing w:after="0" w:line="240" w:lineRule="auto"/>
              <w:jc w:val="right"/>
              <w:rPr>
                <w:rFonts w:ascii="Times New Roman" w:eastAsia="Times New Roman" w:hAnsi="Times New Roman" w:cs="Times New Roman"/>
                <w:sz w:val="24"/>
                <w:szCs w:val="24"/>
                <w:lang w:eastAsia="sk-SK"/>
              </w:rPr>
            </w:pPr>
            <w:r w:rsidRPr="00320D1A">
              <w:rPr>
                <w:rFonts w:ascii="Times New Roman" w:eastAsia="Times New Roman" w:hAnsi="Times New Roman" w:cs="Times New Roman"/>
                <w:bCs/>
                <w:sz w:val="24"/>
                <w:szCs w:val="24"/>
                <w:lang w:eastAsia="sk-SK"/>
              </w:rPr>
              <w:t>N/A</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7B7470"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7B7470"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N/A</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N/A</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N/A</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N/A</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C51FD4" w:rsidRPr="007B7470" w:rsidP="00212894">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rsidR="00C51FD4" w:rsidRPr="00320D1A" w:rsidP="007D5748">
            <w:pPr>
              <w:spacing w:after="0" w:line="240" w:lineRule="auto"/>
              <w:jc w:val="right"/>
              <w:rPr>
                <w:rFonts w:ascii="Times New Roman" w:eastAsia="Times New Roman" w:hAnsi="Times New Roman" w:cs="Times New Roman"/>
                <w:bCs/>
                <w:iCs/>
                <w:sz w:val="24"/>
                <w:szCs w:val="24"/>
                <w:lang w:eastAsia="sk-SK"/>
              </w:rPr>
            </w:pPr>
            <w:r w:rsidRPr="00320D1A">
              <w:rPr>
                <w:rFonts w:ascii="Times New Roman" w:eastAsia="Times New Roman" w:hAnsi="Times New Roman" w:cs="Times New Roman"/>
                <w:bCs/>
                <w:sz w:val="24"/>
                <w:szCs w:val="24"/>
                <w:lang w:eastAsia="sk-SK"/>
              </w:rPr>
              <w:t>N/A</w:t>
            </w:r>
          </w:p>
        </w:tc>
        <w:tc>
          <w:tcPr>
            <w:tcW w:w="1267" w:type="dxa"/>
            <w:noWrap/>
            <w:vAlign w:val="center"/>
          </w:tcPr>
          <w:p w:rsidR="00C51FD4" w:rsidRPr="00320D1A" w:rsidP="007D5748">
            <w:pPr>
              <w:spacing w:after="0" w:line="240" w:lineRule="auto"/>
              <w:jc w:val="right"/>
              <w:rPr>
                <w:rFonts w:ascii="Times New Roman" w:eastAsia="Times New Roman" w:hAnsi="Times New Roman" w:cs="Times New Roman"/>
                <w:bCs/>
                <w:iCs/>
                <w:sz w:val="24"/>
                <w:szCs w:val="24"/>
                <w:lang w:eastAsia="sk-SK"/>
              </w:rPr>
            </w:pPr>
            <w:r w:rsidRPr="00320D1A">
              <w:rPr>
                <w:rFonts w:ascii="Times New Roman" w:eastAsia="Times New Roman" w:hAnsi="Times New Roman" w:cs="Times New Roman"/>
                <w:bCs/>
                <w:sz w:val="24"/>
                <w:szCs w:val="24"/>
                <w:lang w:eastAsia="sk-SK"/>
              </w:rPr>
              <w:t>N/A</w:t>
            </w:r>
          </w:p>
        </w:tc>
        <w:tc>
          <w:tcPr>
            <w:tcW w:w="1267" w:type="dxa"/>
            <w:noWrap/>
            <w:vAlign w:val="center"/>
          </w:tcPr>
          <w:p w:rsidR="00C51FD4" w:rsidRPr="00320D1A" w:rsidP="007D5748">
            <w:pPr>
              <w:spacing w:after="0" w:line="240" w:lineRule="auto"/>
              <w:jc w:val="right"/>
              <w:rPr>
                <w:rFonts w:ascii="Times New Roman" w:eastAsia="Times New Roman" w:hAnsi="Times New Roman" w:cs="Times New Roman"/>
                <w:bCs/>
                <w:iCs/>
                <w:sz w:val="24"/>
                <w:szCs w:val="24"/>
                <w:lang w:eastAsia="sk-SK"/>
              </w:rPr>
            </w:pPr>
            <w:r w:rsidRPr="00320D1A">
              <w:rPr>
                <w:rFonts w:ascii="Times New Roman" w:eastAsia="Times New Roman" w:hAnsi="Times New Roman" w:cs="Times New Roman"/>
                <w:bCs/>
                <w:sz w:val="24"/>
                <w:szCs w:val="24"/>
                <w:lang w:eastAsia="sk-SK"/>
              </w:rPr>
              <w:t>N/A</w:t>
            </w:r>
          </w:p>
        </w:tc>
        <w:tc>
          <w:tcPr>
            <w:tcW w:w="1267" w:type="dxa"/>
            <w:noWrap/>
            <w:vAlign w:val="center"/>
          </w:tcPr>
          <w:p w:rsidR="00C51FD4" w:rsidRPr="00320D1A" w:rsidP="007D5748">
            <w:pPr>
              <w:spacing w:after="0" w:line="240" w:lineRule="auto"/>
              <w:jc w:val="right"/>
              <w:rPr>
                <w:rFonts w:ascii="Times New Roman" w:eastAsia="Times New Roman" w:hAnsi="Times New Roman" w:cs="Times New Roman"/>
                <w:bCs/>
                <w:iCs/>
                <w:sz w:val="24"/>
                <w:szCs w:val="24"/>
                <w:lang w:eastAsia="sk-SK"/>
              </w:rPr>
            </w:pPr>
            <w:r w:rsidRPr="00320D1A">
              <w:rPr>
                <w:rFonts w:ascii="Times New Roman" w:eastAsia="Times New Roman" w:hAnsi="Times New Roman" w:cs="Times New Roman"/>
                <w:bCs/>
                <w:sz w:val="24"/>
                <w:szCs w:val="24"/>
                <w:lang w:eastAsia="sk-SK"/>
              </w:rPr>
              <w:t>N/A</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7B7470" w:rsidP="00212894">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rsidR="007D5748" w:rsidRPr="00320D1A" w:rsidP="007D5748">
            <w:pPr>
              <w:spacing w:after="0" w:line="240" w:lineRule="auto"/>
              <w:jc w:val="right"/>
              <w:rPr>
                <w:rFonts w:ascii="Times New Roman" w:eastAsia="Times New Roman" w:hAnsi="Times New Roman" w:cs="Times New Roman"/>
                <w:sz w:val="24"/>
                <w:szCs w:val="24"/>
                <w:lang w:eastAsia="sk-SK"/>
              </w:rPr>
            </w:pPr>
            <w:r w:rsidRPr="00320D1A">
              <w:rPr>
                <w:rFonts w:ascii="Times New Roman" w:eastAsia="Times New Roman" w:hAnsi="Times New Roman" w:cs="Times New Roman"/>
                <w:bCs/>
                <w:sz w:val="24"/>
                <w:szCs w:val="24"/>
                <w:lang w:eastAsia="sk-SK"/>
              </w:rPr>
              <w:t>N/A</w:t>
            </w:r>
          </w:p>
        </w:tc>
        <w:tc>
          <w:tcPr>
            <w:tcW w:w="1267" w:type="dxa"/>
            <w:noWrap/>
            <w:vAlign w:val="center"/>
          </w:tcPr>
          <w:p w:rsidR="007D5748" w:rsidRPr="00320D1A" w:rsidP="007D5748">
            <w:pPr>
              <w:spacing w:after="0" w:line="240" w:lineRule="auto"/>
              <w:jc w:val="right"/>
              <w:rPr>
                <w:rFonts w:ascii="Times New Roman" w:eastAsia="Times New Roman" w:hAnsi="Times New Roman" w:cs="Times New Roman"/>
                <w:sz w:val="24"/>
                <w:szCs w:val="24"/>
                <w:lang w:eastAsia="sk-SK"/>
              </w:rPr>
            </w:pPr>
            <w:r w:rsidRPr="00320D1A">
              <w:rPr>
                <w:rFonts w:ascii="Times New Roman" w:eastAsia="Times New Roman" w:hAnsi="Times New Roman" w:cs="Times New Roman"/>
                <w:bCs/>
                <w:sz w:val="24"/>
                <w:szCs w:val="24"/>
                <w:lang w:eastAsia="sk-SK"/>
              </w:rPr>
              <w:t>N/A</w:t>
            </w:r>
          </w:p>
        </w:tc>
        <w:tc>
          <w:tcPr>
            <w:tcW w:w="1267" w:type="dxa"/>
            <w:noWrap/>
            <w:vAlign w:val="center"/>
          </w:tcPr>
          <w:p w:rsidR="007D5748" w:rsidRPr="00320D1A" w:rsidP="007D5748">
            <w:pPr>
              <w:spacing w:after="0" w:line="240" w:lineRule="auto"/>
              <w:jc w:val="right"/>
              <w:rPr>
                <w:rFonts w:ascii="Times New Roman" w:eastAsia="Times New Roman" w:hAnsi="Times New Roman" w:cs="Times New Roman"/>
                <w:sz w:val="24"/>
                <w:szCs w:val="24"/>
                <w:lang w:eastAsia="sk-SK"/>
              </w:rPr>
            </w:pPr>
            <w:r w:rsidRPr="00320D1A">
              <w:rPr>
                <w:rFonts w:ascii="Times New Roman" w:eastAsia="Times New Roman" w:hAnsi="Times New Roman" w:cs="Times New Roman"/>
                <w:bCs/>
                <w:sz w:val="24"/>
                <w:szCs w:val="24"/>
                <w:lang w:eastAsia="sk-SK"/>
              </w:rPr>
              <w:t>N/A</w:t>
            </w:r>
          </w:p>
        </w:tc>
        <w:tc>
          <w:tcPr>
            <w:tcW w:w="1267" w:type="dxa"/>
            <w:noWrap/>
            <w:vAlign w:val="center"/>
          </w:tcPr>
          <w:p w:rsidR="007D5748" w:rsidRPr="00320D1A" w:rsidP="007D5748">
            <w:pPr>
              <w:spacing w:after="0" w:line="240" w:lineRule="auto"/>
              <w:jc w:val="right"/>
              <w:rPr>
                <w:rFonts w:ascii="Times New Roman" w:eastAsia="Times New Roman" w:hAnsi="Times New Roman" w:cs="Times New Roman"/>
                <w:sz w:val="24"/>
                <w:szCs w:val="24"/>
                <w:lang w:eastAsia="sk-SK"/>
              </w:rPr>
            </w:pPr>
            <w:r w:rsidRPr="00320D1A">
              <w:rPr>
                <w:rFonts w:ascii="Times New Roman" w:eastAsia="Times New Roman" w:hAnsi="Times New Roman" w:cs="Times New Roman"/>
                <w:bCs/>
                <w:sz w:val="24"/>
                <w:szCs w:val="24"/>
                <w:lang w:eastAsia="sk-SK"/>
              </w:rPr>
              <w:t>N/A</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7B7470"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7B7470"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7B7470"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9F49DC" w:rsidRPr="007B7470" w:rsidP="00320D1A">
            <w:pPr>
              <w:spacing w:after="0" w:line="240" w:lineRule="auto"/>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 xml:space="preserve">V tom: </w:t>
            </w:r>
          </w:p>
        </w:tc>
        <w:tc>
          <w:tcPr>
            <w:tcW w:w="1267" w:type="dxa"/>
            <w:noWrap/>
            <w:vAlign w:val="center"/>
          </w:tcPr>
          <w:p w:rsidR="009F49DC" w:rsidRPr="007B7470"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9F49DC" w:rsidRPr="007B7470"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9F49DC" w:rsidRPr="007B7470"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9F49DC" w:rsidRPr="007B7470" w:rsidP="007D5748">
            <w:pPr>
              <w:spacing w:after="0" w:line="240" w:lineRule="auto"/>
              <w:jc w:val="right"/>
              <w:rPr>
                <w:rFonts w:ascii="Times New Roman" w:eastAsia="Times New Roman" w:hAnsi="Times New Roman" w:cs="Times New Roman"/>
                <w:b/>
                <w:bCs/>
                <w:iCs/>
                <w:sz w:val="24"/>
                <w:szCs w:val="24"/>
                <w:lang w:eastAsia="sk-SK"/>
              </w:rPr>
            </w:pPr>
          </w:p>
        </w:tc>
      </w:tr>
      <w:tr w:rsidTr="002B63FD">
        <w:tblPrEx>
          <w:tblW w:w="9729" w:type="dxa"/>
          <w:jc w:val="center"/>
          <w:tblCellMar>
            <w:left w:w="70" w:type="dxa"/>
            <w:right w:w="70" w:type="dxa"/>
          </w:tblCellMar>
          <w:tblLook w:val="0000"/>
        </w:tblPrEx>
        <w:trPr>
          <w:trHeight w:val="125"/>
          <w:jc w:val="center"/>
        </w:trPr>
        <w:tc>
          <w:tcPr>
            <w:tcW w:w="4661" w:type="dxa"/>
            <w:shd w:val="clear" w:color="auto" w:fill="C0C0C0"/>
            <w:noWrap/>
            <w:vAlign w:val="center"/>
          </w:tcPr>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7D5748" w:rsidRPr="007B7470"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7D5748" w:rsidRPr="007B7470"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7D5748" w:rsidRPr="007B7470"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7D5748" w:rsidRPr="007B7470"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B7470">
              <w:rPr>
                <w:rFonts w:ascii="Times New Roman" w:eastAsia="Times New Roman" w:hAnsi="Times New Roman" w:cs="Times New Roman"/>
                <w:b/>
                <w:bCs/>
                <w:sz w:val="24"/>
                <w:szCs w:val="24"/>
                <w:lang w:eastAsia="sk-SK"/>
              </w:rPr>
              <w:t xml:space="preserve">   </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7B7470" w:rsidP="009F49DC">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7B7470"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7B7470"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C51FD4" w:rsidRPr="007B7470" w:rsidP="00212894">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rsidR="00C51FD4"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C51FD4"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C51FD4"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C51FD4"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7B7470" w:rsidP="007D5748">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7B7470" w:rsidP="007D5748">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7B7470"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7D5748" w:rsidRPr="007B7470"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5307FC" w:rsidRPr="007B7470" w:rsidP="005307FC">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z toho</w:t>
            </w:r>
            <w:r w:rsidRPr="007B7470" w:rsidR="002B5AD4">
              <w:rPr>
                <w:rFonts w:ascii="Times New Roman" w:eastAsia="Times New Roman" w:hAnsi="Times New Roman" w:cs="Times New Roman"/>
                <w:bCs/>
                <w:i/>
                <w:iCs/>
                <w:sz w:val="24"/>
                <w:szCs w:val="24"/>
                <w:lang w:eastAsia="sk-SK"/>
              </w:rPr>
              <w:t xml:space="preserve"> vplyv</w:t>
            </w:r>
            <w:r w:rsidRPr="007B7470">
              <w:rPr>
                <w:rFonts w:ascii="Times New Roman" w:eastAsia="Times New Roman" w:hAnsi="Times New Roman" w:cs="Times New Roman"/>
                <w:bCs/>
                <w:i/>
                <w:iCs/>
                <w:sz w:val="24"/>
                <w:szCs w:val="24"/>
                <w:lang w:eastAsia="sk-SK"/>
              </w:rPr>
              <w:t xml:space="preserve"> nových úloh v zmysle ods. 2 Čl. 6 ústavného zákona č. 493/2011 Z. z. </w:t>
            </w:r>
          </w:p>
          <w:p w:rsidR="005307FC" w:rsidRPr="007B7470" w:rsidP="005307FC">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5307FC" w:rsidRPr="007B7470"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5307FC" w:rsidRPr="007B7470" w:rsidP="005307FC">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z toho</w:t>
            </w:r>
            <w:r w:rsidRPr="007B7470" w:rsidR="002B5AD4">
              <w:rPr>
                <w:rFonts w:ascii="Times New Roman" w:eastAsia="Times New Roman" w:hAnsi="Times New Roman" w:cs="Times New Roman"/>
                <w:bCs/>
                <w:i/>
                <w:iCs/>
                <w:sz w:val="24"/>
                <w:szCs w:val="24"/>
                <w:lang w:eastAsia="sk-SK"/>
              </w:rPr>
              <w:t xml:space="preserve"> vplyv</w:t>
            </w:r>
            <w:r w:rsidRPr="007B7470">
              <w:rPr>
                <w:rFonts w:ascii="Times New Roman" w:eastAsia="Times New Roman" w:hAnsi="Times New Roman" w:cs="Times New Roman"/>
                <w:bCs/>
                <w:i/>
                <w:iCs/>
                <w:sz w:val="24"/>
                <w:szCs w:val="24"/>
                <w:lang w:eastAsia="sk-SK"/>
              </w:rPr>
              <w:t xml:space="preserve"> nových úloh v zmysle ods. 2 Čl. 6 ústavného zákona č. 493/2011 Z. z. </w:t>
            </w:r>
          </w:p>
          <w:p w:rsidR="005307FC" w:rsidRPr="007B7470" w:rsidP="005307FC">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7B7470"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shd w:val="clear" w:color="auto" w:fill="BFBFBF" w:themeFill="background1" w:themeFillShade="BF"/>
            <w:noWrap/>
            <w:vAlign w:val="center"/>
          </w:tcPr>
          <w:p w:rsidR="005307FC" w:rsidRPr="007B7470"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7B7470"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7B7470"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7B7470"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7B7470"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shd w:val="clear" w:color="auto" w:fill="BFBFBF" w:themeFill="background1" w:themeFillShade="BF"/>
            <w:noWrap/>
            <w:vAlign w:val="center"/>
          </w:tcPr>
          <w:p w:rsidR="005307FC" w:rsidRPr="007B7470" w:rsidP="005307FC">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7B7470"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7B7470"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7B7470"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7B7470"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shd w:val="clear" w:color="auto" w:fill="C0C0C0"/>
            <w:noWrap/>
            <w:vAlign w:val="center"/>
          </w:tcPr>
          <w:p w:rsidR="005307FC" w:rsidRPr="007B7470"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C0C0C0"/>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C0C0C0"/>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C0C0C0"/>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7B7470" w:rsidP="009F49DC">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c>
          <w:tcPr>
            <w:tcW w:w="1267" w:type="dxa"/>
            <w:noWrap/>
            <w:vAlign w:val="center"/>
          </w:tcPr>
          <w:p w:rsidR="005307FC" w:rsidRPr="007B7470" w:rsidP="005307FC">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shd w:val="clear" w:color="auto" w:fill="BFBFBF" w:themeFill="background1" w:themeFillShade="BF"/>
            <w:noWrap/>
            <w:vAlign w:val="center"/>
          </w:tcPr>
          <w:p w:rsidR="005307FC" w:rsidRPr="007B7470" w:rsidP="005307FC">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BFBFBF" w:themeFill="background1" w:themeFillShade="BF"/>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r>
      <w:tr w:rsidTr="002B63FD">
        <w:tblPrEx>
          <w:tblW w:w="9729" w:type="dxa"/>
          <w:jc w:val="center"/>
          <w:tblCellMar>
            <w:left w:w="70" w:type="dxa"/>
            <w:right w:w="70" w:type="dxa"/>
          </w:tblCellMar>
          <w:tblLook w:val="0000"/>
        </w:tblPrEx>
        <w:trPr>
          <w:trHeight w:val="70"/>
          <w:jc w:val="center"/>
        </w:trPr>
        <w:tc>
          <w:tcPr>
            <w:tcW w:w="4661" w:type="dxa"/>
            <w:shd w:val="clear" w:color="auto" w:fill="A6A6A6" w:themeFill="background1" w:themeFillShade="A6"/>
            <w:noWrap/>
            <w:vAlign w:val="center"/>
          </w:tcPr>
          <w:p w:rsidR="005307FC" w:rsidRPr="007B7470"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A6A6A6" w:themeFill="background1" w:themeFillShade="A6"/>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A6A6A6" w:themeFill="background1" w:themeFillShade="A6"/>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c>
          <w:tcPr>
            <w:tcW w:w="1267" w:type="dxa"/>
            <w:shd w:val="clear" w:color="auto" w:fill="A6A6A6" w:themeFill="background1" w:themeFillShade="A6"/>
            <w:noWrap/>
            <w:vAlign w:val="center"/>
          </w:tcPr>
          <w:p w:rsidR="005307FC" w:rsidRPr="007B7470"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w:t>
            </w:r>
          </w:p>
        </w:tc>
      </w:tr>
    </w:tbl>
    <w:bookmarkEnd w:id="1"/>
    <w:p w:rsidR="001F624A" w:rsidRPr="007B7470" w:rsidP="00785085">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tblPr>
      <w:tblGrid>
        <w:gridCol w:w="4821"/>
        <w:gridCol w:w="1134"/>
        <w:gridCol w:w="1417"/>
        <w:gridCol w:w="1134"/>
        <w:gridCol w:w="1418"/>
      </w:tblGrid>
      <w:tr w:rsidTr="002177DB">
        <w:tblPrEx>
          <w:tblW w:w="9924" w:type="dxa"/>
          <w:tblInd w:w="-431" w:type="dxa"/>
          <w:tblCellMar>
            <w:left w:w="70" w:type="dxa"/>
            <w:right w:w="70" w:type="dxa"/>
          </w:tblCellMar>
          <w:tblLook w:val="04A0"/>
        </w:tblPrEx>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2027</w:t>
            </w:r>
          </w:p>
        </w:tc>
      </w:tr>
      <w:tr w:rsidTr="002177DB">
        <w:tblPrEx>
          <w:tblW w:w="9924" w:type="dxa"/>
          <w:tblInd w:w="-431" w:type="dxa"/>
          <w:tblCellMar>
            <w:left w:w="70" w:type="dxa"/>
            <w:right w:w="70" w:type="dxa"/>
          </w:tblCellMar>
          <w:tblLook w:val="04A0"/>
        </w:tblPrEx>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r>
      <w:tr w:rsidTr="002177DB">
        <w:tblPrEx>
          <w:tblW w:w="9924" w:type="dxa"/>
          <w:tblInd w:w="-431" w:type="dxa"/>
          <w:tblCellMar>
            <w:left w:w="70" w:type="dxa"/>
            <w:right w:w="70" w:type="dxa"/>
          </w:tblCellMar>
          <w:tblLook w:val="04A0"/>
        </w:tblPrEx>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P="001C721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w:t>
            </w:r>
          </w:p>
        </w:tc>
      </w:tr>
      <w:tr w:rsidTr="002177DB">
        <w:tblPrEx>
          <w:tblW w:w="9924" w:type="dxa"/>
          <w:tblInd w:w="-431" w:type="dxa"/>
          <w:tblCellMar>
            <w:left w:w="70" w:type="dxa"/>
            <w:right w:w="70" w:type="dxa"/>
          </w:tblCellMar>
          <w:tblLook w:val="04A0"/>
        </w:tblPrEx>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P="001C721D">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Tr="002177DB">
        <w:tblPrEx>
          <w:tblW w:w="9924" w:type="dxa"/>
          <w:tblInd w:w="-431" w:type="dxa"/>
          <w:tblCellMar>
            <w:left w:w="70" w:type="dxa"/>
            <w:right w:w="70" w:type="dxa"/>
          </w:tblCellMar>
          <w:tblLook w:val="04A0"/>
        </w:tblPrEx>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w:t>
            </w:r>
            <w:r w:rsidRPr="007B7470" w:rsidR="00C64BDB">
              <w:rPr>
                <w:rFonts w:ascii="Times New Roman" w:eastAsia="Times New Roman" w:hAnsi="Times New Roman" w:cs="Times New Roman"/>
                <w:b/>
                <w:bCs/>
                <w:color w:val="000000" w:themeColor="text1"/>
                <w:sz w:val="24"/>
                <w:szCs w:val="24"/>
                <w:lang w:eastAsia="sk-SK"/>
              </w:rPr>
              <w:t xml:space="preserve"> limit verejných výdavkov</w:t>
            </w:r>
            <w:r w:rsidRPr="007B7470">
              <w:rPr>
                <w:rFonts w:ascii="Times New Roman" w:eastAsia="Times New Roman" w:hAnsi="Times New Roman" w:cs="Times New Roman"/>
                <w:b/>
                <w:bCs/>
                <w:color w:val="000000" w:themeColor="text1"/>
                <w:sz w:val="24"/>
                <w:szCs w:val="24"/>
                <w:lang w:eastAsia="sk-SK"/>
              </w:rPr>
              <w:t xml:space="preserve"> ŠR</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r>
      <w:tr w:rsidTr="00C64BDB">
        <w:tblPrEx>
          <w:tblW w:w="9924" w:type="dxa"/>
          <w:tblInd w:w="-431" w:type="dxa"/>
          <w:tblCellMar>
            <w:left w:w="70" w:type="dxa"/>
            <w:right w:w="70" w:type="dxa"/>
          </w:tblCellMar>
          <w:tblLook w:val="04A0"/>
        </w:tblPrEx>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 xml:space="preserve">vplyv na </w:t>
            </w:r>
            <w:r w:rsidRPr="007B7470" w:rsidR="00C64BDB">
              <w:rPr>
                <w:rFonts w:ascii="Times New Roman" w:eastAsia="Times New Roman" w:hAnsi="Times New Roman" w:cs="Times New Roman"/>
                <w:b/>
                <w:bCs/>
                <w:color w:val="000000" w:themeColor="text1"/>
                <w:sz w:val="24"/>
                <w:szCs w:val="24"/>
                <w:lang w:eastAsia="sk-SK"/>
              </w:rPr>
              <w:t>limit verejných výdavkov ostatných</w:t>
            </w:r>
            <w:r w:rsidRPr="007B7470">
              <w:rPr>
                <w:rFonts w:ascii="Times New Roman" w:eastAsia="Times New Roman" w:hAnsi="Times New Roman" w:cs="Times New Roman"/>
                <w:b/>
                <w:bCs/>
                <w:color w:val="000000" w:themeColor="text1"/>
                <w:sz w:val="24"/>
                <w:szCs w:val="24"/>
                <w:lang w:eastAsia="sk-SK"/>
              </w:rPr>
              <w:t xml:space="preserve">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7B7470"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p>
        </w:tc>
      </w:tr>
      <w:tr w:rsidTr="00C64BDB">
        <w:tblPrEx>
          <w:tblW w:w="9924" w:type="dxa"/>
          <w:tblInd w:w="-431" w:type="dxa"/>
          <w:tblCellMar>
            <w:left w:w="70" w:type="dxa"/>
            <w:right w:w="70" w:type="dxa"/>
          </w:tblCellMar>
          <w:tblLook w:val="04A0"/>
        </w:tblPrEx>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135D4" w:rsidRPr="007B7470"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135D4" w:rsidRPr="007B7470" w:rsidP="001C721D">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135D4" w:rsidRPr="007B7470" w:rsidP="001C721D">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135D4" w:rsidRPr="007B7470" w:rsidP="001C721D">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135D4" w:rsidRPr="007B7470" w:rsidP="001C721D">
            <w:pPr>
              <w:spacing w:after="0" w:line="240" w:lineRule="auto"/>
              <w:jc w:val="center"/>
              <w:rPr>
                <w:rFonts w:ascii="Times New Roman" w:eastAsia="Times New Roman" w:hAnsi="Times New Roman" w:cs="Times New Roman"/>
                <w:b/>
                <w:color w:val="000000"/>
                <w:sz w:val="24"/>
                <w:szCs w:val="24"/>
                <w:lang w:eastAsia="sk-SK"/>
              </w:rPr>
            </w:pPr>
          </w:p>
        </w:tc>
      </w:tr>
    </w:tbl>
    <w:p w:rsidR="003F35B7" w:rsidRPr="007B7470" w:rsidP="005307FC">
      <w:pPr>
        <w:rPr>
          <w:rFonts w:ascii="Times New Roman" w:eastAsia="Times New Roman" w:hAnsi="Times New Roman" w:cs="Times New Roman"/>
          <w:b/>
          <w:bCs/>
          <w:sz w:val="24"/>
          <w:szCs w:val="24"/>
          <w:lang w:eastAsia="sk-SK"/>
        </w:rPr>
      </w:pPr>
    </w:p>
    <w:p w:rsidR="007D5748" w:rsidRPr="007B7470" w:rsidP="005307F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7D5748" w:rsidRPr="007B7470" w:rsidP="007D5748">
      <w:pPr>
        <w:spacing w:after="0" w:line="240" w:lineRule="auto"/>
        <w:jc w:val="both"/>
        <w:rPr>
          <w:rFonts w:ascii="Times New Roman" w:eastAsia="Times New Roman" w:hAnsi="Times New Roman" w:cs="Times New Roman"/>
          <w:b/>
          <w:bCs/>
          <w:sz w:val="12"/>
          <w:szCs w:val="24"/>
          <w:lang w:eastAsia="sk-SK"/>
        </w:rPr>
      </w:pPr>
    </w:p>
    <w:p w:rsidR="007D5748" w:rsidRPr="006A5B77" w:rsidP="00320D1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6A5B77">
        <w:rPr>
          <w:rFonts w:ascii="Times New Roman" w:eastAsia="Times New Roman" w:hAnsi="Times New Roman" w:cs="Times New Roman"/>
          <w:i/>
          <w:sz w:val="24"/>
          <w:szCs w:val="24"/>
          <w:lang w:eastAsia="sk-SK"/>
        </w:rPr>
        <w:t>Návrhom sa predpokladá pozitívny vplyv na rozpočet verejn</w:t>
      </w:r>
      <w:r w:rsidR="00D53AD8">
        <w:rPr>
          <w:rFonts w:ascii="Times New Roman" w:eastAsia="Times New Roman" w:hAnsi="Times New Roman" w:cs="Times New Roman"/>
          <w:i/>
          <w:sz w:val="24"/>
          <w:szCs w:val="24"/>
          <w:lang w:eastAsia="sk-SK"/>
        </w:rPr>
        <w:t>ej správy, keďže sa zavádza nový druh pokuty</w:t>
      </w:r>
      <w:r w:rsidRPr="006A5B77">
        <w:rPr>
          <w:rFonts w:ascii="Times New Roman" w:eastAsia="Times New Roman" w:hAnsi="Times New Roman" w:cs="Times New Roman"/>
          <w:i/>
          <w:sz w:val="24"/>
          <w:szCs w:val="24"/>
          <w:lang w:eastAsia="sk-SK"/>
        </w:rPr>
        <w:t>, ktorú smie udeliť Ministerstvo dopravy S</w:t>
      </w:r>
      <w:r w:rsidR="00E70DF2">
        <w:rPr>
          <w:rFonts w:ascii="Times New Roman" w:eastAsia="Times New Roman" w:hAnsi="Times New Roman" w:cs="Times New Roman"/>
          <w:i/>
          <w:sz w:val="24"/>
          <w:szCs w:val="24"/>
          <w:lang w:eastAsia="sk-SK"/>
        </w:rPr>
        <w:t>lovenskej republiky</w:t>
      </w:r>
      <w:r w:rsidRPr="006A5B77">
        <w:rPr>
          <w:rFonts w:ascii="Times New Roman" w:eastAsia="Times New Roman" w:hAnsi="Times New Roman" w:cs="Times New Roman"/>
          <w:i/>
          <w:sz w:val="24"/>
          <w:szCs w:val="24"/>
          <w:lang w:eastAsia="sk-SK"/>
        </w:rPr>
        <w:t xml:space="preserve">, pričom príjmy z pokút majú </w:t>
      </w:r>
      <w:r w:rsidR="00D53AD8">
        <w:rPr>
          <w:rFonts w:ascii="Times New Roman" w:eastAsia="Times New Roman" w:hAnsi="Times New Roman" w:cs="Times New Roman"/>
          <w:i/>
          <w:sz w:val="24"/>
          <w:szCs w:val="24"/>
          <w:lang w:eastAsia="sk-SK"/>
        </w:rPr>
        <w:t>byť príjmom štátneho rozpočtu.</w:t>
      </w:r>
      <w:r w:rsidRPr="006A5B77">
        <w:rPr>
          <w:rFonts w:ascii="Times New Roman" w:eastAsia="Times New Roman" w:hAnsi="Times New Roman" w:cs="Times New Roman"/>
          <w:i/>
          <w:sz w:val="24"/>
          <w:szCs w:val="24"/>
          <w:lang w:eastAsia="sk-SK"/>
        </w:rPr>
        <w:t xml:space="preserve"> Vzhľadom na skutočnosť, že nemožno odhadnúť, koľko pokút a v akej vý</w:t>
      </w:r>
      <w:r w:rsidR="00E70DF2">
        <w:rPr>
          <w:rFonts w:ascii="Times New Roman" w:eastAsia="Times New Roman" w:hAnsi="Times New Roman" w:cs="Times New Roman"/>
          <w:i/>
          <w:sz w:val="24"/>
          <w:szCs w:val="24"/>
          <w:lang w:eastAsia="sk-SK"/>
        </w:rPr>
        <w:t>ške bude Ministerstvo dopravy Slovenskej republiky</w:t>
      </w:r>
      <w:r w:rsidRPr="006A5B77">
        <w:rPr>
          <w:rFonts w:ascii="Times New Roman" w:eastAsia="Times New Roman" w:hAnsi="Times New Roman" w:cs="Times New Roman"/>
          <w:i/>
          <w:sz w:val="24"/>
          <w:szCs w:val="24"/>
          <w:lang w:eastAsia="sk-SK"/>
        </w:rPr>
        <w:t xml:space="preserve"> nútené udeliť, nemožno ani </w:t>
      </w:r>
      <w:r w:rsidR="00D53AD8">
        <w:rPr>
          <w:rFonts w:ascii="Times New Roman" w:eastAsia="Times New Roman" w:hAnsi="Times New Roman" w:cs="Times New Roman"/>
          <w:i/>
          <w:sz w:val="24"/>
          <w:szCs w:val="24"/>
          <w:lang w:eastAsia="sk-SK"/>
        </w:rPr>
        <w:t>objektívne</w:t>
      </w:r>
      <w:r w:rsidRPr="006A5B77">
        <w:rPr>
          <w:rFonts w:ascii="Times New Roman" w:eastAsia="Times New Roman" w:hAnsi="Times New Roman" w:cs="Times New Roman"/>
          <w:i/>
          <w:sz w:val="24"/>
          <w:szCs w:val="24"/>
          <w:lang w:eastAsia="sk-SK"/>
        </w:rPr>
        <w:t xml:space="preserve"> vyčísliť predpokladané príjmy, resp. ani poskytnúť kvalifikovaný odhad. </w:t>
      </w:r>
      <w:r w:rsidRPr="006620C2" w:rsidR="00717EBA">
        <w:rPr>
          <w:rFonts w:ascii="Times New Roman" w:hAnsi="Times New Roman" w:cs="Times New Roman"/>
          <w:i/>
          <w:color w:val="000000"/>
          <w:sz w:val="24"/>
          <w:szCs w:val="24"/>
        </w:rPr>
        <w:t>Prípadné negatívne vplyvy v súvislosti s technickým a personálnym zabezpečením výkonu navrhovaného osobitného druhu štátneho odboru dozoru vykonávaného Ministerstvom dopravy Slovenskej republiky budú zabezpečené v rámci limitov výdavkov a počtu zamestnancov kapitoly Ministerstva dopravy Slovenskej republiky na príslušný rozpočtový rok</w:t>
      </w:r>
      <w:r w:rsidRPr="002A0BC7" w:rsidR="00717EBA">
        <w:rPr>
          <w:rFonts w:ascii="Times New Roman" w:hAnsi="Times New Roman" w:cs="Times New Roman"/>
          <w:i/>
          <w:color w:val="000000"/>
          <w:sz w:val="24"/>
          <w:szCs w:val="24"/>
        </w:rPr>
        <w:t>.</w:t>
      </w:r>
    </w:p>
    <w:p w:rsidR="007D5748" w:rsidRPr="006A5B77"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7D5748" w:rsidRPr="006A5B77" w:rsidP="007D5748">
      <w:pPr>
        <w:spacing w:after="0" w:line="240" w:lineRule="auto"/>
        <w:rPr>
          <w:rFonts w:ascii="Times New Roman" w:eastAsia="Times New Roman" w:hAnsi="Times New Roman" w:cs="Times New Roman"/>
          <w:b/>
          <w:bCs/>
          <w:sz w:val="24"/>
          <w:szCs w:val="24"/>
          <w:lang w:eastAsia="sk-SK"/>
        </w:rPr>
      </w:pPr>
      <w:r w:rsidRPr="006A5B77">
        <w:rPr>
          <w:rFonts w:ascii="Times New Roman" w:eastAsia="Times New Roman" w:hAnsi="Times New Roman" w:cs="Times New Roman"/>
          <w:b/>
          <w:bCs/>
          <w:sz w:val="24"/>
          <w:szCs w:val="24"/>
          <w:lang w:eastAsia="sk-SK"/>
        </w:rPr>
        <w:t>2.2. Popis a charakteristika návrhu</w:t>
      </w:r>
    </w:p>
    <w:p w:rsidR="007D5748" w:rsidRPr="006A5B77" w:rsidP="007D5748">
      <w:pPr>
        <w:spacing w:after="0" w:line="240" w:lineRule="auto"/>
        <w:rPr>
          <w:rFonts w:ascii="Times New Roman" w:eastAsia="Times New Roman" w:hAnsi="Times New Roman" w:cs="Times New Roman"/>
          <w:sz w:val="24"/>
          <w:szCs w:val="24"/>
          <w:lang w:eastAsia="sk-SK"/>
        </w:rPr>
      </w:pPr>
    </w:p>
    <w:p w:rsidR="007D5748" w:rsidRPr="006A5B77" w:rsidP="007D5748">
      <w:pPr>
        <w:spacing w:after="0" w:line="240" w:lineRule="auto"/>
        <w:jc w:val="both"/>
        <w:rPr>
          <w:rFonts w:ascii="Times New Roman" w:eastAsia="Times New Roman" w:hAnsi="Times New Roman" w:cs="Times New Roman"/>
          <w:b/>
          <w:bCs/>
          <w:sz w:val="24"/>
          <w:szCs w:val="24"/>
          <w:lang w:eastAsia="sk-SK"/>
        </w:rPr>
      </w:pPr>
      <w:r w:rsidRPr="006A5B77">
        <w:rPr>
          <w:rFonts w:ascii="Times New Roman" w:eastAsia="Times New Roman" w:hAnsi="Times New Roman" w:cs="Times New Roman"/>
          <w:b/>
          <w:bCs/>
          <w:sz w:val="24"/>
          <w:szCs w:val="24"/>
          <w:lang w:eastAsia="sk-SK"/>
        </w:rPr>
        <w:t>2.2.1. Popis návrhu:</w:t>
      </w:r>
    </w:p>
    <w:p w:rsidR="007D5748" w:rsidRPr="006A5B77" w:rsidP="007D5748">
      <w:pPr>
        <w:spacing w:after="0" w:line="240" w:lineRule="auto"/>
        <w:jc w:val="both"/>
        <w:rPr>
          <w:rFonts w:ascii="Times New Roman" w:eastAsia="Times New Roman" w:hAnsi="Times New Roman" w:cs="Times New Roman"/>
          <w:b/>
          <w:bCs/>
          <w:sz w:val="24"/>
          <w:szCs w:val="24"/>
          <w:lang w:eastAsia="sk-SK"/>
        </w:rPr>
      </w:pPr>
    </w:p>
    <w:p w:rsidR="007B6DF7" w:rsidRPr="00320D1A" w:rsidP="00D53A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Účelom</w:t>
      </w:r>
      <w:r w:rsidRPr="006A5B77" w:rsidR="00320D1A">
        <w:rPr>
          <w:rFonts w:ascii="Times New Roman" w:hAnsi="Times New Roman" w:cs="Times New Roman"/>
          <w:sz w:val="24"/>
          <w:szCs w:val="24"/>
        </w:rPr>
        <w:t xml:space="preserve">  návrhu je rozšíriť dozornú (kontrolnú) právomoc Ministerstva dopravy </w:t>
      </w:r>
      <w:r w:rsidRPr="006A5B77" w:rsidR="00E70DF2">
        <w:rPr>
          <w:rFonts w:ascii="Times New Roman" w:hAnsi="Times New Roman" w:cs="Times New Roman"/>
          <w:sz w:val="24"/>
          <w:szCs w:val="24"/>
        </w:rPr>
        <w:t>S</w:t>
      </w:r>
      <w:r w:rsidR="00E70DF2">
        <w:rPr>
          <w:rFonts w:ascii="Times New Roman" w:hAnsi="Times New Roman" w:cs="Times New Roman"/>
          <w:sz w:val="24"/>
          <w:szCs w:val="24"/>
        </w:rPr>
        <w:t>lovenskej republiky</w:t>
      </w:r>
      <w:r w:rsidRPr="006A5B77" w:rsidR="00320D1A">
        <w:rPr>
          <w:rFonts w:ascii="Times New Roman" w:hAnsi="Times New Roman" w:cs="Times New Roman"/>
          <w:sz w:val="24"/>
          <w:szCs w:val="24"/>
        </w:rPr>
        <w:t xml:space="preserve"> ako ústredného orgánu štátnej správy pre cestnú dopravu a pozemné komunikácie na cestách I. až III. triedy a miestnych cestách.</w:t>
      </w:r>
    </w:p>
    <w:p w:rsidR="007D5748" w:rsidRPr="007B7470" w:rsidP="007D5748">
      <w:pPr>
        <w:spacing w:after="0" w:line="240" w:lineRule="auto"/>
        <w:rPr>
          <w:rFonts w:ascii="Times New Roman" w:eastAsia="Times New Roman" w:hAnsi="Times New Roman" w:cs="Times New Roman"/>
          <w:sz w:val="24"/>
          <w:szCs w:val="24"/>
          <w:lang w:eastAsia="sk-SK"/>
        </w:rPr>
      </w:pPr>
    </w:p>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rsidR="007D5748" w:rsidRPr="007B7470" w:rsidP="007D5748">
      <w:pPr>
        <w:spacing w:after="0" w:line="240" w:lineRule="auto"/>
        <w:rPr>
          <w:rFonts w:ascii="Times New Roman" w:eastAsia="Times New Roman" w:hAnsi="Times New Roman" w:cs="Times New Roman"/>
          <w:sz w:val="24"/>
          <w:szCs w:val="24"/>
          <w:lang w:eastAsia="sk-SK"/>
        </w:rPr>
      </w:pPr>
    </w:p>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rsidR="007D5748" w:rsidRPr="007B7470" w:rsidP="007D5748">
      <w:pPr>
        <w:spacing w:after="0" w:line="240" w:lineRule="auto"/>
        <w:rPr>
          <w:rFonts w:ascii="Times New Roman" w:eastAsia="Times New Roman" w:hAnsi="Times New Roman" w:cs="Times New Roman"/>
          <w:sz w:val="24"/>
          <w:szCs w:val="24"/>
          <w:lang w:eastAsia="sk-SK"/>
        </w:rPr>
      </w:pPr>
    </w:p>
    <w:p w:rsidR="007D5748" w:rsidRPr="007B7470" w:rsidP="007D5748">
      <w:pPr>
        <w:spacing w:after="0" w:line="240" w:lineRule="auto"/>
        <w:rPr>
          <w:rFonts w:ascii="Times New Roman" w:eastAsia="Times New Roman" w:hAnsi="Times New Roman" w:cs="Times New Roman"/>
          <w:sz w:val="24"/>
          <w:szCs w:val="24"/>
          <w:lang w:eastAsia="sk-SK"/>
        </w:rPr>
      </w:pPr>
    </w:p>
    <w:p w:rsidR="00C64BDB" w:rsidRPr="007B7470" w:rsidP="007D5748">
      <w:pPr>
        <w:spacing w:after="0" w:line="240" w:lineRule="auto"/>
        <w:rPr>
          <w:rFonts w:ascii="Times New Roman" w:eastAsia="Times New Roman" w:hAnsi="Times New Roman" w:cs="Times New Roman"/>
          <w:sz w:val="24"/>
          <w:szCs w:val="24"/>
          <w:lang w:eastAsia="sk-SK"/>
        </w:rPr>
      </w:pPr>
    </w:p>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rsidR="007D5748" w:rsidRPr="007B7470" w:rsidP="007D5748">
      <w:pPr>
        <w:spacing w:after="0" w:line="240" w:lineRule="auto"/>
        <w:rPr>
          <w:rFonts w:ascii="Times New Roman" w:eastAsia="Times New Roman" w:hAnsi="Times New Roman" w:cs="Times New Roman"/>
          <w:sz w:val="24"/>
          <w:szCs w:val="24"/>
          <w:lang w:eastAsia="sk-SK"/>
        </w:rPr>
      </w:pPr>
    </w:p>
    <w:p w:rsidR="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DC789C" w:rsidRPr="007B7470" w:rsidP="007D5748">
      <w:pPr>
        <w:spacing w:after="0" w:line="240" w:lineRule="auto"/>
        <w:ind w:firstLine="708"/>
        <w:jc w:val="both"/>
        <w:rPr>
          <w:rFonts w:ascii="Times New Roman" w:eastAsia="Times New Roman" w:hAnsi="Times New Roman" w:cs="Times New Roman"/>
          <w:sz w:val="24"/>
          <w:szCs w:val="24"/>
          <w:lang w:eastAsia="sk-SK"/>
        </w:rPr>
      </w:pPr>
    </w:p>
    <w:p w:rsidR="007D5748" w:rsidRPr="007B7470"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0"/>
        <w:gridCol w:w="1134"/>
        <w:gridCol w:w="1134"/>
        <w:gridCol w:w="1134"/>
        <w:gridCol w:w="1134"/>
      </w:tblGrid>
      <w:tr w:rsidTr="002B63FD">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70"/>
        </w:trPr>
        <w:tc>
          <w:tcPr>
            <w:tcW w:w="4530" w:type="dxa"/>
            <w:vMerge w:val="restart"/>
            <w:shd w:val="clear" w:color="auto" w:fill="BFBFBF" w:themeFill="background1" w:themeFillShade="BF"/>
            <w:vAlign w:val="center"/>
          </w:tcPr>
          <w:p w:rsidR="007D5748" w:rsidRPr="007B7470"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7D5748" w:rsidRPr="007B7470"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Tr="002B63FD">
        <w:tblPrEx>
          <w:tblW w:w="0" w:type="auto"/>
          <w:tblInd w:w="78" w:type="dxa"/>
          <w:tblLayout w:type="fixed"/>
          <w:tblLook w:val="0000"/>
        </w:tblPrEx>
        <w:trPr>
          <w:cantSplit/>
          <w:trHeight w:val="70"/>
        </w:trPr>
        <w:tc>
          <w:tcPr>
            <w:tcW w:w="4530" w:type="dxa"/>
            <w:vMerge/>
            <w:shd w:val="clear" w:color="auto" w:fill="BFBFBF" w:themeFill="background1" w:themeFillShade="BF"/>
          </w:tcPr>
          <w:p w:rsidR="007D5748" w:rsidRPr="007B7470"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7D5748" w:rsidRPr="007B7470"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7D5748" w:rsidRPr="007B7470"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7D5748" w:rsidRPr="007B7470"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7D5748" w:rsidRPr="007B7470"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r>
      <w:tr w:rsidTr="002B63FD">
        <w:tblPrEx>
          <w:tblW w:w="0" w:type="auto"/>
          <w:tblInd w:w="78" w:type="dxa"/>
          <w:tblLayout w:type="fixed"/>
          <w:tblLook w:val="0000"/>
        </w:tblPrEx>
        <w:trPr>
          <w:trHeight w:val="70"/>
        </w:trPr>
        <w:tc>
          <w:tcPr>
            <w:tcW w:w="4530" w:type="dxa"/>
          </w:tcPr>
          <w:p w:rsidR="007D5748" w:rsidRPr="007B7470"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Tr="002B63FD">
        <w:tblPrEx>
          <w:tblW w:w="0" w:type="auto"/>
          <w:tblInd w:w="78" w:type="dxa"/>
          <w:tblLayout w:type="fixed"/>
          <w:tblLook w:val="0000"/>
        </w:tblPrEx>
        <w:trPr>
          <w:trHeight w:val="70"/>
        </w:trPr>
        <w:tc>
          <w:tcPr>
            <w:tcW w:w="4530" w:type="dxa"/>
          </w:tcPr>
          <w:p w:rsidR="007D5748" w:rsidRPr="007B7470"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Tr="002B63FD">
        <w:tblPrEx>
          <w:tblW w:w="0" w:type="auto"/>
          <w:tblInd w:w="78" w:type="dxa"/>
          <w:tblLayout w:type="fixed"/>
          <w:tblLook w:val="0000"/>
        </w:tblPrEx>
        <w:trPr>
          <w:trHeight w:val="70"/>
        </w:trPr>
        <w:tc>
          <w:tcPr>
            <w:tcW w:w="4530" w:type="dxa"/>
          </w:tcPr>
          <w:p w:rsidR="007D5748" w:rsidRPr="007B7470"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7D5748" w:rsidRPr="007B7470" w:rsidP="007D5748">
      <w:pPr>
        <w:spacing w:after="0" w:line="240" w:lineRule="auto"/>
        <w:rPr>
          <w:rFonts w:ascii="Times New Roman" w:eastAsia="Times New Roman" w:hAnsi="Times New Roman" w:cs="Times New Roman"/>
          <w:sz w:val="24"/>
          <w:szCs w:val="24"/>
          <w:lang w:eastAsia="sk-SK"/>
        </w:rPr>
      </w:pPr>
    </w:p>
    <w:p w:rsidR="007D5748" w:rsidRPr="007B7470" w:rsidP="007D5748">
      <w:pPr>
        <w:spacing w:after="0" w:line="240" w:lineRule="auto"/>
        <w:rPr>
          <w:rFonts w:ascii="Times New Roman" w:eastAsia="Times New Roman" w:hAnsi="Times New Roman" w:cs="Times New Roman"/>
          <w:sz w:val="24"/>
          <w:szCs w:val="24"/>
          <w:lang w:eastAsia="sk-SK"/>
        </w:rPr>
      </w:pPr>
    </w:p>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rsidR="007D5748" w:rsidRPr="007B7470" w:rsidP="007D5748">
      <w:pPr>
        <w:spacing w:after="0" w:line="240" w:lineRule="auto"/>
        <w:rPr>
          <w:rFonts w:ascii="Times New Roman" w:eastAsia="Times New Roman" w:hAnsi="Times New Roman" w:cs="Times New Roman"/>
          <w:sz w:val="24"/>
          <w:szCs w:val="24"/>
          <w:lang w:eastAsia="sk-SK"/>
        </w:rPr>
      </w:pPr>
    </w:p>
    <w:p w:rsidR="009E5BFB" w:rsidRPr="001B55D6" w:rsidP="0013251F">
      <w:pPr>
        <w:spacing w:after="0" w:line="240" w:lineRule="auto"/>
        <w:ind w:firstLine="708"/>
        <w:jc w:val="both"/>
        <w:rPr>
          <w:rFonts w:ascii="Times New Roman" w:hAnsi="Times New Roman" w:cs="Times New Roman"/>
          <w:sz w:val="24"/>
          <w:szCs w:val="24"/>
          <w:lang w:eastAsia="sk-SK"/>
        </w:rPr>
      </w:pPr>
      <w:r w:rsidRPr="006A5B77">
        <w:rPr>
          <w:rFonts w:ascii="Times New Roman" w:eastAsia="Times New Roman" w:hAnsi="Times New Roman" w:cs="Times New Roman"/>
          <w:i/>
          <w:sz w:val="24"/>
          <w:szCs w:val="24"/>
          <w:lang w:eastAsia="sk-SK"/>
        </w:rPr>
        <w:t>Vzhľadom na skutočnosť, že nemožno odhadnúť, koľko pokút a v akej výške bude Ministerstvo dopravy</w:t>
      </w:r>
      <w:r w:rsidR="00E70DF2">
        <w:rPr>
          <w:rFonts w:ascii="Times New Roman" w:eastAsia="Times New Roman" w:hAnsi="Times New Roman" w:cs="Times New Roman"/>
          <w:i/>
          <w:sz w:val="24"/>
          <w:szCs w:val="24"/>
          <w:lang w:eastAsia="sk-SK"/>
        </w:rPr>
        <w:t xml:space="preserve"> Slovenskej republiky</w:t>
      </w:r>
      <w:r w:rsidR="00D53AD8">
        <w:rPr>
          <w:rFonts w:ascii="Times New Roman" w:eastAsia="Times New Roman" w:hAnsi="Times New Roman" w:cs="Times New Roman"/>
          <w:i/>
          <w:sz w:val="24"/>
          <w:szCs w:val="24"/>
          <w:lang w:eastAsia="sk-SK"/>
        </w:rPr>
        <w:t xml:space="preserve"> nútené udeliť, nemožno ani objektívne vyčísliť predpokladané</w:t>
      </w:r>
      <w:r w:rsidRPr="006A5B77">
        <w:rPr>
          <w:rFonts w:ascii="Times New Roman" w:eastAsia="Times New Roman" w:hAnsi="Times New Roman" w:cs="Times New Roman"/>
          <w:i/>
          <w:sz w:val="24"/>
          <w:szCs w:val="24"/>
          <w:lang w:eastAsia="sk-SK"/>
        </w:rPr>
        <w:t xml:space="preserve"> príjmy, resp. ani poskytnúť kvalifikovaný odhad. </w:t>
      </w:r>
    </w:p>
    <w:p w:rsidR="007D5748" w:rsidRPr="007B7470" w:rsidP="007D5748">
      <w:pPr>
        <w:spacing w:after="0" w:line="240" w:lineRule="auto"/>
        <w:jc w:val="both"/>
        <w:rPr>
          <w:rFonts w:ascii="Times New Roman" w:eastAsia="Times New Roman" w:hAnsi="Times New Roman" w:cs="Times New Roman"/>
          <w:sz w:val="24"/>
          <w:szCs w:val="24"/>
          <w:lang w:eastAsia="sk-SK"/>
        </w:rPr>
      </w:pPr>
    </w:p>
    <w:p w:rsidR="007D5748" w:rsidRPr="007B7470"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B7470" w:rsidP="007D5748">
      <w:pPr>
        <w:tabs>
          <w:tab w:val="num" w:pos="1080"/>
        </w:tabs>
        <w:spacing w:after="0" w:line="240" w:lineRule="auto"/>
        <w:jc w:val="both"/>
        <w:rPr>
          <w:rFonts w:ascii="Times New Roman" w:eastAsia="Times New Roman" w:hAnsi="Times New Roman" w:cs="Times New Roman"/>
          <w:bCs/>
          <w:sz w:val="24"/>
          <w:szCs w:val="20"/>
          <w:lang w:eastAsia="sk-SK"/>
        </w:rPr>
        <w:sectPr w:rsidSect="002B63F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rsidR="007D5748" w:rsidRPr="007B7470" w:rsidP="003408F5">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3</w:t>
      </w:r>
    </w:p>
    <w:tbl>
      <w:tblPr>
        <w:tblpPr w:leftFromText="141" w:rightFromText="141" w:vertAnchor="page" w:horzAnchor="margin" w:tblpXSpec="center" w:tblpY="1711"/>
        <w:tblW w:w="13950" w:type="dxa"/>
        <w:tblCellMar>
          <w:left w:w="70" w:type="dxa"/>
          <w:right w:w="70" w:type="dxa"/>
        </w:tblCellMar>
        <w:tblLook w:val="0000"/>
      </w:tblPr>
      <w:tblGrid>
        <w:gridCol w:w="4950"/>
        <w:gridCol w:w="1500"/>
        <w:gridCol w:w="1500"/>
        <w:gridCol w:w="1500"/>
        <w:gridCol w:w="1500"/>
        <w:gridCol w:w="3000"/>
      </w:tblGrid>
      <w:tr w:rsidTr="003408F5">
        <w:tblPrEx>
          <w:tblW w:w="13950" w:type="dxa"/>
          <w:tblCellMar>
            <w:left w:w="70" w:type="dxa"/>
            <w:right w:w="70" w:type="dxa"/>
          </w:tblCellMar>
          <w:tblLook w:val="0000"/>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Tr="003408F5">
        <w:tblPrEx>
          <w:tblW w:w="13950" w:type="dxa"/>
          <w:tblCellMar>
            <w:left w:w="70" w:type="dxa"/>
            <w:right w:w="70" w:type="dxa"/>
          </w:tblCellMar>
          <w:tblLook w:val="0000"/>
        </w:tblPrEx>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3408F5" w:rsidRPr="007B7470" w:rsidP="003408F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3408F5" w:rsidRPr="007B7470" w:rsidP="003408F5">
            <w:pPr>
              <w:spacing w:after="0" w:line="240" w:lineRule="auto"/>
              <w:rPr>
                <w:rFonts w:ascii="Times New Roman" w:eastAsia="Times New Roman" w:hAnsi="Times New Roman" w:cs="Times New Roman"/>
                <w:b/>
                <w:bCs/>
                <w:color w:val="FFFFFF"/>
                <w:sz w:val="24"/>
                <w:szCs w:val="24"/>
                <w:lang w:eastAsia="sk-SK"/>
              </w:rPr>
            </w:pPr>
          </w:p>
        </w:tc>
      </w:tr>
      <w:tr w:rsidTr="003408F5">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3408F5" w:rsidRPr="007B7470" w:rsidP="003408F5">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408F5" w:rsidRPr="007B7470"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3408F5">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3408F5" w:rsidRPr="007B7470"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c>
          <w:tcPr>
            <w:tcW w:w="3000" w:type="dxa"/>
            <w:tcBorders>
              <w:top w:val="nil"/>
              <w:left w:val="nil"/>
              <w:bottom w:val="single" w:sz="4" w:space="0" w:color="auto"/>
              <w:right w:val="single" w:sz="4" w:space="0" w:color="auto"/>
            </w:tcBorders>
            <w:noWrap/>
            <w:vAlign w:val="bottom"/>
          </w:tcPr>
          <w:p w:rsidR="003408F5" w:rsidRPr="007B7470"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3408F5">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3408F5" w:rsidRPr="007B7470"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408F5" w:rsidRPr="007B7470"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7B7470">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3408F5" w:rsidRPr="007B7470"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3408F5" w:rsidRPr="007B7470"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7B7470">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3408F5" w:rsidRPr="007B7470"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3408F5" w:rsidRPr="007B7470"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3408F5">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3408F5" w:rsidRPr="007B7470"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3408F5" w:rsidRPr="007B7470"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7D5748" w:rsidRPr="007B7470"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rsidR="007D5748" w:rsidRPr="007B7470"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B7470"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rsidR="007D5748" w:rsidRPr="007B7470"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408F5"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408F5"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tblPr>
      <w:tblGrid>
        <w:gridCol w:w="7070"/>
        <w:gridCol w:w="1430"/>
        <w:gridCol w:w="1650"/>
        <w:gridCol w:w="1540"/>
        <w:gridCol w:w="1540"/>
        <w:gridCol w:w="1649"/>
      </w:tblGrid>
      <w:tr w:rsidTr="005E3699">
        <w:tblPrEx>
          <w:tblW w:w="14879" w:type="dxa"/>
          <w:tblCellMar>
            <w:left w:w="70" w:type="dxa"/>
            <w:right w:w="70" w:type="dxa"/>
          </w:tblCellMar>
          <w:tblLook w:val="000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Tr="005E3699">
        <w:tblPrEx>
          <w:tblW w:w="14879" w:type="dxa"/>
          <w:tblCellMar>
            <w:left w:w="70" w:type="dxa"/>
            <w:right w:w="70" w:type="dxa"/>
          </w:tblCellMar>
          <w:tblLook w:val="0000"/>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D5748" w:rsidRPr="007B7470" w:rsidP="007D574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9B4B9C" w:rsidP="007D5748">
            <w:pPr>
              <w:spacing w:after="0" w:line="240" w:lineRule="auto"/>
              <w:jc w:val="center"/>
              <w:rPr>
                <w:rFonts w:ascii="Times New Roman" w:eastAsia="Times New Roman" w:hAnsi="Times New Roman" w:cs="Times New Roman"/>
                <w:b/>
                <w:bCs/>
                <w:sz w:val="20"/>
                <w:szCs w:val="20"/>
                <w:lang w:eastAsia="sk-SK"/>
              </w:rPr>
            </w:pPr>
            <w:r w:rsidRPr="009B4B9C">
              <w:rPr>
                <w:rFonts w:ascii="Times New Roman" w:eastAsia="Times New Roman" w:hAnsi="Times New Roman" w:cs="Times New Roman"/>
                <w:b/>
                <w:bCs/>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7D5748" w:rsidRPr="007B7470" w:rsidP="007D5748">
            <w:pPr>
              <w:spacing w:after="0" w:line="240" w:lineRule="auto"/>
              <w:rPr>
                <w:rFonts w:ascii="Times New Roman" w:eastAsia="Times New Roman" w:hAnsi="Times New Roman" w:cs="Times New Roman"/>
                <w:b/>
                <w:bCs/>
                <w:color w:val="FFFFFF"/>
                <w:sz w:val="24"/>
                <w:szCs w:val="24"/>
                <w:lang w:eastAsia="sk-SK"/>
              </w:rPr>
            </w:pP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649" w:type="dxa"/>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vAlign w:val="center"/>
          </w:tcPr>
          <w:p w:rsidR="007D5748" w:rsidRPr="007B7470" w:rsidP="008D339D">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rsidR="008D339D">
              <w:t xml:space="preserve"> </w:t>
            </w:r>
            <w:r w:rsidRPr="007B7470" w:rsidR="008D339D">
              <w:rPr>
                <w:rFonts w:ascii="Times New Roman" w:eastAsia="Times New Roman" w:hAnsi="Times New Roman" w:cs="Times New Roman"/>
                <w:sz w:val="20"/>
                <w:szCs w:val="20"/>
                <w:lang w:eastAsia="sk-SK"/>
              </w:rPr>
              <w:t>úverom, pôžičkou, návratnou finančnou výpomocou a finančným prenájmom</w:t>
            </w:r>
            <w:r w:rsidRPr="007B7470">
              <w:rPr>
                <w:rFonts w:ascii="Times New Roman" w:eastAsia="Times New Roman" w:hAnsi="Times New Roman" w:cs="Times New Roman"/>
                <w:sz w:val="20"/>
                <w:szCs w:val="20"/>
                <w:lang w:eastAsia="sk-SK"/>
              </w:rPr>
              <w:t xml:space="preserve">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7B7470">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5748" w:rsidRPr="007B7470" w:rsidP="007D574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w:t>
            </w:r>
            <w:r w:rsidRPr="007B7470">
              <w:rPr>
                <w:rFonts w:ascii="Times New Roman" w:eastAsia="Times New Roman" w:hAnsi="Times New Roman" w:cs="Times New Roman"/>
                <w:b/>
                <w:bCs/>
                <w:sz w:val="20"/>
                <w:szCs w:val="20"/>
                <w:lang w:eastAsia="sk-SK"/>
              </w:rPr>
              <w:t xml:space="preserve">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r w:rsidRPr="007B7470">
        <w:rPr>
          <w:rFonts w:ascii="Times New Roman" w:eastAsia="Times New Roman" w:hAnsi="Times New Roman" w:cs="Times New Roman"/>
          <w:bCs/>
          <w:sz w:val="20"/>
          <w:szCs w:val="20"/>
          <w:lang w:eastAsia="sk-SK"/>
        </w:rPr>
        <w:t>2 –  výdavky rozpísať až do položiek platnej ekonomickej klasifikácie</w:t>
      </w:r>
    </w:p>
    <w:p w:rsidR="007D5748" w:rsidRPr="007B7470"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w:t>
      </w:r>
      <w:r w:rsidRPr="007B7470">
        <w:rPr>
          <w:rFonts w:ascii="Times New Roman" w:eastAsia="Times New Roman" w:hAnsi="Times New Roman" w:cs="Times New Roman"/>
          <w:b/>
          <w:bCs/>
          <w:sz w:val="24"/>
          <w:szCs w:val="20"/>
          <w:lang w:eastAsia="sk-SK"/>
        </w:rPr>
        <w:t>Poznámka:</w:t>
      </w: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w:t>
      </w: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B801BA"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AC7099"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B801BA"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tblPr>
      <w:tblGrid>
        <w:gridCol w:w="7070"/>
        <w:gridCol w:w="1430"/>
        <w:gridCol w:w="1650"/>
        <w:gridCol w:w="1540"/>
        <w:gridCol w:w="1540"/>
        <w:gridCol w:w="1649"/>
      </w:tblGrid>
      <w:tr w:rsidTr="00C16C1B">
        <w:tblPrEx>
          <w:tblW w:w="14879" w:type="dxa"/>
          <w:tblCellMar>
            <w:left w:w="70" w:type="dxa"/>
            <w:right w:w="70" w:type="dxa"/>
          </w:tblCellMar>
          <w:tblLook w:val="000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w:t>
            </w:r>
            <w:r w:rsidRPr="007B7470" w:rsidR="003408F5">
              <w:rPr>
                <w:rFonts w:ascii="Times New Roman" w:eastAsia="Times New Roman" w:hAnsi="Times New Roman" w:cs="Times New Roman"/>
                <w:b/>
                <w:bCs/>
                <w:color w:val="000000" w:themeColor="text1"/>
                <w:sz w:val="20"/>
                <w:szCs w:val="20"/>
                <w:lang w:eastAsia="sk-SK"/>
              </w:rPr>
              <w:t xml:space="preserve"> (v metodike ESA 2010</w:t>
            </w:r>
            <w:r w:rsidRPr="007B7470">
              <w:rPr>
                <w:rFonts w:ascii="Times New Roman" w:eastAsia="Times New Roman" w:hAnsi="Times New Roman" w:cs="Times New Roman"/>
                <w:b/>
                <w:bCs/>
                <w:color w:val="000000" w:themeColor="text1"/>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sidRPr="007B7470" w:rsidR="003408F5">
              <w:rPr>
                <w:rFonts w:ascii="Times New Roman" w:eastAsia="Times New Roman" w:hAnsi="Times New Roman" w:cs="Times New Roman"/>
                <w:b/>
                <w:bCs/>
                <w:color w:val="000000" w:themeColor="text1"/>
                <w:sz w:val="20"/>
                <w:szCs w:val="20"/>
                <w:lang w:eastAsia="sk-SK"/>
              </w:rPr>
              <w:t>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40A16" w:rsidRPr="007B7470"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Tr="00C16C1B">
        <w:tblPrEx>
          <w:tblW w:w="14879" w:type="dxa"/>
          <w:tblCellMar>
            <w:left w:w="70" w:type="dxa"/>
            <w:right w:w="70" w:type="dxa"/>
          </w:tblCellMar>
          <w:tblLook w:val="0000"/>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440A16" w:rsidRPr="007B7470" w:rsidP="00C16C1B">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440A16" w:rsidRPr="009B4B9C"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9B4B9C">
              <w:rPr>
                <w:rFonts w:ascii="Times New Roman" w:eastAsia="Times New Roman" w:hAnsi="Times New Roman" w:cs="Times New Roman"/>
                <w:b/>
                <w:bCs/>
                <w:color w:val="000000" w:themeColor="text1"/>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440A16" w:rsidRPr="007B7470" w:rsidP="00C16C1B">
            <w:pPr>
              <w:spacing w:after="0" w:line="240" w:lineRule="auto"/>
              <w:rPr>
                <w:rFonts w:ascii="Times New Roman" w:eastAsia="Times New Roman" w:hAnsi="Times New Roman" w:cs="Times New Roman"/>
                <w:b/>
                <w:bCs/>
                <w:color w:val="000000" w:themeColor="text1"/>
                <w:sz w:val="24"/>
                <w:szCs w:val="24"/>
                <w:lang w:eastAsia="sk-SK"/>
              </w:rPr>
            </w:pP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F20986" w:rsidRPr="007B7470"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F2098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F2098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F2098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F20986" w:rsidRPr="007B7470"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F20986" w:rsidRPr="007B7470" w:rsidP="00C16C1B">
            <w:pPr>
              <w:spacing w:after="0" w:line="240" w:lineRule="auto"/>
              <w:rPr>
                <w:rFonts w:ascii="Times New Roman" w:eastAsia="Times New Roman" w:hAnsi="Times New Roman" w:cs="Times New Roman"/>
                <w:color w:val="000000" w:themeColor="text1"/>
                <w:sz w:val="24"/>
                <w:szCs w:val="24"/>
                <w:lang w:eastAsia="sk-SK"/>
              </w:rPr>
            </w:pP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7B7470"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7B7470"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7B7470"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7B7470"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7B7470"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vAlign w:val="center"/>
          </w:tcPr>
          <w:p w:rsidR="00440A16" w:rsidRPr="007B7470"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P="00C16C1B">
            <w:pPr>
              <w:spacing w:after="0" w:line="240" w:lineRule="auto"/>
              <w:rPr>
                <w:rFonts w:ascii="Times New Roman" w:eastAsia="Times New Roman" w:hAnsi="Times New Roman" w:cs="Times New Roman"/>
                <w:color w:val="000000" w:themeColor="text1"/>
                <w:sz w:val="24"/>
                <w:szCs w:val="24"/>
                <w:lang w:eastAsia="sk-SK"/>
              </w:rPr>
            </w:pP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7B7470"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7B7470"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7B7470"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0A16" w:rsidRPr="007B7470"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w:t>
            </w:r>
            <w:r w:rsidRPr="007B7470">
              <w:rPr>
                <w:rFonts w:ascii="Times New Roman" w:eastAsia="Times New Roman" w:hAnsi="Times New Roman" w:cs="Times New Roman"/>
                <w:b/>
                <w:bCs/>
                <w:color w:val="000000" w:themeColor="text1"/>
                <w:sz w:val="20"/>
                <w:szCs w:val="20"/>
                <w:lang w:eastAsia="sk-SK"/>
              </w:rPr>
              <w:t xml:space="preserve"> n</w:t>
            </w:r>
            <w:r w:rsidRPr="007B7470">
              <w:rPr>
                <w:rFonts w:ascii="Times New Roman" w:eastAsia="Times New Roman" w:hAnsi="Times New Roman" w:cs="Times New Roman"/>
                <w:b/>
                <w:bCs/>
                <w:color w:val="000000" w:themeColor="text1"/>
                <w:sz w:val="20"/>
                <w:szCs w:val="20"/>
                <w:lang w:eastAsia="sk-SK"/>
              </w:rPr>
              <w:t>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7B7470" w:rsidP="00C16C1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7B7470" w:rsidP="00C16C1B">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0"/>
                <w:szCs w:val="24"/>
                <w:lang w:eastAsia="sk-SK"/>
              </w:rPr>
              <w:t>-</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440A16" w:rsidRPr="007B7470"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rsidR="003408F5" w:rsidRPr="007B7470"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w:t>
      </w:r>
      <w:r w:rsidRPr="007B7470" w:rsidR="00F20986">
        <w:rPr>
          <w:rFonts w:ascii="Times New Roman" w:eastAsia="Times New Roman" w:hAnsi="Times New Roman" w:cs="Times New Roman"/>
          <w:bCs/>
          <w:color w:val="000000" w:themeColor="text1"/>
          <w:sz w:val="20"/>
          <w:szCs w:val="20"/>
          <w:lang w:eastAsia="sk-SK"/>
        </w:rPr>
        <w:t>pod</w:t>
      </w:r>
      <w:r w:rsidRPr="007B7470">
        <w:rPr>
          <w:rFonts w:ascii="Times New Roman" w:eastAsia="Times New Roman" w:hAnsi="Times New Roman" w:cs="Times New Roman"/>
          <w:bCs/>
          <w:color w:val="000000" w:themeColor="text1"/>
          <w:sz w:val="20"/>
          <w:szCs w:val="20"/>
          <w:lang w:eastAsia="sk-SK"/>
        </w:rPr>
        <w:t>po</w:t>
      </w:r>
      <w:r w:rsidRPr="007B7470">
        <w:rPr>
          <w:rFonts w:ascii="Times New Roman" w:eastAsia="Times New Roman" w:hAnsi="Times New Roman" w:cs="Times New Roman"/>
          <w:bCs/>
          <w:sz w:val="20"/>
          <w:szCs w:val="20"/>
          <w:lang w:eastAsia="sk-SK"/>
        </w:rPr>
        <w:t>ložiek platnej ekonomickej klasifikácie</w:t>
      </w:r>
    </w:p>
    <w:p w:rsidR="003408F5" w:rsidRPr="007B7470" w:rsidP="003408F5">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3408F5" w:rsidRPr="007B7470"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3408F5" w:rsidRPr="007B7470"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2177DB">
      <w:pPr>
        <w:tabs>
          <w:tab w:val="num" w:pos="1080"/>
        </w:tabs>
        <w:spacing w:after="0" w:line="240" w:lineRule="auto"/>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7D5748" w:rsidRPr="007B7470"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tblPr>
      <w:tblGrid>
        <w:gridCol w:w="6188"/>
        <w:gridCol w:w="1698"/>
        <w:gridCol w:w="1788"/>
        <w:gridCol w:w="720"/>
        <w:gridCol w:w="1158"/>
        <w:gridCol w:w="1560"/>
        <w:gridCol w:w="1332"/>
        <w:gridCol w:w="510"/>
      </w:tblGrid>
      <w:tr w:rsidTr="005E3699">
        <w:tblPrEx>
          <w:tblW w:w="14954" w:type="dxa"/>
          <w:tblInd w:w="-784" w:type="dxa"/>
          <w:tblCellMar>
            <w:left w:w="70" w:type="dxa"/>
            <w:right w:w="70" w:type="dxa"/>
          </w:tblCellMar>
          <w:tblLook w:val="0000"/>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Tr="005E3699">
        <w:tblPrEx>
          <w:tblW w:w="14954" w:type="dxa"/>
          <w:tblInd w:w="-784" w:type="dxa"/>
          <w:tblCellMar>
            <w:left w:w="70" w:type="dxa"/>
            <w:right w:w="70" w:type="dxa"/>
          </w:tblCellMar>
          <w:tblLook w:val="0000"/>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B7470"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B7470" w:rsidP="007D5748">
            <w:pPr>
              <w:spacing w:after="0" w:line="240" w:lineRule="auto"/>
              <w:rPr>
                <w:rFonts w:ascii="Times New Roman" w:eastAsia="Times New Roman" w:hAnsi="Times New Roman" w:cs="Times New Roman"/>
                <w:b/>
                <w:bCs/>
                <w:color w:val="FFFFFF"/>
                <w:sz w:val="24"/>
                <w:szCs w:val="24"/>
                <w:lang w:eastAsia="sk-SK"/>
              </w:rPr>
            </w:pP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7D5748" w:rsidRPr="007B7470"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r>
      <w:tr w:rsidTr="005E3699">
        <w:tblPrEx>
          <w:tblW w:w="14954" w:type="dxa"/>
          <w:tblInd w:w="-784" w:type="dxa"/>
          <w:tblCellMar>
            <w:left w:w="70" w:type="dxa"/>
            <w:right w:w="70" w:type="dxa"/>
          </w:tblCellMar>
          <w:tblLook w:val="0000"/>
        </w:tblPrEx>
        <w:trPr>
          <w:trHeight w:val="255"/>
        </w:trPr>
        <w:tc>
          <w:tcPr>
            <w:tcW w:w="6188" w:type="dxa"/>
            <w:tcBorders>
              <w:top w:val="nil"/>
              <w:left w:val="nil"/>
              <w:bottom w:val="nil"/>
              <w:right w:val="nil"/>
            </w:tcBorders>
          </w:tcPr>
          <w:p w:rsidR="007D5748"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r w:rsidRPr="007B7470">
              <w:rPr>
                <w:rFonts w:ascii="Times New Roman" w:eastAsia="Times New Roman" w:hAnsi="Times New Roman" w:cs="Times New Roman"/>
                <w:b/>
                <w:bCs/>
                <w:sz w:val="24"/>
                <w:szCs w:val="24"/>
                <w:lang w:eastAsia="sk-SK"/>
              </w:rPr>
              <w:t>:</w:t>
            </w:r>
          </w:p>
        </w:tc>
        <w:tc>
          <w:tcPr>
            <w:tcW w:w="1698" w:type="dxa"/>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r>
      <w:tr w:rsidTr="005E3699">
        <w:tblPrEx>
          <w:tblW w:w="14954" w:type="dxa"/>
          <w:tblInd w:w="-784" w:type="dxa"/>
          <w:tblCellMar>
            <w:left w:w="70" w:type="dxa"/>
            <w:right w:w="70" w:type="dxa"/>
          </w:tblCellMar>
          <w:tblLook w:val="0000"/>
        </w:tblPrEx>
        <w:trPr>
          <w:trHeight w:val="255"/>
        </w:trPr>
        <w:tc>
          <w:tcPr>
            <w:tcW w:w="13112" w:type="dxa"/>
            <w:gridSpan w:val="6"/>
            <w:tcBorders>
              <w:top w:val="nil"/>
              <w:left w:val="nil"/>
              <w:bottom w:val="nil"/>
              <w:right w:val="nil"/>
            </w:tcBorders>
            <w:noWrap/>
          </w:tcPr>
          <w:p w:rsidR="007D5748" w:rsidRPr="007B7470"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r>
      <w:tr w:rsidTr="005E3699">
        <w:tblPrEx>
          <w:tblW w:w="14954" w:type="dxa"/>
          <w:tblInd w:w="-784" w:type="dxa"/>
          <w:tblCellMar>
            <w:left w:w="70" w:type="dxa"/>
            <w:right w:w="70" w:type="dxa"/>
          </w:tblCellMar>
          <w:tblLook w:val="0000"/>
        </w:tblPrEx>
        <w:trPr>
          <w:trHeight w:val="255"/>
        </w:trPr>
        <w:tc>
          <w:tcPr>
            <w:tcW w:w="10394" w:type="dxa"/>
            <w:gridSpan w:val="4"/>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7D5748" w:rsidRPr="007B7470" w:rsidP="007D5748">
            <w:pPr>
              <w:spacing w:after="0" w:line="240" w:lineRule="auto"/>
              <w:rPr>
                <w:rFonts w:ascii="Times New Roman" w:eastAsia="Times New Roman" w:hAnsi="Times New Roman" w:cs="Times New Roman"/>
                <w:sz w:val="24"/>
                <w:szCs w:val="24"/>
                <w:lang w:eastAsia="sk-SK"/>
              </w:rPr>
            </w:pPr>
          </w:p>
        </w:tc>
      </w:tr>
    </w:tbl>
    <w:p w:rsidR="007D5748" w:rsidRPr="007B7470" w:rsidP="007D5748">
      <w:pPr>
        <w:spacing w:after="0" w:line="240" w:lineRule="auto"/>
        <w:rPr>
          <w:rFonts w:ascii="Times New Roman" w:eastAsia="Times New Roman" w:hAnsi="Times New Roman" w:cs="Times New Roman"/>
          <w:b/>
          <w:bCs/>
          <w:sz w:val="24"/>
          <w:szCs w:val="24"/>
          <w:lang w:eastAsia="sk-SK"/>
        </w:rPr>
      </w:pPr>
    </w:p>
    <w:p w:rsidR="002B63FD" w:rsidRPr="007B7470" w:rsidP="007D5748">
      <w:pPr>
        <w:spacing w:after="0" w:line="240" w:lineRule="auto"/>
        <w:rPr>
          <w:rFonts w:ascii="Times New Roman" w:eastAsia="Times New Roman" w:hAnsi="Times New Roman" w:cs="Times New Roman"/>
          <w:b/>
          <w:bCs/>
          <w:sz w:val="24"/>
          <w:szCs w:val="24"/>
          <w:lang w:eastAsia="sk-SK"/>
        </w:rPr>
      </w:pPr>
    </w:p>
    <w:p w:rsidR="002B63FD" w:rsidRPr="007B7470" w:rsidP="007D5748">
      <w:pPr>
        <w:spacing w:after="0" w:line="240" w:lineRule="auto"/>
        <w:rPr>
          <w:rFonts w:ascii="Times New Roman" w:eastAsia="Times New Roman" w:hAnsi="Times New Roman" w:cs="Times New Roman"/>
          <w:b/>
          <w:bCs/>
          <w:sz w:val="24"/>
          <w:szCs w:val="24"/>
          <w:lang w:eastAsia="sk-SK"/>
        </w:rPr>
      </w:pPr>
    </w:p>
    <w:p w:rsidR="002B63FD" w:rsidRPr="007B7470" w:rsidP="007D5748">
      <w:pPr>
        <w:spacing w:after="0" w:line="240" w:lineRule="auto"/>
        <w:rPr>
          <w:rFonts w:ascii="Times New Roman" w:eastAsia="Times New Roman" w:hAnsi="Times New Roman" w:cs="Times New Roman"/>
          <w:b/>
          <w:bCs/>
          <w:sz w:val="24"/>
          <w:szCs w:val="24"/>
          <w:lang w:eastAsia="sk-SK"/>
        </w:rPr>
      </w:pPr>
    </w:p>
    <w:p w:rsidR="002B63FD" w:rsidRPr="007B7470" w:rsidP="007D5748">
      <w:pPr>
        <w:spacing w:after="0" w:line="240" w:lineRule="auto"/>
        <w:rPr>
          <w:rFonts w:ascii="Times New Roman" w:eastAsia="Times New Roman" w:hAnsi="Times New Roman" w:cs="Times New Roman"/>
          <w:b/>
          <w:bCs/>
          <w:sz w:val="24"/>
          <w:szCs w:val="24"/>
          <w:lang w:eastAsia="sk-SK"/>
        </w:rPr>
      </w:pPr>
    </w:p>
    <w:p w:rsidR="002B63FD" w:rsidRPr="007B7470" w:rsidP="007D5748">
      <w:pPr>
        <w:spacing w:after="0" w:line="240" w:lineRule="auto"/>
        <w:rPr>
          <w:rFonts w:ascii="Times New Roman" w:eastAsia="Times New Roman" w:hAnsi="Times New Roman" w:cs="Times New Roman"/>
          <w:b/>
          <w:bCs/>
          <w:sz w:val="24"/>
          <w:szCs w:val="24"/>
          <w:lang w:eastAsia="sk-SK"/>
        </w:rPr>
      </w:pPr>
    </w:p>
    <w:p w:rsidR="002B63FD" w:rsidRPr="007B7470" w:rsidP="007D5748">
      <w:pPr>
        <w:spacing w:after="0" w:line="240" w:lineRule="auto"/>
        <w:rPr>
          <w:rFonts w:ascii="Times New Roman" w:eastAsia="Times New Roman" w:hAnsi="Times New Roman" w:cs="Times New Roman"/>
          <w:b/>
          <w:bCs/>
          <w:sz w:val="24"/>
          <w:szCs w:val="24"/>
          <w:lang w:eastAsia="sk-SK"/>
        </w:rPr>
      </w:pPr>
    </w:p>
    <w:p w:rsidR="002B63FD" w:rsidRPr="007B7470" w:rsidP="007D5748">
      <w:pPr>
        <w:spacing w:after="0" w:line="240" w:lineRule="auto"/>
        <w:rPr>
          <w:rFonts w:ascii="Times New Roman" w:eastAsia="Times New Roman" w:hAnsi="Times New Roman" w:cs="Times New Roman"/>
          <w:b/>
          <w:bCs/>
          <w:sz w:val="24"/>
          <w:szCs w:val="24"/>
          <w:lang w:eastAsia="sk-SK"/>
        </w:rPr>
      </w:pPr>
    </w:p>
    <w:p w:rsidR="002B63FD" w:rsidRPr="007B7470" w:rsidP="007D5748">
      <w:pPr>
        <w:spacing w:after="0" w:line="240" w:lineRule="auto"/>
        <w:rPr>
          <w:rFonts w:ascii="Times New Roman" w:eastAsia="Times New Roman" w:hAnsi="Times New Roman" w:cs="Times New Roman"/>
          <w:b/>
          <w:bCs/>
          <w:sz w:val="24"/>
          <w:szCs w:val="24"/>
          <w:lang w:eastAsia="sk-SK"/>
        </w:rPr>
      </w:pPr>
    </w:p>
    <w:p w:rsidR="002B63FD" w:rsidRPr="007B7470" w:rsidP="007D5748">
      <w:pPr>
        <w:spacing w:after="0" w:line="240" w:lineRule="auto"/>
        <w:rPr>
          <w:rFonts w:ascii="Times New Roman" w:eastAsia="Times New Roman" w:hAnsi="Times New Roman" w:cs="Times New Roman"/>
          <w:b/>
          <w:bCs/>
          <w:sz w:val="24"/>
          <w:szCs w:val="24"/>
          <w:lang w:eastAsia="sk-SK"/>
        </w:rPr>
      </w:pPr>
    </w:p>
    <w:p w:rsidR="002B63FD" w:rsidRPr="007B7470" w:rsidP="007D5748">
      <w:pPr>
        <w:spacing w:after="0" w:line="240" w:lineRule="auto"/>
        <w:rPr>
          <w:rFonts w:ascii="Times New Roman" w:eastAsia="Times New Roman" w:hAnsi="Times New Roman" w:cs="Times New Roman"/>
          <w:b/>
          <w:bCs/>
          <w:sz w:val="24"/>
          <w:szCs w:val="24"/>
          <w:lang w:eastAsia="sk-SK"/>
        </w:rPr>
      </w:pPr>
    </w:p>
    <w:p w:rsidR="002B63FD" w:rsidRPr="007B7470"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rsidR="002B63FD" w:rsidRPr="007B7470"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rsidR="002B63FD" w:rsidRPr="007B7470" w:rsidP="002B63FD">
      <w:pPr>
        <w:spacing w:after="0" w:line="240" w:lineRule="auto"/>
        <w:jc w:val="both"/>
        <w:rPr>
          <w:rFonts w:ascii="Times New Roman" w:eastAsia="Times New Roman" w:hAnsi="Times New Roman" w:cs="Times New Roman"/>
          <w:sz w:val="24"/>
          <w:szCs w:val="24"/>
          <w:lang w:eastAsia="sk-SK"/>
        </w:rPr>
      </w:pPr>
    </w:p>
    <w:p w:rsidR="002B63FD" w:rsidRPr="007B7470" w:rsidP="00AB591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2B63FD" w:rsidRPr="007B7470" w:rsidP="002B63FD">
      <w:pPr>
        <w:spacing w:after="0" w:line="240" w:lineRule="auto"/>
        <w:jc w:val="both"/>
        <w:rPr>
          <w:rFonts w:ascii="Times New Roman" w:eastAsia="Times New Roman" w:hAnsi="Times New Roman" w:cs="Times New Roman"/>
          <w:sz w:val="24"/>
          <w:szCs w:val="24"/>
          <w:lang w:eastAsia="sk-SK"/>
        </w:rPr>
      </w:pPr>
    </w:p>
    <w:p w:rsidR="002B63FD" w:rsidRPr="007B7470"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sidR="00D922E5">
        <w:rPr>
          <w:rFonts w:ascii="Times New Roman" w:eastAsia="Times New Roman" w:hAnsi="Times New Roman" w:cs="Times New Roman"/>
          <w:sz w:val="24"/>
          <w:szCs w:val="24"/>
          <w:lang w:eastAsia="sk-SK"/>
        </w:rPr>
        <w:t xml:space="preserve">        </w:t>
      </w:r>
      <w:r w:rsidRPr="007B7470" w:rsidR="005E3699">
        <w:rPr>
          <w:rFonts w:ascii="Times New Roman" w:eastAsia="Times New Roman" w:hAnsi="Times New Roman" w:cs="Times New Roman"/>
          <w:sz w:val="24"/>
          <w:szCs w:val="24"/>
          <w:lang w:eastAsia="sk-SK"/>
        </w:rPr>
        <w:tab/>
      </w:r>
      <w:r w:rsidRPr="007B7470" w:rsidR="005E3699">
        <w:rPr>
          <w:rFonts w:ascii="Times New Roman" w:eastAsia="Times New Roman" w:hAnsi="Times New Roman" w:cs="Times New Roman"/>
          <w:sz w:val="24"/>
          <w:szCs w:val="24"/>
          <w:lang w:eastAsia="sk-SK"/>
        </w:rPr>
        <w:tab/>
      </w:r>
      <w:r w:rsidRPr="007B7470" w:rsidR="005E3699">
        <w:rPr>
          <w:rFonts w:ascii="Times New Roman" w:eastAsia="Times New Roman" w:hAnsi="Times New Roman" w:cs="Times New Roman"/>
          <w:sz w:val="24"/>
          <w:szCs w:val="24"/>
          <w:lang w:eastAsia="sk-SK"/>
        </w:rPr>
        <w:tab/>
      </w:r>
      <w:r w:rsidRPr="007B7470" w:rsidR="005E3699">
        <w:rPr>
          <w:rFonts w:ascii="Times New Roman" w:eastAsia="Times New Roman" w:hAnsi="Times New Roman" w:cs="Times New Roman"/>
          <w:sz w:val="24"/>
          <w:szCs w:val="24"/>
          <w:lang w:eastAsia="sk-SK"/>
        </w:rPr>
        <w:tab/>
      </w:r>
      <w:r w:rsidRPr="007B7470" w:rsidR="005E3699">
        <w:rPr>
          <w:rFonts w:ascii="Times New Roman" w:eastAsia="Times New Roman" w:hAnsi="Times New Roman" w:cs="Times New Roman"/>
          <w:sz w:val="24"/>
          <w:szCs w:val="24"/>
          <w:lang w:eastAsia="sk-SK"/>
        </w:rPr>
        <w:tab/>
      </w:r>
      <w:r w:rsidRPr="007B7470" w:rsidR="005E3699">
        <w:rPr>
          <w:rFonts w:ascii="Times New Roman" w:eastAsia="Times New Roman" w:hAnsi="Times New Roman" w:cs="Times New Roman"/>
          <w:sz w:val="24"/>
          <w:szCs w:val="24"/>
          <w:lang w:eastAsia="sk-SK"/>
        </w:rPr>
        <w:tab/>
      </w:r>
      <w:r w:rsidRPr="007B7470" w:rsidR="005E3699">
        <w:rPr>
          <w:rFonts w:ascii="Times New Roman" w:eastAsia="Times New Roman" w:hAnsi="Times New Roman" w:cs="Times New Roman"/>
          <w:sz w:val="24"/>
          <w:szCs w:val="24"/>
          <w:lang w:eastAsia="sk-SK"/>
        </w:rPr>
        <w:tab/>
      </w:r>
      <w:r w:rsidRPr="007B7470" w:rsidR="005E3699">
        <w:rPr>
          <w:rFonts w:ascii="Times New Roman" w:eastAsia="Times New Roman" w:hAnsi="Times New Roman" w:cs="Times New Roman"/>
          <w:sz w:val="24"/>
          <w:szCs w:val="24"/>
          <w:lang w:eastAsia="sk-SK"/>
        </w:rPr>
        <w:tab/>
      </w:r>
    </w:p>
    <w:p w:rsidR="00943733" w:rsidRPr="007B7470" w:rsidP="002B63FD">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w:t>
      </w:r>
      <w:r w:rsidRPr="007B7470" w:rsidR="00024E31">
        <w:rPr>
          <w:rFonts w:ascii="Times New Roman" w:eastAsia="Times New Roman" w:hAnsi="Times New Roman" w:cs="Times New Roman"/>
          <w:sz w:val="20"/>
          <w:szCs w:val="20"/>
          <w:lang w:eastAsia="sk-SK"/>
        </w:rPr>
        <w:t xml:space="preserve">                                                                                                                                                                                                                                                </w:t>
      </w: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1447"/>
        <w:gridCol w:w="1559"/>
        <w:gridCol w:w="1559"/>
        <w:gridCol w:w="1418"/>
        <w:gridCol w:w="1984"/>
        <w:gridCol w:w="3119"/>
      </w:tblGrid>
      <w:tr w:rsidTr="005E3699">
        <w:tblPrEx>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4"/>
        </w:trPr>
        <w:tc>
          <w:tcPr>
            <w:tcW w:w="2943" w:type="dxa"/>
            <w:vMerge w:val="restart"/>
            <w:shd w:val="clear" w:color="auto" w:fill="BFBFBF" w:themeFill="background1" w:themeFillShade="BF"/>
            <w:vAlign w:val="center"/>
          </w:tcPr>
          <w:p w:rsidR="002B63FD" w:rsidRPr="007B7470"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2B63FD" w:rsidRPr="007B7470"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2B63FD" w:rsidRPr="007B7470"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Tr="005E3699">
        <w:tblPrEx>
          <w:tblW w:w="14029" w:type="dxa"/>
          <w:tblLayout w:type="fixed"/>
          <w:tblLook w:val="04A0"/>
        </w:tblPrEx>
        <w:trPr>
          <w:trHeight w:val="284"/>
        </w:trPr>
        <w:tc>
          <w:tcPr>
            <w:tcW w:w="2943" w:type="dxa"/>
            <w:vMerge/>
            <w:shd w:val="clear" w:color="auto" w:fill="BFBFBF" w:themeFill="background1" w:themeFillShade="BF"/>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2B63FD" w:rsidRPr="007B7470"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2B63FD" w:rsidRPr="007B7470"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10</w:t>
            </w:r>
          </w:p>
        </w:tc>
        <w:tc>
          <w:tcPr>
            <w:tcW w:w="1559" w:type="dxa"/>
            <w:shd w:val="clear" w:color="auto" w:fill="BFBFBF" w:themeFill="background1" w:themeFillShade="BF"/>
          </w:tcPr>
          <w:p w:rsidR="002B63FD" w:rsidRPr="007B7470"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20</w:t>
            </w:r>
          </w:p>
        </w:tc>
        <w:tc>
          <w:tcPr>
            <w:tcW w:w="1418" w:type="dxa"/>
            <w:shd w:val="clear" w:color="auto" w:fill="BFBFBF" w:themeFill="background1" w:themeFillShade="BF"/>
          </w:tcPr>
          <w:p w:rsidR="002B63FD" w:rsidRPr="007B7470"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30</w:t>
            </w:r>
          </w:p>
        </w:tc>
        <w:tc>
          <w:tcPr>
            <w:tcW w:w="1984" w:type="dxa"/>
            <w:shd w:val="clear" w:color="auto" w:fill="BFBFBF" w:themeFill="background1" w:themeFillShade="BF"/>
          </w:tcPr>
          <w:p w:rsidR="002B63FD" w:rsidRPr="007B7470"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40</w:t>
            </w:r>
          </w:p>
        </w:tc>
        <w:tc>
          <w:tcPr>
            <w:tcW w:w="3119" w:type="dxa"/>
            <w:vMerge/>
            <w:shd w:val="clear" w:color="auto" w:fill="BFBFBF" w:themeFill="background1" w:themeFillShade="BF"/>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Tr="005E3699">
        <w:tblPrEx>
          <w:tblW w:w="14029" w:type="dxa"/>
          <w:tblLayout w:type="fixed"/>
          <w:tblLook w:val="04A0"/>
        </w:tblPrEx>
        <w:trPr>
          <w:trHeight w:val="284"/>
        </w:trPr>
        <w:tc>
          <w:tcPr>
            <w:tcW w:w="2943" w:type="dxa"/>
            <w:shd w:val="clear" w:color="auto" w:fill="auto"/>
            <w:vAlign w:val="bottom"/>
          </w:tcPr>
          <w:p w:rsidR="002B63FD" w:rsidRPr="007B7470"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Tr="005E3699">
        <w:tblPrEx>
          <w:tblW w:w="14029" w:type="dxa"/>
          <w:tblLayout w:type="fixed"/>
          <w:tblLook w:val="04A0"/>
        </w:tblPrEx>
        <w:trPr>
          <w:trHeight w:val="284"/>
        </w:trPr>
        <w:tc>
          <w:tcPr>
            <w:tcW w:w="2943" w:type="dxa"/>
            <w:shd w:val="clear" w:color="auto" w:fill="auto"/>
          </w:tcPr>
          <w:p w:rsidR="002B63FD" w:rsidRPr="007B7470"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Tr="005E3699">
        <w:tblPrEx>
          <w:tblW w:w="14029" w:type="dxa"/>
          <w:tblLayout w:type="fixed"/>
          <w:tblLook w:val="04A0"/>
        </w:tblPrEx>
        <w:trPr>
          <w:trHeight w:val="284"/>
        </w:trPr>
        <w:tc>
          <w:tcPr>
            <w:tcW w:w="2943" w:type="dxa"/>
            <w:shd w:val="clear" w:color="auto" w:fill="auto"/>
          </w:tcPr>
          <w:p w:rsidR="002B63FD" w:rsidRPr="007B7470"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B63FD" w:rsidRPr="007B7470"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2B63FD" w:rsidRPr="007B7470" w:rsidP="002B63FD">
      <w:pPr>
        <w:spacing w:after="0" w:line="240" w:lineRule="auto"/>
        <w:jc w:val="both"/>
        <w:rPr>
          <w:rFonts w:ascii="Times New Roman" w:eastAsia="Times New Roman" w:hAnsi="Times New Roman" w:cs="Times New Roman"/>
          <w:sz w:val="24"/>
          <w:szCs w:val="24"/>
          <w:lang w:eastAsia="sk-SK"/>
        </w:rPr>
      </w:pPr>
    </w:p>
    <w:p w:rsidR="002B63FD" w:rsidRPr="007B7470"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r w:rsidRPr="007B7470">
        <w:rPr>
          <w:rFonts w:ascii="Times New Roman" w:eastAsia="Times New Roman" w:hAnsi="Times New Roman" w:cs="Times New Roman"/>
          <w:b/>
          <w:sz w:val="24"/>
          <w:szCs w:val="24"/>
          <w:lang w:eastAsia="sk-SK"/>
        </w:rPr>
        <w:t xml:space="preserve">: </w:t>
      </w:r>
    </w:p>
    <w:p w:rsidR="002B63FD" w:rsidRPr="007B7470"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rsidR="002B63FD" w:rsidRPr="009B4B9C" w:rsidP="009B4B9C">
      <w:pPr>
        <w:spacing w:after="0" w:line="240" w:lineRule="auto"/>
        <w:jc w:val="both"/>
        <w:rPr>
          <w:rFonts w:ascii="Times New Roman" w:eastAsia="Times New Roman" w:hAnsi="Times New Roman" w:cs="Times New Roman"/>
          <w:sz w:val="24"/>
          <w:szCs w:val="24"/>
          <w:lang w:eastAsia="sk-SK"/>
        </w:rPr>
        <w:sectPr>
          <w:pgSz w:w="16838" w:h="11906" w:orient="landscape"/>
          <w:pgMar w:top="1418" w:right="1418" w:bottom="1418" w:left="1418" w:header="709" w:footer="709" w:gutter="0"/>
          <w:cols w:space="708"/>
          <w:docGrid w:linePitch="360"/>
        </w:sectPr>
      </w:pPr>
      <w:r w:rsidRPr="007B7470">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zavedeni</w:t>
      </w:r>
      <w:r w:rsidR="009B4B9C">
        <w:rPr>
          <w:rFonts w:ascii="Times New Roman" w:eastAsia="Times New Roman" w:hAnsi="Times New Roman" w:cs="Times New Roman"/>
          <w:sz w:val="24"/>
          <w:szCs w:val="24"/>
          <w:lang w:eastAsia="sk-SK"/>
        </w:rPr>
        <w:t>a všetkých opatrení súčasne.</w:t>
      </w:r>
    </w:p>
    <w:p w:rsidR="00AC7099" w:rsidRPr="00895898" w:rsidP="00AC7099">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rsidR="00AC7099" w:rsidRPr="00895898" w:rsidP="00AC7099">
      <w:pPr>
        <w:jc w:val="both"/>
        <w:rPr>
          <w:rFonts w:ascii="Times New Roman" w:eastAsia="Calibri" w:hAnsi="Times New Roman" w:cs="Times New Roman"/>
          <w:b/>
          <w:sz w:val="24"/>
          <w:szCs w:val="24"/>
        </w:rPr>
      </w:pPr>
    </w:p>
    <w:p w:rsidR="00AC7099" w:rsidP="00AC7099">
      <w:pPr>
        <w:jc w:val="both"/>
        <w:rPr>
          <w:rFonts w:ascii="Times New Roman" w:hAnsi="Times New Roman" w:cs="Times New Roman"/>
          <w:color w:val="000000" w:themeColor="text1"/>
          <w:sz w:val="24"/>
          <w:szCs w:val="24"/>
        </w:rPr>
      </w:pPr>
      <w:r w:rsidRPr="002B6EAF">
        <w:rPr>
          <w:rFonts w:ascii="Times New Roman" w:eastAsia="Calibri" w:hAnsi="Times New Roman" w:cs="Times New Roman"/>
          <w:b/>
          <w:sz w:val="24"/>
          <w:szCs w:val="24"/>
        </w:rPr>
        <w:t xml:space="preserve">Názov materiálu: </w:t>
      </w:r>
      <w:r w:rsidRPr="002B6EAF">
        <w:rPr>
          <w:rStyle w:val="PlaceholderText"/>
          <w:color w:val="000000" w:themeColor="text1"/>
          <w:sz w:val="24"/>
          <w:szCs w:val="24"/>
        </w:rPr>
        <w:t xml:space="preserve">Návrh zákona, </w:t>
      </w:r>
      <w:r w:rsidRPr="002B6EAF">
        <w:rPr>
          <w:rFonts w:ascii="Times New Roman" w:hAnsi="Times New Roman" w:cs="Times New Roman"/>
          <w:color w:val="000000" w:themeColor="text1"/>
          <w:sz w:val="24"/>
          <w:szCs w:val="24"/>
        </w:rPr>
        <w:t xml:space="preserve">ktorým sa mení a dopĺňa zákon č. 135/1961 Zb. o pozemných komunikáciách (cestný zákon) v znení neskorších predpisov (ďalej len „návrh zákona“) </w:t>
      </w:r>
    </w:p>
    <w:p w:rsidR="007278D6" w:rsidRPr="002B6EAF" w:rsidP="00AC7099">
      <w:pPr>
        <w:jc w:val="both"/>
        <w:rPr>
          <w:rFonts w:ascii="Times New Roman" w:hAnsi="Times New Roman" w:cs="Times New Roman"/>
          <w:color w:val="000000" w:themeColor="text1"/>
          <w:sz w:val="24"/>
          <w:szCs w:val="24"/>
        </w:rPr>
      </w:pPr>
    </w:p>
    <w:p w:rsidR="00AC7099" w:rsidRPr="001F1B43" w:rsidP="00AC7099">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w:t>
      </w:r>
      <w:r w:rsidRPr="00DE0A92">
        <w:rPr>
          <w:rFonts w:ascii="Times New Roman" w:eastAsia="Calibri" w:hAnsi="Times New Roman" w:cs="Times New Roman"/>
          <w:sz w:val="24"/>
          <w:szCs w:val="24"/>
        </w:rPr>
        <w:t>Ministerstvo dopravy SR</w:t>
      </w:r>
    </w:p>
    <w:p w:rsidR="00AC7099" w:rsidRPr="001F1B43" w:rsidP="00AC7099">
      <w:pPr>
        <w:jc w:val="both"/>
        <w:rPr>
          <w:rFonts w:ascii="Times New Roman" w:eastAsia="Calibri" w:hAnsi="Times New Roman" w:cs="Times New Roman"/>
          <w:b/>
          <w:sz w:val="24"/>
          <w:szCs w:val="24"/>
        </w:rPr>
      </w:pPr>
    </w:p>
    <w:p w:rsidR="00AC7099" w:rsidRPr="001F1B43" w:rsidP="00AC7099">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AC7099" w:rsidRPr="00AF4C79" w:rsidP="00AC70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tbl>
      <w:tblPr>
        <w:tblW w:w="9514" w:type="dxa"/>
        <w:tblInd w:w="70" w:type="dxa"/>
        <w:tblCellMar>
          <w:left w:w="70" w:type="dxa"/>
          <w:right w:w="70" w:type="dxa"/>
        </w:tblCellMar>
        <w:tblLook w:val="04A0"/>
      </w:tblPr>
      <w:tblGrid>
        <w:gridCol w:w="146"/>
        <w:gridCol w:w="3540"/>
        <w:gridCol w:w="2623"/>
        <w:gridCol w:w="169"/>
        <w:gridCol w:w="160"/>
        <w:gridCol w:w="2293"/>
        <w:gridCol w:w="423"/>
        <w:gridCol w:w="160"/>
      </w:tblGrid>
      <w:tr w:rsidTr="007327E7">
        <w:tblPrEx>
          <w:tblW w:w="9514" w:type="dxa"/>
          <w:tblInd w:w="70" w:type="dxa"/>
          <w:tblCellMar>
            <w:left w:w="70" w:type="dxa"/>
            <w:right w:w="70" w:type="dxa"/>
          </w:tblCellMar>
          <w:tblLook w:val="04A0"/>
        </w:tblPrEx>
        <w:trPr>
          <w:trHeight w:val="270"/>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AC7099" w:rsidRPr="00C929AE" w:rsidP="007327E7">
            <w:pPr>
              <w:spacing w:after="0" w:line="240" w:lineRule="auto"/>
              <w:jc w:val="center"/>
              <w:rPr>
                <w:rFonts w:ascii="Times New Roman" w:eastAsia="Times New Roman" w:hAnsi="Times New Roman" w:cs="Times New Roman"/>
                <w:color w:val="000000"/>
                <w:sz w:val="20"/>
                <w:szCs w:val="20"/>
                <w:lang w:eastAsia="sk-SK"/>
              </w:rPr>
            </w:pPr>
          </w:p>
        </w:tc>
      </w:tr>
      <w:tr w:rsidTr="007327E7">
        <w:tblPrEx>
          <w:tblW w:w="9514" w:type="dxa"/>
          <w:tblInd w:w="70" w:type="dxa"/>
          <w:tblCellMar>
            <w:left w:w="70" w:type="dxa"/>
            <w:right w:w="70" w:type="dxa"/>
          </w:tblCellMar>
          <w:tblLook w:val="04A0"/>
        </w:tblPrEx>
        <w:trPr>
          <w:gridAfter w:val="2"/>
          <w:wAfter w:w="583" w:type="dxa"/>
          <w:trHeight w:val="451"/>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C7099" w:rsidRPr="00C929AE" w:rsidP="007327E7">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Tr="007327E7">
        <w:tblPrEx>
          <w:tblW w:w="9514" w:type="dxa"/>
          <w:tblInd w:w="70" w:type="dxa"/>
          <w:tblCellMar>
            <w:left w:w="70" w:type="dxa"/>
            <w:right w:w="70" w:type="dxa"/>
          </w:tblCellMar>
          <w:tblLook w:val="04A0"/>
        </w:tblPrEx>
        <w:trPr>
          <w:gridAfter w:val="2"/>
          <w:wAfter w:w="583" w:type="dxa"/>
          <w:trHeight w:val="600"/>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0</w:t>
            </w:r>
          </w:p>
        </w:tc>
      </w:tr>
      <w:tr w:rsidTr="007327E7">
        <w:tblPrEx>
          <w:tblW w:w="9514" w:type="dxa"/>
          <w:tblInd w:w="70" w:type="dxa"/>
          <w:tblCellMar>
            <w:left w:w="70" w:type="dxa"/>
            <w:right w:w="70" w:type="dxa"/>
          </w:tblCellMar>
          <w:tblLook w:val="04A0"/>
        </w:tblPrEx>
        <w:trPr>
          <w:gridAfter w:val="2"/>
          <w:wAfter w:w="583" w:type="dxa"/>
          <w:trHeight w:val="420"/>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0</w:t>
            </w:r>
          </w:p>
        </w:tc>
      </w:tr>
      <w:tr w:rsidTr="007327E7">
        <w:tblPrEx>
          <w:tblW w:w="9514" w:type="dxa"/>
          <w:tblInd w:w="70" w:type="dxa"/>
          <w:tblCellMar>
            <w:left w:w="70" w:type="dxa"/>
            <w:right w:w="70" w:type="dxa"/>
          </w:tblCellMar>
          <w:tblLook w:val="04A0"/>
        </w:tblPrEx>
        <w:trPr>
          <w:gridAfter w:val="2"/>
          <w:wAfter w:w="583" w:type="dxa"/>
          <w:trHeight w:val="435"/>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165 950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0</w:t>
            </w:r>
          </w:p>
        </w:tc>
      </w:tr>
      <w:tr w:rsidTr="007327E7">
        <w:tblPrEx>
          <w:tblW w:w="9514" w:type="dxa"/>
          <w:tblInd w:w="70" w:type="dxa"/>
          <w:tblCellMar>
            <w:left w:w="70" w:type="dxa"/>
            <w:right w:w="70" w:type="dxa"/>
          </w:tblCellMar>
          <w:tblLook w:val="04A0"/>
        </w:tblPrEx>
        <w:trPr>
          <w:gridAfter w:val="2"/>
          <w:wAfter w:w="583" w:type="dxa"/>
          <w:trHeight w:val="480"/>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0</w:t>
            </w:r>
          </w:p>
        </w:tc>
      </w:tr>
      <w:tr w:rsidTr="007327E7">
        <w:tblPrEx>
          <w:tblW w:w="9514" w:type="dxa"/>
          <w:tblInd w:w="70" w:type="dxa"/>
          <w:tblCellMar>
            <w:left w:w="70" w:type="dxa"/>
            <w:right w:w="70" w:type="dxa"/>
          </w:tblCellMar>
          <w:tblLook w:val="04A0"/>
        </w:tblPrEx>
        <w:trPr>
          <w:gridAfter w:val="2"/>
          <w:wAfter w:w="583" w:type="dxa"/>
          <w:trHeight w:val="480"/>
        </w:trPr>
        <w:tc>
          <w:tcPr>
            <w:tcW w:w="146" w:type="dxa"/>
            <w:tcBorders>
              <w:top w:val="nil"/>
              <w:left w:val="nil"/>
              <w:bottom w:val="nil"/>
              <w:right w:val="nil"/>
            </w:tcBorders>
            <w:shd w:val="clear" w:color="auto" w:fill="auto"/>
            <w:noWrap/>
            <w:vAlign w:val="bottom"/>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AC7099" w:rsidRPr="00C929AE" w:rsidP="007327E7">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r>
      <w:tr w:rsidTr="007327E7">
        <w:tblPrEx>
          <w:tblW w:w="9514" w:type="dxa"/>
          <w:tblInd w:w="70" w:type="dxa"/>
          <w:tblCellMar>
            <w:left w:w="70" w:type="dxa"/>
            <w:right w:w="70" w:type="dxa"/>
          </w:tblCellMar>
          <w:tblLook w:val="04A0"/>
        </w:tblPrEx>
        <w:trPr>
          <w:gridAfter w:val="2"/>
          <w:wAfter w:w="583" w:type="dxa"/>
          <w:trHeight w:val="600"/>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165 950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0</w:t>
            </w:r>
          </w:p>
        </w:tc>
      </w:tr>
      <w:tr w:rsidTr="007327E7">
        <w:tblPrEx>
          <w:tblW w:w="9514" w:type="dxa"/>
          <w:tblInd w:w="70" w:type="dxa"/>
          <w:tblCellMar>
            <w:left w:w="70" w:type="dxa"/>
            <w:right w:w="70" w:type="dxa"/>
          </w:tblCellMar>
          <w:tblLook w:val="04A0"/>
        </w:tblPrEx>
        <w:trPr>
          <w:trHeight w:val="270"/>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i/>
                <w:iCs/>
                <w:color w:val="000000"/>
                <w:sz w:val="20"/>
                <w:szCs w:val="20"/>
                <w:lang w:eastAsia="sk-SK"/>
              </w:rPr>
            </w:pPr>
          </w:p>
        </w:tc>
      </w:tr>
      <w:tr w:rsidTr="007327E7">
        <w:tblPrEx>
          <w:tblW w:w="9514" w:type="dxa"/>
          <w:tblInd w:w="70" w:type="dxa"/>
          <w:tblCellMar>
            <w:left w:w="70" w:type="dxa"/>
            <w:right w:w="70" w:type="dxa"/>
          </w:tblCellMar>
          <w:tblLook w:val="04A0"/>
        </w:tblPrEx>
        <w:trPr>
          <w:gridAfter w:val="2"/>
          <w:wAfter w:w="583" w:type="dxa"/>
          <w:trHeight w:val="412"/>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Tr="007327E7">
        <w:tblPrEx>
          <w:tblW w:w="9514" w:type="dxa"/>
          <w:tblInd w:w="70" w:type="dxa"/>
          <w:tblCellMar>
            <w:left w:w="70" w:type="dxa"/>
            <w:right w:w="70" w:type="dxa"/>
          </w:tblCellMar>
          <w:tblLook w:val="04A0"/>
        </w:tblPrEx>
        <w:trPr>
          <w:gridAfter w:val="2"/>
          <w:wAfter w:w="583" w:type="dxa"/>
          <w:trHeight w:val="840"/>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w:t>
            </w:r>
          </w:p>
        </w:tc>
      </w:tr>
      <w:tr w:rsidTr="007327E7">
        <w:tblPrEx>
          <w:tblW w:w="9514" w:type="dxa"/>
          <w:tblInd w:w="70" w:type="dxa"/>
          <w:tblCellMar>
            <w:left w:w="70" w:type="dxa"/>
            <w:right w:w="70" w:type="dxa"/>
          </w:tblCellMar>
          <w:tblLook w:val="04A0"/>
        </w:tblPrEx>
        <w:trPr>
          <w:gridAfter w:val="2"/>
          <w:wAfter w:w="583" w:type="dxa"/>
          <w:trHeight w:val="486"/>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w:t>
            </w: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w:t>
            </w:r>
          </w:p>
        </w:tc>
      </w:tr>
      <w:tr w:rsidTr="007327E7">
        <w:tblPrEx>
          <w:tblW w:w="9514" w:type="dxa"/>
          <w:tblInd w:w="70" w:type="dxa"/>
          <w:tblCellMar>
            <w:left w:w="70" w:type="dxa"/>
            <w:right w:w="70" w:type="dxa"/>
          </w:tblCellMar>
          <w:tblLook w:val="04A0"/>
        </w:tblPrEx>
        <w:trPr>
          <w:trHeight w:val="360"/>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i/>
                <w:iCs/>
                <w:color w:val="000000"/>
                <w:sz w:val="20"/>
                <w:szCs w:val="20"/>
                <w:lang w:eastAsia="sk-SK"/>
              </w:rPr>
            </w:pPr>
          </w:p>
        </w:tc>
      </w:tr>
      <w:tr w:rsidTr="007327E7">
        <w:tblPrEx>
          <w:tblW w:w="9514" w:type="dxa"/>
          <w:tblInd w:w="70" w:type="dxa"/>
          <w:tblCellMar>
            <w:left w:w="70" w:type="dxa"/>
            <w:right w:w="70" w:type="dxa"/>
          </w:tblCellMar>
          <w:tblLook w:val="04A0"/>
        </w:tblPrEx>
        <w:trPr>
          <w:gridAfter w:val="2"/>
          <w:wAfter w:w="583" w:type="dxa"/>
          <w:trHeight w:val="390"/>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C7099" w:rsidRPr="00C929AE" w:rsidP="007327E7">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AC7099" w:rsidRPr="00C929AE" w:rsidP="007327E7">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AC7099" w:rsidRPr="00C929AE" w:rsidP="007327E7">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Tr="007327E7">
        <w:tblPrEx>
          <w:tblW w:w="9514" w:type="dxa"/>
          <w:tblInd w:w="70" w:type="dxa"/>
          <w:tblCellMar>
            <w:left w:w="70" w:type="dxa"/>
            <w:right w:w="70" w:type="dxa"/>
          </w:tblCellMar>
          <w:tblLook w:val="04A0"/>
        </w:tblPrEx>
        <w:trPr>
          <w:gridAfter w:val="2"/>
          <w:wAfter w:w="583" w:type="dxa"/>
          <w:trHeight w:val="390"/>
        </w:trPr>
        <w:tc>
          <w:tcPr>
            <w:tcW w:w="146" w:type="dxa"/>
            <w:tcBorders>
              <w:top w:val="nil"/>
              <w:left w:val="nil"/>
              <w:bottom w:val="nil"/>
              <w:right w:val="nil"/>
            </w:tcBorders>
            <w:shd w:val="clear" w:color="auto" w:fill="auto"/>
            <w:noWrap/>
            <w:vAlign w:val="bottom"/>
            <w:hideMark/>
          </w:tcPr>
          <w:p w:rsidR="00AC7099" w:rsidRPr="00C929AE" w:rsidP="007327E7">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AC7099" w:rsidRPr="00751DA9" w:rsidP="007327E7">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AC7099" w:rsidRPr="00C929AE" w:rsidP="007327E7">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Pr>
                <w:rFonts w:ascii="Times New Roman" w:eastAsia="Times New Roman" w:hAnsi="Times New Roman" w:cs="Times New Roman"/>
                <w:b/>
                <w:bCs/>
                <w:color w:val="000000"/>
                <w:sz w:val="20"/>
                <w:szCs w:val="20"/>
                <w:lang w:eastAsia="sk-SK"/>
              </w:rPr>
              <w:t>-</w:t>
            </w:r>
          </w:p>
        </w:tc>
      </w:tr>
    </w:tbl>
    <w:p w:rsidR="0053586E" w:rsidP="00AC7099">
      <w:pPr>
        <w:rPr>
          <w:rFonts w:ascii="Times New Roman" w:eastAsia="Calibri" w:hAnsi="Times New Roman" w:cs="Times New Roman"/>
          <w:b/>
          <w:sz w:val="24"/>
          <w:szCs w:val="24"/>
        </w:rPr>
      </w:pPr>
    </w:p>
    <w:p w:rsidR="0053586E" w:rsidRPr="0053586E" w:rsidP="0053586E">
      <w:pPr>
        <w:rPr>
          <w:rFonts w:ascii="Times New Roman" w:eastAsia="Calibri" w:hAnsi="Times New Roman" w:cs="Times New Roman"/>
          <w:sz w:val="24"/>
          <w:szCs w:val="24"/>
        </w:rPr>
      </w:pPr>
    </w:p>
    <w:p w:rsidR="0053586E" w:rsidRPr="0053586E" w:rsidP="0053586E">
      <w:pPr>
        <w:rPr>
          <w:rFonts w:ascii="Times New Roman" w:eastAsia="Calibri" w:hAnsi="Times New Roman" w:cs="Times New Roman"/>
          <w:sz w:val="24"/>
          <w:szCs w:val="24"/>
        </w:rPr>
      </w:pPr>
    </w:p>
    <w:p w:rsidR="0053586E" w:rsidP="0053586E">
      <w:pPr>
        <w:rPr>
          <w:rFonts w:ascii="Times New Roman" w:eastAsia="Calibri" w:hAnsi="Times New Roman" w:cs="Times New Roman"/>
          <w:sz w:val="24"/>
          <w:szCs w:val="24"/>
        </w:rPr>
      </w:pPr>
    </w:p>
    <w:p w:rsidR="00AC7099" w:rsidRPr="0053586E" w:rsidP="0053586E">
      <w:pPr>
        <w:tabs>
          <w:tab w:val="center" w:pos="4536"/>
        </w:tabs>
        <w:rPr>
          <w:rFonts w:ascii="Times New Roman" w:eastAsia="Calibri" w:hAnsi="Times New Roman" w:cs="Times New Roman"/>
          <w:sz w:val="24"/>
          <w:szCs w:val="24"/>
        </w:rPr>
        <w:sectPr w:rsidSect="004713C2">
          <w:headerReference w:type="default" r:id="rId16"/>
          <w:footerReference w:type="default" r:id="rId17"/>
          <w:pgSz w:w="11906" w:h="16838"/>
          <w:pgMar w:top="993" w:right="1417" w:bottom="1417" w:left="1417" w:header="708" w:footer="708" w:gutter="0"/>
          <w:pgNumType w:start="13"/>
          <w:cols w:space="708"/>
          <w:docGrid w:linePitch="360"/>
        </w:sectPr>
      </w:pPr>
      <w:r>
        <w:rPr>
          <w:rFonts w:ascii="Times New Roman" w:eastAsia="Calibri" w:hAnsi="Times New Roman" w:cs="Times New Roman"/>
          <w:sz w:val="24"/>
          <w:szCs w:val="24"/>
        </w:rPr>
        <w:tab/>
      </w:r>
    </w:p>
    <w:p w:rsidR="00AC7099" w:rsidRPr="001F1B43" w:rsidP="00AC7099">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AC7099" w:rsidP="00AC7099">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tblPr>
      <w:tblGrid>
        <w:gridCol w:w="446"/>
        <w:gridCol w:w="1740"/>
        <w:gridCol w:w="992"/>
        <w:gridCol w:w="1134"/>
        <w:gridCol w:w="1843"/>
        <w:gridCol w:w="992"/>
        <w:gridCol w:w="1160"/>
        <w:gridCol w:w="1108"/>
        <w:gridCol w:w="851"/>
        <w:gridCol w:w="843"/>
        <w:gridCol w:w="1000"/>
        <w:gridCol w:w="708"/>
        <w:gridCol w:w="1134"/>
      </w:tblGrid>
      <w:tr w:rsidTr="007327E7">
        <w:tblPrEx>
          <w:tblW w:w="13951" w:type="dxa"/>
          <w:tblInd w:w="-556" w:type="dxa"/>
          <w:tblLayout w:type="fixed"/>
          <w:tblCellMar>
            <w:left w:w="70" w:type="dxa"/>
            <w:right w:w="70" w:type="dxa"/>
          </w:tblCellMar>
          <w:tblLook w:val="04A0"/>
        </w:tblPrEx>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AC7099" w:rsidRPr="000A6B7F" w:rsidP="007327E7">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AC7099" w:rsidRPr="000A6B7F" w:rsidP="007327E7">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goldplatngom</w:t>
            </w:r>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DD9C4" w:themeFill="background2" w:themeFillShade="E6"/>
            <w:vAlign w:val="center"/>
            <w:hideMark/>
          </w:tcPr>
          <w:p w:rsidR="00AC7099" w:rsidRPr="000A6B7F" w:rsidP="007327E7">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DD9C4" w:themeFill="background2" w:themeFillShade="E6"/>
            <w:vAlign w:val="center"/>
            <w:hideMark/>
          </w:tcPr>
          <w:p w:rsidR="00AC7099" w:rsidRPr="000A6B7F" w:rsidP="007327E7">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AC7099" w:rsidP="007327E7">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rsidR="00AC7099" w:rsidRPr="000A6B7F" w:rsidP="007327E7">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Pr="000A6B7F">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AC7099" w:rsidRPr="000A6B7F" w:rsidP="007327E7">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AC7099" w:rsidRPr="000A6B7F" w:rsidP="007327E7">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tcPr>
          <w:p w:rsidR="00AC7099" w:rsidP="007327E7">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rsidR="00AC7099" w:rsidRPr="00895898" w:rsidP="007327E7">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Pr="00895898">
              <w:rPr>
                <w:rFonts w:ascii="Times New Roman" w:eastAsia="Times New Roman" w:hAnsi="Times New Roman" w:cs="Times New Roman"/>
                <w:b/>
                <w:bCs/>
                <w:color w:val="000000"/>
                <w:sz w:val="20"/>
                <w:szCs w:val="20"/>
                <w:lang w:eastAsia="sk-SK"/>
              </w:rPr>
              <w:t xml:space="preserve"> subjektov </w:t>
            </w:r>
            <w:r>
              <w:rPr>
                <w:rFonts w:ascii="Times New Roman" w:eastAsia="Times New Roman" w:hAnsi="Times New Roman" w:cs="Times New Roman"/>
                <w:b/>
                <w:bCs/>
                <w:color w:val="000000"/>
                <w:sz w:val="20"/>
                <w:szCs w:val="20"/>
                <w:lang w:eastAsia="sk-SK"/>
              </w:rPr>
              <w:t>spolu</w:t>
            </w:r>
            <w:r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AC7099" w:rsidRPr="000A6B7F" w:rsidP="007327E7">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AC7099" w:rsidRPr="000A6B7F" w:rsidP="007327E7">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AC7099" w:rsidRPr="00895898" w:rsidP="007327E7">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rsidR="00AC7099" w:rsidRPr="00895898" w:rsidP="007327E7">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rsidR="00AC7099" w:rsidRPr="000A6B7F" w:rsidP="007327E7">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AC7099" w:rsidRPr="006B5D74" w:rsidP="007327E7">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rsidR="00AC7099" w:rsidRPr="006B5D74" w:rsidP="007327E7">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AC7099" w:rsidRPr="006B5D74" w:rsidP="007327E7">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Tr="007327E7">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p>
        </w:tc>
        <w:tc>
          <w:tcPr>
            <w:tcW w:w="1740" w:type="dxa"/>
            <w:shd w:val="clear" w:color="auto" w:fill="auto"/>
            <w:vAlign w:val="center"/>
          </w:tcPr>
          <w:p w:rsidR="00AC7099" w:rsidRPr="00895898" w:rsidP="007327E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Povinnosť uhradiť pokutu</w:t>
            </w:r>
          </w:p>
        </w:tc>
        <w:tc>
          <w:tcPr>
            <w:tcW w:w="992" w:type="dxa"/>
          </w:tcPr>
          <w:p w:rsidR="00AC7099" w:rsidRPr="00895898" w:rsidP="007327E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135/1961 Zb. </w:t>
            </w:r>
          </w:p>
        </w:tc>
        <w:tc>
          <w:tcPr>
            <w:tcW w:w="1134" w:type="dxa"/>
          </w:tcPr>
          <w:p w:rsidR="00AC7099" w:rsidRPr="00895898" w:rsidP="007327E7">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22a ods. 2</w:t>
            </w:r>
          </w:p>
        </w:tc>
        <w:tc>
          <w:tcPr>
            <w:tcW w:w="1843" w:type="dxa"/>
            <w:shd w:val="clear" w:color="auto" w:fill="auto"/>
            <w:vAlign w:val="center"/>
          </w:tcPr>
          <w:p w:rsidR="00AC7099" w:rsidRPr="00895898" w:rsidP="007327E7">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w:t>
            </w:r>
          </w:p>
        </w:tc>
        <w:tc>
          <w:tcPr>
            <w:tcW w:w="992" w:type="dxa"/>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1.7.2024</w:t>
            </w:r>
          </w:p>
        </w:tc>
        <w:tc>
          <w:tcPr>
            <w:tcW w:w="1160"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PO, FO-podnikatelia </w:t>
            </w:r>
          </w:p>
        </w:tc>
        <w:tc>
          <w:tcPr>
            <w:tcW w:w="1108" w:type="dxa"/>
          </w:tcPr>
          <w:p w:rsidR="00AC7099" w:rsidP="007327E7">
            <w:pPr>
              <w:spacing w:after="0" w:line="240" w:lineRule="auto"/>
              <w:jc w:val="center"/>
              <w:rPr>
                <w:rFonts w:ascii="Times New Roman" w:eastAsia="Times New Roman" w:hAnsi="Times New Roman" w:cs="Times New Roman"/>
                <w:sz w:val="20"/>
                <w:szCs w:val="20"/>
                <w:lang w:eastAsia="sk-SK"/>
              </w:rPr>
            </w:pPr>
          </w:p>
          <w:p w:rsidR="00AC7099" w:rsidRPr="00895898" w:rsidP="007327E7">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w:t>
            </w:r>
          </w:p>
        </w:tc>
        <w:tc>
          <w:tcPr>
            <w:tcW w:w="851"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33 190</w:t>
            </w:r>
          </w:p>
        </w:tc>
        <w:tc>
          <w:tcPr>
            <w:tcW w:w="843"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165 950</w:t>
            </w:r>
          </w:p>
        </w:tc>
        <w:tc>
          <w:tcPr>
            <w:tcW w:w="1000"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w:t>
            </w:r>
          </w:p>
        </w:tc>
        <w:tc>
          <w:tcPr>
            <w:tcW w:w="708"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w:t>
            </w:r>
          </w:p>
        </w:tc>
        <w:tc>
          <w:tcPr>
            <w:tcW w:w="1134"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w:t>
            </w:r>
          </w:p>
        </w:tc>
      </w:tr>
      <w:tr w:rsidTr="007327E7">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992"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134"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AC7099" w:rsidP="007327E7">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08"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r>
      <w:tr w:rsidTr="007327E7">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992"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134"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AC7099" w:rsidP="007327E7">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08"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r>
      <w:tr w:rsidTr="007327E7">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992"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134"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AC7099" w:rsidP="007327E7">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08"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r>
      <w:tr w:rsidTr="007327E7">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992"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134"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AC7099" w:rsidP="007327E7">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08"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r>
      <w:tr w:rsidTr="007327E7">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992"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134"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AC7099" w:rsidP="007327E7">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08"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r>
      <w:tr w:rsidTr="007327E7">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992"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134"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AC7099" w:rsidP="007327E7">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08" w:type="dxa"/>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AC7099" w:rsidRPr="00895898" w:rsidP="007327E7">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AC7099" w:rsidRPr="00895898" w:rsidP="007327E7">
            <w:pPr>
              <w:spacing w:after="0" w:line="240" w:lineRule="auto"/>
              <w:rPr>
                <w:rFonts w:ascii="Times New Roman" w:eastAsia="Times New Roman" w:hAnsi="Times New Roman" w:cs="Times New Roman"/>
                <w:sz w:val="20"/>
                <w:szCs w:val="20"/>
                <w:lang w:eastAsia="sk-SK"/>
              </w:rPr>
            </w:pPr>
          </w:p>
        </w:tc>
      </w:tr>
    </w:tbl>
    <w:p w:rsidR="00AC7099" w:rsidRPr="00895898" w:rsidP="00AC7099">
      <w:pPr>
        <w:jc w:val="both"/>
        <w:rPr>
          <w:rFonts w:ascii="Times New Roman" w:eastAsia="Calibri" w:hAnsi="Times New Roman" w:cs="Times New Roman"/>
          <w:i/>
        </w:rPr>
      </w:pPr>
    </w:p>
    <w:p w:rsidR="00AC7099" w:rsidRPr="00895898" w:rsidP="00AC7099">
      <w:pPr>
        <w:jc w:val="both"/>
        <w:rPr>
          <w:rFonts w:ascii="Times New Roman" w:eastAsia="Calibri" w:hAnsi="Times New Roman" w:cs="Times New Roman"/>
          <w:b/>
          <w:bCs/>
          <w:i/>
          <w:sz w:val="24"/>
          <w:szCs w:val="24"/>
        </w:rPr>
        <w:sectPr w:rsidSect="00142154">
          <w:pgSz w:w="16838" w:h="11906" w:orient="landscape"/>
          <w:pgMar w:top="1417" w:right="1417" w:bottom="1417" w:left="1417" w:header="708" w:footer="708" w:gutter="0"/>
          <w:cols w:space="708"/>
          <w:docGrid w:linePitch="360"/>
        </w:sectPr>
      </w:pPr>
    </w:p>
    <w:p w:rsidR="00AC7099" w:rsidRPr="001F1B43" w:rsidP="00AC7099">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3.1.3 </w:t>
      </w: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rsidR="00AC7099" w:rsidP="00AC7099">
      <w:pPr>
        <w:spacing w:after="0"/>
        <w:jc w:val="both"/>
        <w:rPr>
          <w:rFonts w:ascii="Times New Roman" w:eastAsia="Calibri" w:hAnsi="Times New Roman" w:cs="Times New Roman"/>
          <w:i/>
          <w:sz w:val="24"/>
          <w:szCs w:val="24"/>
        </w:rPr>
      </w:pPr>
      <w:r w:rsidRPr="0012469C">
        <w:rPr>
          <w:rFonts w:ascii="Times New Roman" w:eastAsia="Calibri" w:hAnsi="Times New Roman" w:cs="Times New Roman"/>
          <w:i/>
          <w:sz w:val="24"/>
          <w:szCs w:val="24"/>
        </w:rPr>
        <w:t xml:space="preserve">Návrh zákona predpokladá negatívny vplyv na podnikateľské prostredie v súvislosti </w:t>
      </w:r>
      <w:r w:rsidRPr="0012469C">
        <w:rPr>
          <w:rFonts w:ascii="Times New Roman" w:eastAsia="Calibri" w:hAnsi="Times New Roman" w:cs="Times New Roman"/>
          <w:i/>
          <w:sz w:val="24"/>
          <w:szCs w:val="24"/>
        </w:rPr>
        <w:br/>
        <w:t xml:space="preserve">so zavedením nového druhu sankcie pre právnické osoby a fyzické osoby - podnikateľov. </w:t>
      </w:r>
      <w:r w:rsidRPr="0012469C">
        <w:rPr>
          <w:rFonts w:ascii="Times New Roman" w:eastAsia="Times New Roman" w:hAnsi="Times New Roman" w:cs="Times New Roman"/>
          <w:i/>
          <w:sz w:val="24"/>
          <w:szCs w:val="24"/>
          <w:lang w:eastAsia="sk-SK"/>
        </w:rPr>
        <w:t xml:space="preserve">Vzhľadom na skutočnosť, že nemožno odhadnúť, koľko pokút a v akej výške bude Ministerstvo dopravy Slovenskej republiky nútené udeliť, nemožno ani objektívne vyčísliť potenciálne negatívne vplyvy na podnikateľské prostredie. </w:t>
      </w:r>
      <w:r w:rsidRPr="0012469C">
        <w:rPr>
          <w:rFonts w:ascii="Times New Roman" w:eastAsia="Calibri" w:hAnsi="Times New Roman" w:cs="Times New Roman"/>
          <w:i/>
          <w:sz w:val="24"/>
          <w:szCs w:val="24"/>
        </w:rPr>
        <w:t xml:space="preserve">Na základe modelového príkladu možno uviesť expertný odhad, kedy možno predpokladať udelenie pokuty 5 povinným subjektom vo výške </w:t>
      </w:r>
      <w:r w:rsidR="00240945">
        <w:rPr>
          <w:rFonts w:ascii="Times New Roman" w:eastAsia="Calibri" w:hAnsi="Times New Roman" w:cs="Times New Roman"/>
          <w:i/>
          <w:sz w:val="24"/>
          <w:szCs w:val="24"/>
        </w:rPr>
        <w:br/>
        <w:t>33 190</w:t>
      </w:r>
      <w:r w:rsidRPr="0012469C">
        <w:rPr>
          <w:rFonts w:ascii="Times New Roman" w:eastAsia="Calibri" w:hAnsi="Times New Roman" w:cs="Times New Roman"/>
          <w:i/>
          <w:sz w:val="24"/>
          <w:szCs w:val="24"/>
        </w:rPr>
        <w:t xml:space="preserve"> eur, t. j. na základe tohto modelového príkladu by negatívny vplyv na podnikateľské prostredie predstavoval </w:t>
      </w:r>
      <w:r w:rsidR="00240945">
        <w:rPr>
          <w:rFonts w:ascii="Times New Roman" w:eastAsia="Calibri" w:hAnsi="Times New Roman" w:cs="Times New Roman"/>
          <w:i/>
          <w:sz w:val="24"/>
          <w:szCs w:val="24"/>
        </w:rPr>
        <w:t>165 950</w:t>
      </w:r>
      <w:r w:rsidRPr="0012469C">
        <w:rPr>
          <w:rFonts w:ascii="Times New Roman" w:eastAsia="Calibri" w:hAnsi="Times New Roman" w:cs="Times New Roman"/>
          <w:i/>
          <w:sz w:val="24"/>
          <w:szCs w:val="24"/>
        </w:rPr>
        <w:t xml:space="preserve"> eur ročne. Je potrebné však zdôrazniť, že možné negatívne vplyvy na podnikateľské prostredie v súvislosti so zavedením nového druhu sankcie predstavujú priamo ovplyvniteľné náklady, ktorým sa podnikateľské subjekty môžu vyhnúť svojim disciplinovaným správaním v zákonných </w:t>
      </w:r>
      <w:r w:rsidRPr="00A130E8">
        <w:rPr>
          <w:rFonts w:ascii="Times New Roman" w:eastAsia="Calibri" w:hAnsi="Times New Roman" w:cs="Times New Roman"/>
          <w:i/>
          <w:sz w:val="24"/>
          <w:szCs w:val="24"/>
        </w:rPr>
        <w:t xml:space="preserve">medziach; v praxi ide o najmä o dodržiavanie zákonného procesu určovania dopravných značiek a dopravných zariadení, disponovanie v rámci tohto procesu stanoviskom dopravného inšpektorátu, resp. eliminovanie svojvoľných (neoprávnených) zmien v organizácii dopravy v určitej lokalite. </w:t>
      </w:r>
      <w:r w:rsidRPr="00A130E8">
        <w:rPr>
          <w:rFonts w:ascii="Times New Roman" w:hAnsi="Times New Roman" w:cs="Times New Roman"/>
          <w:i/>
          <w:sz w:val="24"/>
          <w:szCs w:val="24"/>
        </w:rPr>
        <w:t>Výška</w:t>
      </w:r>
      <w:r w:rsidRPr="0012469C">
        <w:rPr>
          <w:rFonts w:ascii="Times New Roman" w:hAnsi="Times New Roman" w:cs="Times New Roman"/>
          <w:i/>
          <w:sz w:val="24"/>
          <w:szCs w:val="24"/>
        </w:rPr>
        <w:t xml:space="preserve"> navrhovaných pokút zohľadňuje potrebu pôsobiť na pokutované subjekty tak, aby sa dospelo k požadovanej organizácií cestnej premávky na cestách I. až III. triedy a miestnych cestách na základe odborných požiadaviek Ministerstvu dopravy Slovenskej republiky ako ústredného orgánu štátnej správy pre pozemné komunikácie.</w:t>
      </w:r>
      <w:r>
        <w:rPr>
          <w:rFonts w:ascii="Times New Roman" w:hAnsi="Times New Roman" w:cs="Times New Roman"/>
          <w:i/>
          <w:sz w:val="20"/>
          <w:szCs w:val="20"/>
        </w:rPr>
        <w:t xml:space="preserve"> </w:t>
      </w:r>
    </w:p>
    <w:p w:rsidR="00AC7099" w:rsidP="00AC7099">
      <w:pPr>
        <w:spacing w:after="0"/>
        <w:jc w:val="both"/>
        <w:rPr>
          <w:rFonts w:ascii="Times New Roman" w:eastAsia="Calibri" w:hAnsi="Times New Roman" w:cs="Times New Roman"/>
          <w:i/>
          <w:sz w:val="24"/>
          <w:szCs w:val="24"/>
        </w:rPr>
      </w:pPr>
    </w:p>
    <w:p w:rsidR="00AC7099" w:rsidRPr="002B6EAF" w:rsidP="00AC7099">
      <w:pPr>
        <w:spacing w:after="0"/>
        <w:jc w:val="both"/>
        <w:rPr>
          <w:rFonts w:ascii="Times New Roman" w:eastAsia="Times New Roman" w:hAnsi="Times New Roman" w:cs="Times New Roman"/>
          <w:i/>
          <w:sz w:val="24"/>
          <w:szCs w:val="24"/>
          <w:lang w:eastAsia="sk-SK"/>
        </w:rPr>
      </w:pPr>
    </w:p>
    <w:p w:rsidR="00AC7099" w:rsidRPr="00AF4C79" w:rsidP="00AC7099">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3.1.4 Odôvodnenie</w:t>
      </w:r>
      <w:r w:rsidRPr="00804BC8">
        <w:rPr>
          <w:rFonts w:ascii="Times New Roman" w:eastAsia="Calibri" w:hAnsi="Times New Roman" w:cs="Times New Roman"/>
          <w:b/>
          <w:bCs/>
          <w:i/>
          <w:sz w:val="24"/>
          <w:szCs w:val="24"/>
          <w:u w:val="single"/>
        </w:rPr>
        <w:t xml:space="preserve"> goldplating</w:t>
      </w:r>
      <w:r>
        <w:rPr>
          <w:rFonts w:ascii="Times New Roman" w:eastAsia="Calibri" w:hAnsi="Times New Roman" w:cs="Times New Roman"/>
          <w:b/>
          <w:bCs/>
          <w:i/>
          <w:sz w:val="24"/>
          <w:szCs w:val="24"/>
          <w:u w:val="single"/>
        </w:rPr>
        <w:t xml:space="preserve">u </w:t>
      </w:r>
      <w:r w:rsidRPr="00804BC8">
        <w:rPr>
          <w:rFonts w:ascii="Times New Roman" w:eastAsia="Calibri" w:hAnsi="Times New Roman" w:cs="Times New Roman"/>
          <w:b/>
          <w:bCs/>
          <w:i/>
          <w:sz w:val="24"/>
          <w:szCs w:val="24"/>
          <w:u w:val="single"/>
        </w:rPr>
        <w:t xml:space="preserve">podľa bodu 4 časti III </w:t>
      </w:r>
      <w:r>
        <w:rPr>
          <w:rFonts w:ascii="Times New Roman" w:eastAsia="Calibri" w:hAnsi="Times New Roman" w:cs="Times New Roman"/>
          <w:b/>
          <w:bCs/>
          <w:i/>
          <w:sz w:val="24"/>
          <w:szCs w:val="24"/>
          <w:u w:val="single"/>
        </w:rPr>
        <w:t>jednotnej metodiky a ďalšie d</w:t>
      </w:r>
      <w:r w:rsidRPr="001F1B43">
        <w:rPr>
          <w:rFonts w:ascii="Times New Roman" w:eastAsia="Calibri" w:hAnsi="Times New Roman" w:cs="Times New Roman"/>
          <w:b/>
          <w:bCs/>
          <w:i/>
          <w:sz w:val="24"/>
          <w:szCs w:val="24"/>
          <w:u w:val="single"/>
        </w:rPr>
        <w:t>oplňujúce informácie</w:t>
      </w:r>
      <w:r>
        <w:rPr>
          <w:rStyle w:val="FootnoteReference"/>
          <w:rFonts w:ascii="Times New Roman" w:eastAsia="Calibri" w:hAnsi="Times New Roman" w:cs="Times New Roman"/>
          <w:b/>
          <w:bCs/>
          <w:i/>
          <w:sz w:val="24"/>
          <w:szCs w:val="24"/>
          <w:u w:val="single"/>
        </w:rPr>
        <w:footnoteReference w:id="2"/>
      </w:r>
      <w:r w:rsidRPr="001F1B43">
        <w:rPr>
          <w:rFonts w:ascii="Times New Roman" w:eastAsia="Calibri" w:hAnsi="Times New Roman" w:cs="Times New Roman"/>
          <w:b/>
          <w:bCs/>
          <w:i/>
          <w:sz w:val="24"/>
          <w:szCs w:val="24"/>
          <w:u w:val="single"/>
        </w:rPr>
        <w:t xml:space="preserve"> </w:t>
      </w:r>
    </w:p>
    <w:p w:rsidR="00AC7099" w:rsidP="00AC7099">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AC7099" w:rsidP="00AC7099">
      <w:pPr>
        <w:jc w:val="both"/>
        <w:rPr>
          <w:rFonts w:ascii="Times New Roman" w:eastAsia="Calibri" w:hAnsi="Times New Roman" w:cs="Times New Roman"/>
          <w:b/>
          <w:sz w:val="24"/>
          <w:szCs w:val="24"/>
        </w:rPr>
      </w:pPr>
    </w:p>
    <w:p w:rsidR="00AC7099" w:rsidRPr="001F1B43" w:rsidP="00AC7099">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rsidR="00AC7099" w:rsidRPr="00D8247C" w:rsidP="00AC7099">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w:t>
      </w:r>
    </w:p>
    <w:p w:rsidR="00AC7099" w:rsidRPr="00D8247C" w:rsidP="00AC7099">
      <w:pPr>
        <w:spacing w:after="0"/>
        <w:jc w:val="both"/>
        <w:rPr>
          <w:rFonts w:ascii="Times New Roman" w:eastAsia="Calibri" w:hAnsi="Times New Roman" w:cs="Times New Roman"/>
          <w:i/>
          <w:sz w:val="24"/>
          <w:szCs w:val="24"/>
        </w:rPr>
      </w:pPr>
    </w:p>
    <w:p w:rsidR="00AC7099" w:rsidRPr="00D8247C" w:rsidP="00AC7099">
      <w:pPr>
        <w:spacing w:after="0"/>
        <w:jc w:val="both"/>
        <w:rPr>
          <w:rFonts w:ascii="Times New Roman" w:eastAsia="Calibri" w:hAnsi="Times New Roman" w:cs="Times New Roman"/>
          <w:i/>
          <w:sz w:val="24"/>
          <w:szCs w:val="24"/>
        </w:rPr>
      </w:pPr>
    </w:p>
    <w:p w:rsidR="00AC7099" w:rsidRPr="001F1B43" w:rsidP="00AC7099">
      <w:pPr>
        <w:jc w:val="both"/>
        <w:rPr>
          <w:rFonts w:ascii="Times New Roman" w:eastAsia="Calibri" w:hAnsi="Times New Roman" w:cs="Times New Roman"/>
          <w:b/>
          <w:sz w:val="24"/>
          <w:szCs w:val="24"/>
        </w:rPr>
      </w:pPr>
      <w:bookmarkStart w:id="2" w:name="_Hlk47698091"/>
      <w:r w:rsidRPr="001F1B43">
        <w:rPr>
          <w:rFonts w:ascii="Times New Roman" w:eastAsia="Calibri" w:hAnsi="Times New Roman" w:cs="Times New Roman"/>
          <w:b/>
          <w:sz w:val="24"/>
          <w:szCs w:val="24"/>
        </w:rPr>
        <w:t>3.3 Vplyvy na konkurencieschopnosť a produktivitu</w:t>
      </w:r>
    </w:p>
    <w:bookmarkEnd w:id="2"/>
    <w:p w:rsidR="00AC7099" w:rsidP="00AC709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Návrh zákona nemá vplyv na konkurencieschopnosť a produktivitu. </w:t>
      </w:r>
    </w:p>
    <w:p w:rsidR="00AC7099" w:rsidRPr="00D8247C" w:rsidP="00AC7099">
      <w:pPr>
        <w:spacing w:after="0"/>
        <w:jc w:val="both"/>
        <w:rPr>
          <w:rFonts w:ascii="Times New Roman" w:eastAsia="Calibri" w:hAnsi="Times New Roman" w:cs="Times New Roman"/>
          <w:i/>
          <w:sz w:val="24"/>
          <w:szCs w:val="24"/>
        </w:rPr>
      </w:pPr>
    </w:p>
    <w:p w:rsidR="00AC7099" w:rsidRPr="00D8247C" w:rsidP="00AC7099">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rsidR="00AC7099" w:rsidRPr="00D8247C" w:rsidP="00AC7099">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rsidR="00AC7099" w:rsidRPr="00D8247C" w:rsidP="00AC7099">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richText/>
        </w:sdtPr>
        <w:sdtContent>
          <w:sdt>
            <w:sdtPr>
              <w:rPr>
                <w:rFonts w:ascii="Times New Roman" w:eastAsia="Calibri" w:hAnsi="Times New Roman" w:cs="Times New Roman"/>
                <w:i/>
                <w:sz w:val="24"/>
                <w:szCs w:val="24"/>
              </w:rPr>
              <w:id w:val="1729873660"/>
              <w:richText/>
            </w:sdtPr>
            <w:sdtContent>
              <w:r w:rsidRPr="00D8247C">
                <w:rPr>
                  <w:rFonts w:ascii="Segoe UI Symbol" w:eastAsia="Calibri" w:hAnsi="Segoe UI Symbol" w:cs="Segoe UI Symbol"/>
                  <w:i/>
                  <w:sz w:val="24"/>
                  <w:szCs w:val="24"/>
                </w:rPr>
                <w:t>☐</w:t>
              </w:r>
            </w:sdtContent>
          </w:sdt>
        </w:sdtContent>
      </w:sdt>
      <w:r w:rsidRPr="00D8247C">
        <w:rPr>
          <w:rFonts w:ascii="Times New Roman" w:eastAsia="Calibri" w:hAnsi="Times New Roman" w:cs="Times New Roman"/>
          <w:i/>
          <w:sz w:val="24"/>
          <w:szCs w:val="24"/>
        </w:rPr>
        <w:t xml:space="preserve"> zvyšuje  </w:t>
      </w:r>
      <w:r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richText/>
        </w:sdtPr>
        <w:sdtContent>
          <w:sdt>
            <w:sdtPr>
              <w:rPr>
                <w:rFonts w:ascii="Times New Roman" w:eastAsia="Calibri" w:hAnsi="Times New Roman" w:cs="Times New Roman"/>
                <w:i/>
                <w:sz w:val="24"/>
                <w:szCs w:val="24"/>
              </w:rPr>
              <w:id w:val="-80300261"/>
              <w:richText/>
            </w:sdtPr>
            <w:sdtContent>
              <w:r w:rsidRPr="00AF4C79">
                <w:rPr>
                  <w:rFonts w:ascii="Times New Roman" w:eastAsia="Times New Roman" w:hAnsi="Times New Roman" w:cs="Times New Roman"/>
                  <w:b/>
                  <w:sz w:val="20"/>
                  <w:szCs w:val="20"/>
                  <w:lang w:eastAsia="sk-SK"/>
                </w:rPr>
                <w:t xml:space="preserve"> </w:t>
              </w:r>
              <w:sdt>
                <w:sdtPr>
                  <w:rPr>
                    <w:rFonts w:ascii="Times New Roman" w:eastAsia="Times New Roman" w:hAnsi="Times New Roman" w:cs="Times New Roman"/>
                    <w:b/>
                    <w:sz w:val="20"/>
                    <w:szCs w:val="20"/>
                    <w:lang w:eastAsia="sk-SK"/>
                  </w:rPr>
                  <w:id w:val="-856807125"/>
                  <w14:checkbox>
                    <w14:checked w14:val="1"/>
                    <w14:checkedState w14:val="2612" w14:font="MS Gothic"/>
                    <w14:uncheckedState w14:val="2610" w14:font="MS Gothic"/>
                  </w14:checkbox>
                </w:sdtPr>
                <w:sdtContent>
                  <w:r>
                    <w:rPr>
                      <w:rFonts w:ascii="MS Gothic" w:eastAsia="MS Gothic" w:hAnsi="MS Gothic" w:cs="Times New Roman" w:hint="eastAsia"/>
                      <w:b/>
                      <w:sz w:val="20"/>
                      <w:szCs w:val="20"/>
                      <w:lang w:eastAsia="sk-SK"/>
                    </w:rPr>
                    <w:t>☒</w:t>
                  </w:r>
                </w:sdtContent>
              </w:sdt>
            </w:sdtContent>
          </w:sdt>
        </w:sdtContent>
      </w:sdt>
      <w:r w:rsidRPr="00D8247C">
        <w:rPr>
          <w:rFonts w:ascii="Times New Roman" w:eastAsia="Calibri" w:hAnsi="Times New Roman" w:cs="Times New Roman"/>
          <w:i/>
          <w:sz w:val="24"/>
          <w:szCs w:val="24"/>
        </w:rPr>
        <w:t xml:space="preserve"> nemení</w:t>
      </w:r>
      <w:r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richText/>
        </w:sdtPr>
        <w:sdtContent>
          <w:sdt>
            <w:sdtPr>
              <w:rPr>
                <w:rFonts w:ascii="Times New Roman" w:eastAsia="Calibri" w:hAnsi="Times New Roman" w:cs="Times New Roman"/>
                <w:i/>
                <w:sz w:val="24"/>
                <w:szCs w:val="24"/>
              </w:rPr>
              <w:id w:val="-1706551548"/>
              <w:richText/>
            </w:sdtPr>
            <w:sdtContent>
              <w:r w:rsidRPr="00D8247C">
                <w:rPr>
                  <w:rFonts w:ascii="Segoe UI Symbol" w:eastAsia="Calibri" w:hAnsi="Segoe UI Symbol" w:cs="Segoe UI Symbol"/>
                  <w:i/>
                  <w:sz w:val="24"/>
                  <w:szCs w:val="24"/>
                </w:rPr>
                <w:t>☐</w:t>
              </w:r>
            </w:sdtContent>
          </w:sdt>
        </w:sdtContent>
      </w:sdt>
      <w:r w:rsidRPr="00D8247C">
        <w:rPr>
          <w:rFonts w:ascii="Times New Roman" w:eastAsia="Calibri" w:hAnsi="Times New Roman" w:cs="Times New Roman"/>
          <w:i/>
          <w:sz w:val="24"/>
          <w:szCs w:val="24"/>
        </w:rPr>
        <w:t xml:space="preserve"> znižuje</w:t>
      </w:r>
    </w:p>
    <w:p w:rsidR="00AC7099" w:rsidRPr="00D8247C" w:rsidP="00AC7099">
      <w:pPr>
        <w:spacing w:after="0"/>
        <w:jc w:val="both"/>
        <w:rPr>
          <w:rFonts w:ascii="Times New Roman" w:eastAsia="Calibri" w:hAnsi="Times New Roman" w:cs="Times New Roman"/>
          <w:i/>
          <w:sz w:val="24"/>
          <w:szCs w:val="24"/>
        </w:rPr>
      </w:pPr>
    </w:p>
    <w:p w:rsidR="00AC7099" w:rsidRPr="00D8247C" w:rsidP="00AC7099">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rsidR="00AC7099" w:rsidRPr="00D8247C" w:rsidP="00AC7099">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rsidR="00AC7099" w:rsidRPr="00D8247C" w:rsidP="00AC7099">
      <w:pPr>
        <w:spacing w:after="0"/>
        <w:jc w:val="both"/>
        <w:rPr>
          <w:rFonts w:ascii="Times New Roman" w:eastAsia="Calibri" w:hAnsi="Times New Roman" w:cs="Times New Roman"/>
          <w:i/>
          <w:sz w:val="24"/>
          <w:szCs w:val="24"/>
        </w:rPr>
      </w:pPr>
    </w:p>
    <w:p w:rsidR="00AC7099" w:rsidRPr="00D8247C" w:rsidP="00AC7099">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rsidR="00AC7099" w:rsidRPr="00D8247C" w:rsidP="00AC7099">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richText/>
        </w:sdtPr>
        <w:sdtContent>
          <w:sdt>
            <w:sdtPr>
              <w:rPr>
                <w:rFonts w:ascii="Times New Roman" w:eastAsia="Calibri" w:hAnsi="Times New Roman" w:cs="Times New Roman"/>
                <w:i/>
                <w:sz w:val="24"/>
                <w:szCs w:val="24"/>
              </w:rPr>
              <w:id w:val="825715010"/>
              <w:richText/>
            </w:sdtPr>
            <w:sdtContent>
              <w:r w:rsidRPr="00D8247C">
                <w:rPr>
                  <w:rFonts w:ascii="Segoe UI Symbol" w:eastAsia="Calibri" w:hAnsi="Segoe UI Symbol" w:cs="Segoe UI Symbol"/>
                  <w:i/>
                  <w:sz w:val="24"/>
                  <w:szCs w:val="24"/>
                </w:rPr>
                <w:t>☐</w:t>
              </w:r>
            </w:sdtContent>
          </w:sdt>
        </w:sdtContent>
      </w:sdt>
      <w:r w:rsidRPr="00D8247C">
        <w:rPr>
          <w:rFonts w:ascii="Times New Roman" w:eastAsia="Calibri" w:hAnsi="Times New Roman" w:cs="Times New Roman"/>
          <w:i/>
          <w:sz w:val="24"/>
          <w:szCs w:val="24"/>
        </w:rPr>
        <w:t xml:space="preserve"> zvyšuje  </w:t>
      </w:r>
      <w:r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richText/>
        </w:sdtPr>
        <w:sdtContent>
          <w:sdt>
            <w:sdtPr>
              <w:rPr>
                <w:rFonts w:ascii="Times New Roman" w:eastAsia="Calibri" w:hAnsi="Times New Roman" w:cs="Times New Roman"/>
                <w:i/>
                <w:sz w:val="24"/>
                <w:szCs w:val="24"/>
              </w:rPr>
              <w:id w:val="-1222205104"/>
              <w:richText/>
            </w:sdtPr>
            <w:sdtContent>
              <w:sdt>
                <w:sdtPr>
                  <w:rPr>
                    <w:rFonts w:ascii="Times New Roman" w:eastAsia="Times New Roman" w:hAnsi="Times New Roman" w:cs="Times New Roman"/>
                    <w:b/>
                    <w:sz w:val="20"/>
                    <w:szCs w:val="20"/>
                    <w:lang w:eastAsia="sk-SK"/>
                  </w:rPr>
                  <w:id w:val="-1691295010"/>
                  <w14:checkbox>
                    <w14:checked w14:val="1"/>
                    <w14:checkedState w14:val="2612" w14:font="MS Gothic"/>
                    <w14:uncheckedState w14:val="2610" w14:font="MS Gothic"/>
                  </w14:checkbox>
                </w:sdtPr>
                <w:sdtContent>
                  <w:r>
                    <w:rPr>
                      <w:rFonts w:ascii="MS Gothic" w:eastAsia="MS Gothic" w:hAnsi="MS Gothic" w:cs="Times New Roman" w:hint="eastAsia"/>
                      <w:b/>
                      <w:sz w:val="20"/>
                      <w:szCs w:val="20"/>
                      <w:lang w:eastAsia="sk-SK"/>
                    </w:rPr>
                    <w:t>☒</w:t>
                  </w:r>
                </w:sdtContent>
              </w:sdt>
            </w:sdtContent>
          </w:sdt>
        </w:sdtContent>
      </w:sdt>
      <w:r w:rsidRPr="00D8247C">
        <w:rPr>
          <w:rFonts w:ascii="Times New Roman" w:eastAsia="Calibri" w:hAnsi="Times New Roman" w:cs="Times New Roman"/>
          <w:i/>
          <w:sz w:val="24"/>
          <w:szCs w:val="24"/>
        </w:rPr>
        <w:t xml:space="preserve"> nemení</w:t>
      </w:r>
      <w:r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richText/>
        </w:sdtPr>
        <w:sdtContent>
          <w:sdt>
            <w:sdtPr>
              <w:rPr>
                <w:rFonts w:ascii="Times New Roman" w:eastAsia="Calibri" w:hAnsi="Times New Roman" w:cs="Times New Roman"/>
                <w:i/>
                <w:sz w:val="24"/>
                <w:szCs w:val="24"/>
              </w:rPr>
              <w:id w:val="-623767955"/>
              <w:richText/>
            </w:sdtPr>
            <w:sdtContent>
              <w:r w:rsidRPr="00D8247C">
                <w:rPr>
                  <w:rFonts w:ascii="Segoe UI Symbol" w:eastAsia="Calibri" w:hAnsi="Segoe UI Symbol" w:cs="Segoe UI Symbol"/>
                  <w:i/>
                  <w:sz w:val="24"/>
                  <w:szCs w:val="24"/>
                </w:rPr>
                <w:t>☐</w:t>
              </w:r>
            </w:sdtContent>
          </w:sdt>
        </w:sdtContent>
      </w:sdt>
      <w:r w:rsidRPr="00D8247C">
        <w:rPr>
          <w:rFonts w:ascii="Times New Roman" w:eastAsia="Calibri" w:hAnsi="Times New Roman" w:cs="Times New Roman"/>
          <w:i/>
          <w:sz w:val="24"/>
          <w:szCs w:val="24"/>
        </w:rPr>
        <w:t xml:space="preserve"> znižuje</w:t>
      </w:r>
    </w:p>
    <w:p w:rsidR="00AC7099" w:rsidRPr="00D8247C" w:rsidP="00AC7099">
      <w:pPr>
        <w:spacing w:after="0"/>
        <w:jc w:val="both"/>
        <w:rPr>
          <w:rFonts w:ascii="Times New Roman" w:eastAsia="Calibri" w:hAnsi="Times New Roman" w:cs="Times New Roman"/>
          <w:i/>
          <w:sz w:val="24"/>
          <w:szCs w:val="24"/>
        </w:rPr>
      </w:pPr>
    </w:p>
    <w:p w:rsidR="00AC7099" w:rsidP="00AC7099">
      <w:pPr>
        <w:spacing w:after="0"/>
        <w:jc w:val="both"/>
        <w:rPr>
          <w:rFonts w:ascii="Times New Roman" w:eastAsia="Calibri" w:hAnsi="Times New Roman" w:cs="Times New Roman"/>
          <w:i/>
          <w:sz w:val="24"/>
          <w:szCs w:val="24"/>
        </w:rPr>
      </w:pPr>
    </w:p>
    <w:p w:rsidR="00AC7099" w:rsidRPr="00D8247C" w:rsidP="00AC7099">
      <w:pPr>
        <w:spacing w:after="0"/>
        <w:jc w:val="both"/>
        <w:rPr>
          <w:rFonts w:ascii="Times New Roman" w:eastAsia="Calibri" w:hAnsi="Times New Roman" w:cs="Times New Roman"/>
          <w:i/>
          <w:sz w:val="24"/>
          <w:szCs w:val="24"/>
        </w:rPr>
      </w:pPr>
    </w:p>
    <w:p w:rsidR="00AC7099" w:rsidRPr="001F1B43" w:rsidP="00AC7099">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rsidR="00AC7099" w:rsidRPr="002B6EAF" w:rsidP="00AC7099">
      <w:pPr>
        <w:spacing w:after="0"/>
        <w:jc w:val="both"/>
        <w:rPr>
          <w:rFonts w:ascii="Times New Roman" w:eastAsia="Times New Roman" w:hAnsi="Times New Roman" w:cs="Times New Roman"/>
          <w:i/>
          <w:sz w:val="24"/>
          <w:szCs w:val="24"/>
          <w:lang w:eastAsia="sk-SK"/>
        </w:rPr>
      </w:pPr>
      <w:r>
        <w:rPr>
          <w:rFonts w:ascii="Times New Roman" w:eastAsia="Calibri" w:hAnsi="Times New Roman" w:cs="Times New Roman"/>
          <w:i/>
          <w:sz w:val="24"/>
          <w:szCs w:val="24"/>
        </w:rPr>
        <w:t>-</w:t>
      </w:r>
    </w:p>
    <w:p w:rsidR="00AC7099" w:rsidP="00AC7099">
      <w:pPr>
        <w:spacing w:after="0"/>
        <w:jc w:val="both"/>
        <w:rPr>
          <w:rFonts w:ascii="Times New Roman" w:eastAsia="Calibri" w:hAnsi="Times New Roman" w:cs="Times New Roman"/>
          <w:i/>
          <w:sz w:val="24"/>
          <w:szCs w:val="24"/>
        </w:rPr>
      </w:pPr>
    </w:p>
    <w:p w:rsidR="00AC7099" w:rsidP="00AC7099">
      <w:pPr>
        <w:spacing w:after="0" w:line="240" w:lineRule="auto"/>
        <w:jc w:val="center"/>
        <w:rPr>
          <w:rFonts w:ascii="Times New Roman" w:eastAsia="Times New Roman" w:hAnsi="Times New Roman" w:cs="Times New Roman"/>
          <w:b/>
          <w:sz w:val="28"/>
          <w:szCs w:val="28"/>
          <w:lang w:eastAsia="sk-SK"/>
        </w:rPr>
      </w:pPr>
    </w:p>
    <w:p w:rsidR="00CB3623">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rsidRPr="00AC7099" w:rsidP="00AC7099">
      <w:pPr>
        <w:spacing w:after="0"/>
        <w:jc w:val="center"/>
        <w:rPr>
          <w:rFonts w:ascii="Times New Roman" w:hAnsi="Times New Roman" w:cs="Times New Roman"/>
          <w:b/>
          <w:bCs/>
          <w:color w:val="000000" w:themeColor="text1"/>
          <w:sz w:val="24"/>
          <w:szCs w:val="24"/>
        </w:rPr>
      </w:pPr>
      <w:r w:rsidRPr="00AC7099">
        <w:rPr>
          <w:rFonts w:ascii="Times New Roman" w:hAnsi="Times New Roman" w:cs="Times New Roman"/>
          <w:b/>
          <w:bCs/>
          <w:color w:val="000000" w:themeColor="text1"/>
          <w:sz w:val="24"/>
          <w:szCs w:val="24"/>
        </w:rPr>
        <w:t xml:space="preserve">DOLOŽKA ZLUČITEĽNOSTI </w:t>
      </w:r>
    </w:p>
    <w:p w:rsidR="00AC7099" w:rsidRPr="00AC7099" w:rsidP="00AC7099">
      <w:pPr>
        <w:spacing w:after="0"/>
        <w:jc w:val="center"/>
        <w:rPr>
          <w:rFonts w:ascii="Times New Roman" w:hAnsi="Times New Roman" w:cs="Times New Roman"/>
          <w:b/>
          <w:bCs/>
          <w:color w:val="000000" w:themeColor="text1"/>
          <w:sz w:val="24"/>
          <w:szCs w:val="24"/>
        </w:rPr>
      </w:pPr>
    </w:p>
    <w:p w:rsidR="00AC7099" w:rsidRPr="00AC7099" w:rsidP="00AC7099">
      <w:pPr>
        <w:spacing w:after="0"/>
        <w:jc w:val="center"/>
        <w:rPr>
          <w:rFonts w:ascii="Times New Roman" w:hAnsi="Times New Roman" w:cs="Times New Roman"/>
          <w:b/>
          <w:bCs/>
          <w:color w:val="000000" w:themeColor="text1"/>
          <w:sz w:val="24"/>
          <w:szCs w:val="24"/>
        </w:rPr>
      </w:pPr>
      <w:r w:rsidRPr="00AC7099">
        <w:rPr>
          <w:rFonts w:ascii="Times New Roman" w:hAnsi="Times New Roman" w:cs="Times New Roman"/>
          <w:b/>
          <w:bCs/>
          <w:color w:val="000000" w:themeColor="text1"/>
          <w:sz w:val="24"/>
          <w:szCs w:val="24"/>
        </w:rPr>
        <w:t>právneho predpisu s právom Európskej únie</w:t>
      </w:r>
    </w:p>
    <w:p w:rsidR="00AC7099" w:rsidRPr="00AC7099" w:rsidP="00AC7099">
      <w:pPr>
        <w:spacing w:after="0"/>
        <w:jc w:val="center"/>
        <w:rPr>
          <w:rFonts w:ascii="Times New Roman" w:hAnsi="Times New Roman" w:cs="Times New Roman"/>
          <w:b/>
          <w:bCs/>
          <w:color w:val="000000" w:themeColor="text1"/>
          <w:sz w:val="24"/>
          <w:szCs w:val="24"/>
        </w:rPr>
      </w:pPr>
    </w:p>
    <w:p w:rsidR="00AC7099" w:rsidRPr="00AC7099" w:rsidP="00AC7099">
      <w:pPr>
        <w:spacing w:after="0"/>
        <w:jc w:val="both"/>
        <w:rPr>
          <w:rFonts w:ascii="Times New Roman" w:hAnsi="Times New Roman" w:cs="Times New Roman"/>
          <w:b/>
          <w:bCs/>
          <w:color w:val="000000" w:themeColor="text1"/>
          <w:sz w:val="24"/>
          <w:szCs w:val="24"/>
        </w:rPr>
      </w:pPr>
      <w:r w:rsidRPr="00AC7099">
        <w:rPr>
          <w:rFonts w:ascii="Times New Roman" w:hAnsi="Times New Roman" w:cs="Times New Roman"/>
          <w:b/>
          <w:bCs/>
          <w:color w:val="000000" w:themeColor="text1"/>
          <w:sz w:val="24"/>
          <w:szCs w:val="24"/>
        </w:rPr>
        <w:t xml:space="preserve">1. Navrhovateľ právneho predpisu: </w:t>
      </w:r>
    </w:p>
    <w:p w:rsidR="00AC7099" w:rsidRPr="00AC7099" w:rsidP="00AC7099">
      <w:pPr>
        <w:spacing w:after="0"/>
        <w:jc w:val="both"/>
        <w:rPr>
          <w:rFonts w:ascii="Times New Roman" w:hAnsi="Times New Roman" w:cs="Times New Roman"/>
          <w:color w:val="000000" w:themeColor="text1"/>
          <w:sz w:val="24"/>
          <w:szCs w:val="24"/>
        </w:rPr>
      </w:pPr>
      <w:r w:rsidRPr="00AC7099">
        <w:rPr>
          <w:rFonts w:ascii="Times New Roman" w:hAnsi="Times New Roman" w:cs="Times New Roman"/>
          <w:color w:val="000000" w:themeColor="text1"/>
          <w:sz w:val="24"/>
          <w:szCs w:val="24"/>
        </w:rPr>
        <w:t>Ministerstvo dopravy Slovenskej republiky.</w:t>
      </w:r>
    </w:p>
    <w:p w:rsidR="00AC7099" w:rsidRPr="00AC7099" w:rsidP="00AC7099">
      <w:pPr>
        <w:spacing w:after="0"/>
        <w:jc w:val="both"/>
        <w:rPr>
          <w:rFonts w:ascii="Times New Roman" w:hAnsi="Times New Roman" w:cs="Times New Roman"/>
          <w:color w:val="000000" w:themeColor="text1"/>
          <w:sz w:val="24"/>
          <w:szCs w:val="24"/>
        </w:rPr>
      </w:pPr>
    </w:p>
    <w:p w:rsidR="00AC7099" w:rsidRPr="00AC7099" w:rsidP="00AC7099">
      <w:pPr>
        <w:numPr>
          <w:ilvl w:val="0"/>
          <w:numId w:val="5"/>
        </w:numPr>
        <w:tabs>
          <w:tab w:val="num" w:pos="284"/>
          <w:tab w:val="num" w:pos="567"/>
          <w:tab w:val="clear" w:pos="720"/>
        </w:tabs>
        <w:spacing w:after="0" w:line="240" w:lineRule="auto"/>
        <w:ind w:hanging="720"/>
        <w:jc w:val="both"/>
        <w:rPr>
          <w:rFonts w:ascii="Times New Roman" w:hAnsi="Times New Roman" w:cs="Times New Roman"/>
          <w:b/>
          <w:bCs/>
          <w:color w:val="000000" w:themeColor="text1"/>
          <w:sz w:val="24"/>
          <w:szCs w:val="24"/>
        </w:rPr>
      </w:pPr>
      <w:r w:rsidRPr="00AC7099">
        <w:rPr>
          <w:rFonts w:ascii="Times New Roman" w:hAnsi="Times New Roman" w:cs="Times New Roman"/>
          <w:b/>
          <w:bCs/>
          <w:color w:val="000000" w:themeColor="text1"/>
          <w:sz w:val="24"/>
          <w:szCs w:val="24"/>
        </w:rPr>
        <w:t>Názov návrhu právneho predpisu:</w:t>
      </w:r>
    </w:p>
    <w:p w:rsidR="00AC7099" w:rsidRPr="00AC7099" w:rsidP="00AC7099">
      <w:pPr>
        <w:spacing w:after="0"/>
        <w:jc w:val="both"/>
        <w:rPr>
          <w:rFonts w:ascii="Times New Roman" w:hAnsi="Times New Roman" w:cs="Times New Roman"/>
          <w:color w:val="000000"/>
          <w:sz w:val="24"/>
          <w:szCs w:val="24"/>
        </w:rPr>
      </w:pPr>
      <w:r w:rsidRPr="00AC7099">
        <w:rPr>
          <w:rFonts w:ascii="Times New Roman" w:hAnsi="Times New Roman" w:cs="Times New Roman"/>
          <w:color w:val="000000"/>
          <w:sz w:val="24"/>
          <w:szCs w:val="24"/>
        </w:rPr>
        <w:t xml:space="preserve">Návrh zákona, ktorým sa mení a dopĺňa zákon č. 135/1961 Zb. o pozemných komunikáciách (cestný zákon) v znení neskorších predpisov. </w:t>
      </w:r>
    </w:p>
    <w:p w:rsidR="00AC7099" w:rsidRPr="00AC7099" w:rsidP="00AC7099">
      <w:pPr>
        <w:spacing w:after="0"/>
        <w:jc w:val="both"/>
        <w:rPr>
          <w:rFonts w:ascii="Times New Roman" w:hAnsi="Times New Roman" w:cs="Times New Roman"/>
          <w:color w:val="000000" w:themeColor="text1"/>
        </w:rPr>
      </w:pPr>
    </w:p>
    <w:p w:rsidR="00AC7099" w:rsidRPr="00AC7099" w:rsidP="00AC7099">
      <w:pPr>
        <w:spacing w:after="0"/>
        <w:jc w:val="both"/>
        <w:rPr>
          <w:rFonts w:ascii="Times New Roman" w:eastAsia="SimSun" w:hAnsi="Times New Roman" w:cs="Times New Roman"/>
          <w:color w:val="000000" w:themeColor="text1"/>
          <w:sz w:val="24"/>
          <w:szCs w:val="24"/>
          <w:lang w:eastAsia="zh-CN"/>
        </w:rPr>
      </w:pPr>
      <w:r w:rsidRPr="00AC7099">
        <w:rPr>
          <w:rFonts w:ascii="Times New Roman" w:eastAsia="SimSun" w:hAnsi="Times New Roman" w:cs="Times New Roman"/>
          <w:b/>
          <w:color w:val="000000" w:themeColor="text1"/>
          <w:sz w:val="24"/>
          <w:szCs w:val="24"/>
          <w:lang w:eastAsia="zh-CN"/>
        </w:rPr>
        <w:t>3.      Predmet návrhu zákona je upravený v práve Európskej únie:</w:t>
      </w:r>
    </w:p>
    <w:p w:rsidR="00AC7099" w:rsidRPr="00AC7099" w:rsidP="00AC7099">
      <w:pPr>
        <w:spacing w:after="0"/>
        <w:jc w:val="both"/>
        <w:rPr>
          <w:rFonts w:ascii="Times New Roman" w:eastAsia="SimSun" w:hAnsi="Times New Roman" w:cs="Times New Roman"/>
          <w:color w:val="000000" w:themeColor="text1"/>
          <w:sz w:val="24"/>
          <w:szCs w:val="24"/>
        </w:rPr>
      </w:pPr>
      <w:r w:rsidRPr="00AC7099">
        <w:rPr>
          <w:rFonts w:ascii="Times New Roman" w:eastAsia="SimSun" w:hAnsi="Times New Roman" w:cs="Times New Roman"/>
          <w:color w:val="000000" w:themeColor="text1"/>
          <w:sz w:val="24"/>
          <w:szCs w:val="24"/>
          <w:lang w:eastAsia="zh-CN"/>
        </w:rPr>
        <w:t xml:space="preserve">a)      </w:t>
      </w:r>
      <w:r w:rsidRPr="00AC7099">
        <w:rPr>
          <w:rFonts w:ascii="Times New Roman" w:eastAsia="SimSun" w:hAnsi="Times New Roman" w:cs="Times New Roman"/>
          <w:color w:val="000000" w:themeColor="text1"/>
          <w:sz w:val="24"/>
          <w:szCs w:val="24"/>
        </w:rPr>
        <w:t>v primárnom práve:  </w:t>
      </w:r>
    </w:p>
    <w:p w:rsidR="00AC7099" w:rsidRPr="00AC7099" w:rsidP="00AC7099">
      <w:pPr>
        <w:numPr>
          <w:ilvl w:val="0"/>
          <w:numId w:val="6"/>
        </w:numPr>
        <w:tabs>
          <w:tab w:val="num" w:pos="644"/>
          <w:tab w:val="clear" w:pos="720"/>
        </w:tabs>
        <w:spacing w:after="0" w:line="240" w:lineRule="auto"/>
        <w:ind w:left="644"/>
        <w:jc w:val="both"/>
        <w:rPr>
          <w:rFonts w:ascii="Times New Roman" w:eastAsia="SimSun" w:hAnsi="Times New Roman" w:cs="Times New Roman"/>
          <w:color w:val="000000" w:themeColor="text1"/>
          <w:sz w:val="24"/>
          <w:szCs w:val="24"/>
        </w:rPr>
      </w:pPr>
      <w:r w:rsidRPr="00AC7099">
        <w:rPr>
          <w:rFonts w:ascii="Times New Roman" w:eastAsia="SimSun" w:hAnsi="Times New Roman" w:cs="Times New Roman"/>
          <w:color w:val="000000" w:themeColor="text1"/>
          <w:sz w:val="24"/>
          <w:szCs w:val="24"/>
        </w:rPr>
        <w:t xml:space="preserve">v čl. 4 a čl. 90 - 100 Zmluvy o fungovaní Európskej únie </w:t>
      </w:r>
    </w:p>
    <w:p w:rsidR="00AC7099" w:rsidRPr="00AC7099" w:rsidP="00AC7099">
      <w:pPr>
        <w:spacing w:after="0"/>
        <w:jc w:val="both"/>
        <w:rPr>
          <w:rFonts w:ascii="Times New Roman" w:eastAsia="SimSun" w:hAnsi="Times New Roman" w:cs="Times New Roman"/>
          <w:color w:val="000000" w:themeColor="text1"/>
          <w:sz w:val="24"/>
          <w:szCs w:val="24"/>
        </w:rPr>
      </w:pPr>
    </w:p>
    <w:p w:rsidR="00AC7099" w:rsidRPr="00AC7099" w:rsidP="00AC7099">
      <w:pPr>
        <w:spacing w:after="0"/>
        <w:jc w:val="both"/>
        <w:rPr>
          <w:rFonts w:ascii="Times New Roman" w:eastAsia="SimSun" w:hAnsi="Times New Roman" w:cs="Times New Roman"/>
          <w:color w:val="000000" w:themeColor="text1"/>
          <w:sz w:val="24"/>
          <w:szCs w:val="24"/>
        </w:rPr>
      </w:pPr>
      <w:r w:rsidRPr="00AC7099">
        <w:rPr>
          <w:rFonts w:ascii="Times New Roman" w:eastAsia="SimSun" w:hAnsi="Times New Roman" w:cs="Times New Roman"/>
          <w:color w:val="000000" w:themeColor="text1"/>
          <w:sz w:val="24"/>
          <w:szCs w:val="24"/>
        </w:rPr>
        <w:t xml:space="preserve">b)      v sekundárnom práve: </w:t>
      </w:r>
    </w:p>
    <w:p w:rsidR="00AC7099" w:rsidRPr="00AC7099" w:rsidP="00AC7099">
      <w:pPr>
        <w:spacing w:after="0"/>
        <w:ind w:left="426" w:firstLine="141"/>
        <w:contextualSpacing/>
        <w:jc w:val="both"/>
        <w:rPr>
          <w:rFonts w:ascii="Times New Roman" w:eastAsia="SimSun" w:hAnsi="Times New Roman" w:cs="Times New Roman"/>
          <w:color w:val="000000" w:themeColor="text1"/>
          <w:sz w:val="24"/>
          <w:szCs w:val="24"/>
        </w:rPr>
      </w:pPr>
      <w:r w:rsidRPr="00AC7099">
        <w:rPr>
          <w:rFonts w:ascii="Times New Roman" w:hAnsi="Times New Roman" w:cs="Times New Roman"/>
          <w:color w:val="000000" w:themeColor="text1"/>
          <w:sz w:val="24"/>
          <w:szCs w:val="24"/>
          <w:shd w:val="clear" w:color="auto" w:fill="FFFFFF"/>
        </w:rPr>
        <w:t>- bezpredmetné</w:t>
      </w:r>
    </w:p>
    <w:p w:rsidR="00AC7099" w:rsidRPr="00AC7099" w:rsidP="00AC7099">
      <w:pPr>
        <w:spacing w:after="0"/>
        <w:ind w:left="480" w:hanging="480"/>
        <w:jc w:val="both"/>
        <w:rPr>
          <w:rFonts w:ascii="Times New Roman" w:eastAsia="SimSun" w:hAnsi="Times New Roman" w:cs="Times New Roman"/>
          <w:color w:val="000000" w:themeColor="text1"/>
          <w:sz w:val="24"/>
          <w:szCs w:val="24"/>
        </w:rPr>
      </w:pPr>
    </w:p>
    <w:p w:rsidR="00AC7099" w:rsidRPr="00AC7099" w:rsidP="00AC7099">
      <w:pPr>
        <w:spacing w:after="0"/>
        <w:ind w:left="480" w:hanging="480"/>
        <w:jc w:val="both"/>
        <w:rPr>
          <w:rFonts w:ascii="Times New Roman" w:eastAsia="SimSun" w:hAnsi="Times New Roman" w:cs="Times New Roman"/>
          <w:color w:val="000000" w:themeColor="text1"/>
          <w:sz w:val="24"/>
          <w:szCs w:val="24"/>
        </w:rPr>
      </w:pPr>
      <w:r w:rsidRPr="00AC7099">
        <w:rPr>
          <w:rFonts w:ascii="Times New Roman" w:eastAsia="SimSun" w:hAnsi="Times New Roman" w:cs="Times New Roman"/>
          <w:color w:val="000000" w:themeColor="text1"/>
          <w:sz w:val="24"/>
          <w:szCs w:val="24"/>
        </w:rPr>
        <w:t>c)       v judikatúre Súdneho dvora Európskej únie:</w:t>
      </w:r>
    </w:p>
    <w:p w:rsidR="00AC7099" w:rsidRPr="00AC7099" w:rsidP="00AC7099">
      <w:pPr>
        <w:spacing w:after="0"/>
        <w:ind w:left="480" w:hanging="480"/>
        <w:jc w:val="both"/>
        <w:rPr>
          <w:rFonts w:ascii="Times New Roman" w:eastAsia="SimSun" w:hAnsi="Times New Roman" w:cs="Times New Roman"/>
          <w:color w:val="000000" w:themeColor="text1"/>
          <w:sz w:val="24"/>
          <w:szCs w:val="24"/>
        </w:rPr>
      </w:pPr>
      <w:r w:rsidRPr="00AC7099">
        <w:rPr>
          <w:rFonts w:ascii="Times New Roman" w:eastAsia="SimSun" w:hAnsi="Times New Roman" w:cs="Times New Roman"/>
          <w:color w:val="000000" w:themeColor="text1"/>
          <w:sz w:val="24"/>
          <w:szCs w:val="24"/>
        </w:rPr>
        <w:tab/>
        <w:t>-  bezpredmetné</w:t>
      </w:r>
    </w:p>
    <w:p w:rsidR="00AC7099" w:rsidRPr="00AC7099" w:rsidP="00AC7099">
      <w:pPr>
        <w:spacing w:after="0"/>
        <w:jc w:val="both"/>
        <w:rPr>
          <w:rFonts w:ascii="Times New Roman" w:hAnsi="Times New Roman" w:cs="Times New Roman"/>
          <w:color w:val="000000" w:themeColor="text1"/>
          <w:sz w:val="24"/>
          <w:szCs w:val="24"/>
        </w:rPr>
      </w:pPr>
    </w:p>
    <w:p w:rsidR="00AC7099" w:rsidRPr="00AC7099" w:rsidP="00AC7099">
      <w:pPr>
        <w:spacing w:after="0"/>
        <w:rPr>
          <w:rFonts w:ascii="Times New Roman" w:hAnsi="Times New Roman" w:cs="Times New Roman"/>
          <w:b/>
          <w:caps/>
          <w:color w:val="000000" w:themeColor="text1"/>
          <w:spacing w:val="30"/>
          <w:sz w:val="24"/>
          <w:szCs w:val="24"/>
        </w:rPr>
      </w:pPr>
    </w:p>
    <w:p w:rsidR="00AC7099" w:rsidRPr="00AC7099" w:rsidP="00AC7099">
      <w:pPr>
        <w:tabs>
          <w:tab w:val="left" w:pos="360"/>
        </w:tabs>
        <w:spacing w:after="0"/>
        <w:jc w:val="both"/>
        <w:rPr>
          <w:rFonts w:ascii="Times New Roman" w:hAnsi="Times New Roman" w:cs="Times New Roman"/>
          <w:b/>
          <w:sz w:val="24"/>
          <w:szCs w:val="24"/>
        </w:rPr>
      </w:pPr>
      <w:r w:rsidRPr="00AC7099">
        <w:rPr>
          <w:rFonts w:ascii="Times New Roman" w:hAnsi="Times New Roman" w:cs="Times New Roman"/>
          <w:b/>
          <w:sz w:val="24"/>
          <w:szCs w:val="24"/>
        </w:rPr>
        <w:t xml:space="preserve">Vzhľadom na vnútroštátny charakter navrhovaného právneho predpisu je bezpredmetné  vyjadrovať sa k bodom 4. a 5. doložky zlučiteľnosti.    </w:t>
      </w:r>
    </w:p>
    <w:p w:rsidR="00AC7099" w:rsidRPr="005F5E1E" w:rsidP="00AC7099">
      <w:pPr>
        <w:jc w:val="cente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pPr>
        <w:rPr>
          <w:color w:val="000000" w:themeColor="text1"/>
        </w:rPr>
      </w:pPr>
    </w:p>
    <w:p w:rsidR="00AC7099" w:rsidRPr="00AC7099" w:rsidP="00AC7099">
      <w:pPr>
        <w:spacing w:after="0"/>
        <w:rPr>
          <w:rFonts w:ascii="Times New Roman" w:hAnsi="Times New Roman" w:cs="Times New Roman"/>
          <w:b/>
          <w:color w:val="000000" w:themeColor="text1"/>
          <w:sz w:val="24"/>
          <w:szCs w:val="24"/>
        </w:rPr>
      </w:pPr>
      <w:r w:rsidRPr="00AC7099">
        <w:rPr>
          <w:rFonts w:ascii="Times New Roman" w:hAnsi="Times New Roman" w:cs="Times New Roman"/>
          <w:b/>
          <w:color w:val="000000" w:themeColor="text1"/>
          <w:sz w:val="24"/>
          <w:szCs w:val="24"/>
        </w:rPr>
        <w:t>B. Osobitná časť</w:t>
      </w:r>
    </w:p>
    <w:p w:rsidR="00AC7099" w:rsidRPr="00AC7099" w:rsidP="00AC7099">
      <w:pPr>
        <w:spacing w:after="0"/>
        <w:rPr>
          <w:rFonts w:ascii="Times New Roman" w:hAnsi="Times New Roman" w:cs="Times New Roman"/>
          <w:b/>
          <w:color w:val="000000" w:themeColor="text1"/>
          <w:sz w:val="24"/>
          <w:szCs w:val="24"/>
        </w:rPr>
      </w:pPr>
    </w:p>
    <w:p w:rsidR="00AC7099" w:rsidRPr="00AC7099" w:rsidP="00AC7099">
      <w:pPr>
        <w:spacing w:after="0"/>
        <w:rPr>
          <w:rFonts w:ascii="Times New Roman" w:hAnsi="Times New Roman" w:cs="Times New Roman"/>
          <w:b/>
          <w:color w:val="000000" w:themeColor="text1"/>
          <w:sz w:val="24"/>
          <w:szCs w:val="24"/>
        </w:rPr>
      </w:pPr>
      <w:r w:rsidRPr="00AC7099">
        <w:rPr>
          <w:rFonts w:ascii="Times New Roman" w:hAnsi="Times New Roman" w:cs="Times New Roman"/>
          <w:b/>
          <w:color w:val="000000" w:themeColor="text1"/>
          <w:sz w:val="24"/>
          <w:szCs w:val="24"/>
        </w:rPr>
        <w:t>K čl. I</w:t>
      </w:r>
    </w:p>
    <w:p w:rsidR="00AC7099" w:rsidRPr="00AC7099" w:rsidP="00AC7099">
      <w:pPr>
        <w:spacing w:after="0"/>
        <w:jc w:val="both"/>
        <w:rPr>
          <w:rFonts w:ascii="Times New Roman" w:hAnsi="Times New Roman" w:cs="Times New Roman"/>
          <w:bCs/>
          <w:iCs/>
          <w:color w:val="000000" w:themeColor="text1"/>
          <w:sz w:val="24"/>
          <w:szCs w:val="24"/>
        </w:rPr>
      </w:pPr>
    </w:p>
    <w:p w:rsidR="00AC7099" w:rsidRPr="00AC7099" w:rsidP="00AC7099">
      <w:pPr>
        <w:spacing w:after="0"/>
        <w:jc w:val="both"/>
        <w:rPr>
          <w:rFonts w:ascii="Times New Roman" w:hAnsi="Times New Roman" w:cs="Times New Roman"/>
          <w:bCs/>
          <w:iCs/>
          <w:color w:val="000000" w:themeColor="text1"/>
          <w:sz w:val="24"/>
          <w:szCs w:val="24"/>
          <w:u w:val="single"/>
        </w:rPr>
      </w:pPr>
      <w:r w:rsidRPr="00AC7099">
        <w:rPr>
          <w:rFonts w:ascii="Times New Roman" w:hAnsi="Times New Roman" w:cs="Times New Roman"/>
          <w:bCs/>
          <w:iCs/>
          <w:color w:val="000000" w:themeColor="text1"/>
          <w:sz w:val="24"/>
          <w:szCs w:val="24"/>
          <w:u w:val="single"/>
        </w:rPr>
        <w:t xml:space="preserve">K čl. I bodu 1 </w:t>
      </w:r>
    </w:p>
    <w:p w:rsidR="00AC7099" w:rsidRPr="00AC7099" w:rsidP="00AC7099">
      <w:pPr>
        <w:spacing w:after="0"/>
        <w:jc w:val="both"/>
        <w:rPr>
          <w:rFonts w:ascii="Times New Roman" w:hAnsi="Times New Roman" w:cs="Times New Roman"/>
          <w:bCs/>
          <w:iCs/>
          <w:color w:val="000000" w:themeColor="text1"/>
          <w:sz w:val="24"/>
          <w:szCs w:val="24"/>
        </w:rPr>
      </w:pPr>
      <w:r w:rsidRPr="00AC7099">
        <w:rPr>
          <w:rFonts w:ascii="Times New Roman" w:hAnsi="Times New Roman" w:cs="Times New Roman"/>
          <w:bCs/>
          <w:iCs/>
          <w:color w:val="000000" w:themeColor="text1"/>
          <w:sz w:val="24"/>
          <w:szCs w:val="24"/>
        </w:rPr>
        <w:t xml:space="preserve">S cieľom rozšíriť dozornú právomoc ministerstva sa ustanovuje, že tento ústredný orgán štátnej správy je oprávnený vykonať štátny odborný dozor nad cestami I. až III. triedy a miestnymi cestami, a to v prípade, ak to vyžaduje verejný záujem alebo ide o osobitné okolnosti. V praxi môže ísť predovšetkým o kontrolu zmien organizácie dopravy, ktoré môžu negatívne ovplyvniť plynulosť a bezpečnosť cestnej premávky s nežiaducimi socio-ekonomickými vplyvmi </w:t>
      </w:r>
      <w:r w:rsidRPr="00AC7099">
        <w:rPr>
          <w:rFonts w:ascii="Times New Roman" w:hAnsi="Times New Roman" w:cs="Times New Roman"/>
          <w:bCs/>
          <w:iCs/>
          <w:color w:val="000000" w:themeColor="text1"/>
          <w:sz w:val="24"/>
          <w:szCs w:val="24"/>
        </w:rPr>
        <w:br/>
        <w:t>na určitý región. Podnet na vykonanie tohto druhu odborného dozoru vyhodnocuje samotné ministerstvo a na jeho vykonanie nie je právny nárok.</w:t>
      </w:r>
    </w:p>
    <w:p w:rsidR="00AC7099" w:rsidRPr="00AC7099" w:rsidP="00AC7099">
      <w:pPr>
        <w:spacing w:after="0"/>
        <w:jc w:val="both"/>
        <w:rPr>
          <w:rFonts w:ascii="Times New Roman" w:hAnsi="Times New Roman" w:cs="Times New Roman"/>
          <w:bCs/>
          <w:iCs/>
          <w:color w:val="000000" w:themeColor="text1"/>
          <w:sz w:val="24"/>
          <w:szCs w:val="24"/>
        </w:rPr>
      </w:pPr>
    </w:p>
    <w:p w:rsidR="00AC7099" w:rsidRPr="00AC7099" w:rsidP="00AC7099">
      <w:pPr>
        <w:spacing w:after="0"/>
        <w:jc w:val="both"/>
        <w:rPr>
          <w:rFonts w:ascii="Times New Roman" w:hAnsi="Times New Roman" w:cs="Times New Roman"/>
          <w:bCs/>
          <w:iCs/>
          <w:color w:val="000000" w:themeColor="text1"/>
          <w:sz w:val="24"/>
          <w:szCs w:val="24"/>
          <w:u w:val="single"/>
        </w:rPr>
      </w:pPr>
      <w:r w:rsidRPr="00AC7099">
        <w:rPr>
          <w:rFonts w:ascii="Times New Roman" w:hAnsi="Times New Roman" w:cs="Times New Roman"/>
          <w:bCs/>
          <w:iCs/>
          <w:color w:val="000000" w:themeColor="text1"/>
          <w:sz w:val="24"/>
          <w:szCs w:val="24"/>
          <w:u w:val="single"/>
        </w:rPr>
        <w:t>K čl. I bodom 2 až 4</w:t>
      </w:r>
    </w:p>
    <w:p w:rsidR="00AC7099" w:rsidRPr="00AC7099" w:rsidP="00AC7099">
      <w:pPr>
        <w:spacing w:after="0"/>
        <w:jc w:val="both"/>
        <w:rPr>
          <w:rStyle w:val="PlaceholderText"/>
          <w:bCs/>
          <w:iCs/>
          <w:color w:val="000000" w:themeColor="text1"/>
          <w:sz w:val="24"/>
          <w:szCs w:val="24"/>
        </w:rPr>
      </w:pPr>
      <w:r w:rsidRPr="00AC7099">
        <w:rPr>
          <w:rFonts w:ascii="Times New Roman" w:hAnsi="Times New Roman" w:cs="Times New Roman"/>
          <w:bCs/>
          <w:iCs/>
          <w:color w:val="000000" w:themeColor="text1"/>
          <w:sz w:val="24"/>
          <w:szCs w:val="24"/>
        </w:rPr>
        <w:t xml:space="preserve">Ustanovuje sa, že ak ministerstvom uložené opatrenie na základe vykonaného štátneho odborného dozoru nie je plnené, ministerstvo je oprávnené uložiť pokutu a zároveň dochádza k úprave súvisiacich ustanovení. </w:t>
      </w:r>
      <w:r w:rsidRPr="00AC7099">
        <w:rPr>
          <w:rFonts w:ascii="Times New Roman" w:hAnsi="Times New Roman" w:cs="Times New Roman"/>
          <w:sz w:val="24"/>
          <w:szCs w:val="24"/>
        </w:rPr>
        <w:t xml:space="preserve">Výška navrhovaných pokút zohľadňuje potrebu pôsobiť </w:t>
      </w:r>
      <w:r w:rsidRPr="00AC7099">
        <w:rPr>
          <w:rFonts w:ascii="Times New Roman" w:hAnsi="Times New Roman" w:cs="Times New Roman"/>
          <w:sz w:val="24"/>
          <w:szCs w:val="24"/>
        </w:rPr>
        <w:br/>
        <w:t xml:space="preserve">na pokutované subjekty tak, aby sa dospelo k požadovanej organizácií cestnej premávky </w:t>
      </w:r>
      <w:r w:rsidRPr="00AC7099">
        <w:rPr>
          <w:rFonts w:ascii="Times New Roman" w:hAnsi="Times New Roman" w:cs="Times New Roman"/>
          <w:sz w:val="24"/>
          <w:szCs w:val="24"/>
        </w:rPr>
        <w:br/>
        <w:t>na cestách I. až III. triedy a miestnych cestách na základe odborných požiadaviek Ministerstva dopravy Slovenskej republiky ako ústredného orgánu štátnej správy pre pozemné komunikácie.</w:t>
      </w:r>
      <w:r w:rsidRPr="00AC7099">
        <w:rPr>
          <w:rFonts w:ascii="Times New Roman" w:hAnsi="Times New Roman" w:cs="Times New Roman"/>
          <w:i/>
          <w:sz w:val="24"/>
          <w:szCs w:val="24"/>
        </w:rPr>
        <w:t xml:space="preserve"> </w:t>
      </w:r>
      <w:r w:rsidRPr="00AC7099">
        <w:rPr>
          <w:rFonts w:ascii="Times New Roman" w:hAnsi="Times New Roman" w:cs="Times New Roman"/>
          <w:bCs/>
          <w:iCs/>
          <w:color w:val="000000" w:themeColor="text1"/>
          <w:sz w:val="24"/>
          <w:szCs w:val="24"/>
        </w:rPr>
        <w:t xml:space="preserve">V záujme dosiahnutia včasnej nápravy sa ustanovuje, že odvolanie proti rozhodnutiu o udelení pokuty nemá odkladný účinok, pričom proti opakovanej pokute sa odvolať nemožno. </w:t>
      </w:r>
    </w:p>
    <w:p w:rsidR="00AC7099" w:rsidRPr="00AC7099" w:rsidP="00AC7099">
      <w:pPr>
        <w:spacing w:after="0"/>
        <w:jc w:val="both"/>
        <w:rPr>
          <w:rStyle w:val="PlaceholderText"/>
          <w:rFonts w:eastAsiaTheme="majorEastAsia"/>
          <w:b/>
          <w:color w:val="000000" w:themeColor="text1"/>
          <w:sz w:val="24"/>
          <w:szCs w:val="24"/>
          <w:highlight w:val="yellow"/>
          <w:u w:val="single"/>
        </w:rPr>
      </w:pPr>
    </w:p>
    <w:p w:rsidR="00AC7099" w:rsidRPr="00AC7099" w:rsidP="00AC7099">
      <w:pPr>
        <w:spacing w:after="0"/>
        <w:jc w:val="both"/>
        <w:rPr>
          <w:rStyle w:val="PlaceholderText"/>
          <w:rFonts w:eastAsiaTheme="majorEastAsia"/>
          <w:b/>
          <w:color w:val="000000" w:themeColor="text1"/>
          <w:sz w:val="24"/>
          <w:szCs w:val="24"/>
        </w:rPr>
      </w:pPr>
      <w:r w:rsidRPr="00AC7099">
        <w:rPr>
          <w:rStyle w:val="PlaceholderText"/>
          <w:rFonts w:eastAsiaTheme="majorEastAsia"/>
          <w:b/>
          <w:color w:val="000000" w:themeColor="text1"/>
          <w:sz w:val="24"/>
          <w:szCs w:val="24"/>
        </w:rPr>
        <w:t>K čl. II</w:t>
      </w:r>
    </w:p>
    <w:p w:rsidR="00AC7099" w:rsidP="00AC7099">
      <w:pPr>
        <w:spacing w:after="0"/>
        <w:jc w:val="both"/>
        <w:rPr>
          <w:rFonts w:ascii="Times New Roman" w:hAnsi="Times New Roman" w:eastAsiaTheme="majorEastAsia" w:cs="Times New Roman"/>
          <w:color w:val="000000" w:themeColor="text1"/>
          <w:sz w:val="24"/>
          <w:szCs w:val="24"/>
        </w:rPr>
      </w:pPr>
      <w:r w:rsidRPr="00AC7099">
        <w:rPr>
          <w:rStyle w:val="PlaceholderText"/>
          <w:rFonts w:eastAsiaTheme="majorEastAsia"/>
          <w:color w:val="000000" w:themeColor="text1"/>
          <w:sz w:val="24"/>
          <w:szCs w:val="24"/>
        </w:rPr>
        <w:t>Ustanovuje sa účinnosť zákona 1. júla 2024.</w:t>
      </w:r>
    </w:p>
    <w:p w:rsidR="00AC7099" w:rsidRPr="00AC7099" w:rsidP="00AC7099">
      <w:pPr>
        <w:spacing w:after="0"/>
        <w:jc w:val="both"/>
        <w:rPr>
          <w:rFonts w:ascii="Times New Roman" w:hAnsi="Times New Roman" w:eastAsiaTheme="majorEastAsia" w:cs="Times New Roman"/>
          <w:color w:val="000000" w:themeColor="text1"/>
          <w:sz w:val="24"/>
          <w:szCs w:val="24"/>
        </w:rPr>
      </w:pPr>
    </w:p>
    <w:p w:rsidR="00AC7099" w:rsidRPr="00537D9C" w:rsidP="00AC7099">
      <w:pPr>
        <w:rPr>
          <w:rFonts w:ascii="Times New Roman" w:hAnsi="Times New Roman" w:cs="Times New Roman"/>
          <w:sz w:val="24"/>
          <w:szCs w:val="24"/>
        </w:rPr>
      </w:pPr>
      <w:r>
        <w:rPr>
          <w:rFonts w:ascii="Times New Roman" w:hAnsi="Times New Roman" w:cs="Times New Roman"/>
          <w:sz w:val="24"/>
          <w:szCs w:val="24"/>
        </w:rPr>
        <w:t>Bratislava 20. marca 2024</w:t>
      </w:r>
    </w:p>
    <w:p w:rsidR="00AC7099" w:rsidP="00AC7099">
      <w:pPr>
        <w:rPr>
          <w:sz w:val="24"/>
          <w:szCs w:val="24"/>
        </w:rPr>
      </w:pPr>
    </w:p>
    <w:p w:rsidR="00AC7099" w:rsidP="00AC7099">
      <w:pPr>
        <w:rPr>
          <w:sz w:val="24"/>
          <w:szCs w:val="24"/>
        </w:rPr>
      </w:pPr>
    </w:p>
    <w:p w:rsidR="00AC7099" w:rsidP="00AC7099">
      <w:pPr>
        <w:rPr>
          <w:sz w:val="24"/>
          <w:szCs w:val="24"/>
        </w:rPr>
      </w:pPr>
    </w:p>
    <w:p w:rsidR="00AC7099" w:rsidRPr="00537D9C" w:rsidP="00AC70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Robert Fico</w:t>
      </w:r>
    </w:p>
    <w:p w:rsidR="00AC7099" w:rsidRPr="00537D9C" w:rsidP="00AC7099">
      <w:pPr>
        <w:spacing w:after="0" w:line="240" w:lineRule="auto"/>
        <w:jc w:val="center"/>
        <w:rPr>
          <w:rFonts w:ascii="Times New Roman" w:hAnsi="Times New Roman" w:cs="Times New Roman"/>
          <w:sz w:val="24"/>
          <w:szCs w:val="24"/>
        </w:rPr>
      </w:pPr>
      <w:r w:rsidRPr="00537D9C">
        <w:rPr>
          <w:rFonts w:ascii="Times New Roman" w:hAnsi="Times New Roman" w:cs="Times New Roman"/>
          <w:sz w:val="24"/>
          <w:szCs w:val="24"/>
        </w:rPr>
        <w:t>predseda vlády Slovenskej republiky</w:t>
      </w:r>
    </w:p>
    <w:p w:rsidR="00AC7099" w:rsidRPr="00537D9C" w:rsidP="00AC7099">
      <w:pPr>
        <w:spacing w:after="0" w:line="240" w:lineRule="auto"/>
        <w:rPr>
          <w:rFonts w:ascii="Times New Roman" w:hAnsi="Times New Roman" w:cs="Times New Roman"/>
          <w:sz w:val="24"/>
          <w:szCs w:val="24"/>
        </w:rPr>
      </w:pPr>
    </w:p>
    <w:p w:rsidR="00AC7099" w:rsidRPr="00537D9C" w:rsidP="00AC7099">
      <w:pPr>
        <w:spacing w:after="0" w:line="240" w:lineRule="auto"/>
        <w:rPr>
          <w:rFonts w:ascii="Times New Roman" w:hAnsi="Times New Roman" w:cs="Times New Roman"/>
          <w:sz w:val="24"/>
          <w:szCs w:val="24"/>
        </w:rPr>
      </w:pPr>
    </w:p>
    <w:p w:rsidR="00AC7099" w:rsidRPr="00537D9C" w:rsidP="00AC7099">
      <w:pPr>
        <w:spacing w:after="0" w:line="240" w:lineRule="auto"/>
        <w:rPr>
          <w:rFonts w:ascii="Times New Roman" w:hAnsi="Times New Roman" w:cs="Times New Roman"/>
          <w:sz w:val="24"/>
          <w:szCs w:val="24"/>
        </w:rPr>
      </w:pPr>
    </w:p>
    <w:p w:rsidR="00AC7099" w:rsidRPr="00537D9C" w:rsidP="00AC7099">
      <w:pPr>
        <w:spacing w:after="0" w:line="240" w:lineRule="auto"/>
        <w:rPr>
          <w:rFonts w:ascii="Times New Roman" w:hAnsi="Times New Roman" w:cs="Times New Roman"/>
          <w:sz w:val="24"/>
          <w:szCs w:val="24"/>
        </w:rPr>
      </w:pPr>
    </w:p>
    <w:p w:rsidR="00AC7099" w:rsidRPr="00537D9C" w:rsidP="00AC7099">
      <w:pPr>
        <w:spacing w:after="0" w:line="240" w:lineRule="auto"/>
        <w:rPr>
          <w:rFonts w:ascii="Times New Roman" w:hAnsi="Times New Roman" w:cs="Times New Roman"/>
          <w:sz w:val="24"/>
          <w:szCs w:val="24"/>
        </w:rPr>
      </w:pPr>
    </w:p>
    <w:p w:rsidR="00AC7099" w:rsidRPr="00537D9C" w:rsidP="00AC70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Jozef Ráž</w:t>
      </w:r>
    </w:p>
    <w:p w:rsidR="00AC7099" w:rsidRPr="00537D9C" w:rsidP="00AC7099">
      <w:pPr>
        <w:spacing w:after="0" w:line="240" w:lineRule="auto"/>
        <w:jc w:val="center"/>
        <w:rPr>
          <w:rFonts w:ascii="Times New Roman" w:hAnsi="Times New Roman" w:cs="Times New Roman"/>
          <w:sz w:val="24"/>
          <w:szCs w:val="24"/>
        </w:rPr>
      </w:pPr>
      <w:r w:rsidRPr="00537D9C">
        <w:rPr>
          <w:rFonts w:ascii="Times New Roman" w:hAnsi="Times New Roman" w:cs="Times New Roman"/>
          <w:sz w:val="24"/>
          <w:szCs w:val="24"/>
        </w:rPr>
        <w:t xml:space="preserve">minister dopravy </w:t>
      </w:r>
    </w:p>
    <w:p w:rsidR="00AC7099" w:rsidRPr="00537D9C" w:rsidP="00AC7099">
      <w:pPr>
        <w:spacing w:after="0" w:line="240" w:lineRule="auto"/>
        <w:jc w:val="center"/>
        <w:rPr>
          <w:rFonts w:ascii="Times New Roman" w:hAnsi="Times New Roman" w:cs="Times New Roman"/>
          <w:sz w:val="24"/>
          <w:szCs w:val="24"/>
        </w:rPr>
      </w:pPr>
      <w:r w:rsidRPr="00537D9C">
        <w:rPr>
          <w:rFonts w:ascii="Times New Roman" w:hAnsi="Times New Roman" w:cs="Times New Roman"/>
          <w:sz w:val="24"/>
          <w:szCs w:val="24"/>
        </w:rPr>
        <w:t>Slovenskej republiky</w:t>
      </w:r>
    </w:p>
    <w:p w:rsidR="00AC7099" w:rsidRPr="00A738C0">
      <w:pPr>
        <w:rPr>
          <w:color w:val="000000" w:themeColor="text1"/>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D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320D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39320211"/>
      <w:docPartObj>
        <w:docPartGallery w:val="Page Numbers (Bottom of Page)"/>
        <w:docPartUnique/>
      </w:docPartObj>
    </w:sdtPr>
    <w:sdtContent>
      <w:p w:rsidR="0053586E">
        <w:pPr>
          <w:pStyle w:val="Footer"/>
          <w:jc w:val="center"/>
        </w:pPr>
        <w:r>
          <w:fldChar w:fldCharType="begin"/>
        </w:r>
        <w:r>
          <w:instrText>PAGE   \* MERGEFORMAT</w:instrText>
        </w:r>
        <w:r>
          <w:fldChar w:fldCharType="separate"/>
        </w:r>
        <w:r w:rsidR="00EA4861">
          <w:rPr>
            <w:noProof/>
          </w:rPr>
          <w:t>12</w:t>
        </w:r>
        <w:r>
          <w:fldChar w:fldCharType="end"/>
        </w:r>
      </w:p>
    </w:sdtContent>
  </w:sdt>
  <w:p w:rsidR="00320D1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D1A">
    <w:pPr>
      <w:pStyle w:val="Footer"/>
      <w:jc w:val="right"/>
    </w:pPr>
    <w:r>
      <w:fldChar w:fldCharType="begin"/>
    </w:r>
    <w:r>
      <w:instrText>PAGE   \* MERGEFORMAT</w:instrText>
    </w:r>
    <w:r>
      <w:fldChar w:fldCharType="separate"/>
    </w:r>
    <w:r>
      <w:rPr>
        <w:noProof/>
      </w:rPr>
      <w:t>0</w:t>
    </w:r>
    <w:r>
      <w:fldChar w:fldCharType="end"/>
    </w:r>
  </w:p>
  <w:p w:rsidR="00320D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6114242"/>
      <w:docPartObj>
        <w:docPartGallery w:val="Page Numbers (Bottom of Page)"/>
        <w:docPartUnique/>
      </w:docPartObj>
    </w:sdtPr>
    <w:sdtContent>
      <w:p w:rsidR="0053586E">
        <w:pPr>
          <w:pStyle w:val="Footer"/>
          <w:jc w:val="center"/>
        </w:pPr>
        <w:r>
          <w:fldChar w:fldCharType="begin"/>
        </w:r>
        <w:r>
          <w:instrText>PAGE   \* MERGEFORMAT</w:instrText>
        </w:r>
        <w:r>
          <w:fldChar w:fldCharType="separate"/>
        </w:r>
        <w:r w:rsidR="00EA4861">
          <w:rPr>
            <w:noProof/>
          </w:rPr>
          <w:t>18</w:t>
        </w:r>
        <w:r>
          <w:fldChar w:fldCharType="end"/>
        </w:r>
      </w:p>
    </w:sdtContent>
  </w:sdt>
  <w:p w:rsidR="00AC7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834F5">
      <w:pPr>
        <w:spacing w:after="0" w:line="240" w:lineRule="auto"/>
      </w:pPr>
      <w:r>
        <w:separator/>
      </w:r>
    </w:p>
  </w:footnote>
  <w:footnote w:type="continuationSeparator" w:id="1">
    <w:p w:rsidR="008834F5">
      <w:pPr>
        <w:spacing w:after="0" w:line="240" w:lineRule="auto"/>
      </w:pPr>
      <w:r>
        <w:continuationSeparator/>
      </w:r>
    </w:p>
  </w:footnote>
  <w:footnote w:id="2">
    <w:p w:rsidR="00AC7099" w:rsidP="00AC709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D1A" w:rsidP="002B63FD">
    <w:pPr>
      <w:pStyle w:val="Header"/>
      <w:jc w:val="right"/>
      <w:rPr>
        <w:sz w:val="24"/>
        <w:szCs w:val="24"/>
      </w:rPr>
    </w:pPr>
    <w:r>
      <w:rPr>
        <w:sz w:val="24"/>
        <w:szCs w:val="24"/>
      </w:rPr>
      <w:t>Príloha č. 2</w:t>
    </w:r>
  </w:p>
  <w:p w:rsidR="00320D1A" w:rsidRPr="00EB59C8" w:rsidP="002B63FD">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D1A" w:rsidRPr="0024067A">
    <w:pPr>
      <w:pStyle w:val="Header"/>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D1A" w:rsidRPr="000A15AE" w:rsidP="002B63FD">
    <w:pPr>
      <w:pStyle w:val="Header"/>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099" w:rsidRPr="006045CB" w:rsidP="00142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6611A26"/>
    <w:multiLevelType w:val="hybridMultilevel"/>
    <w:tmpl w:val="D64E2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6971518"/>
    <w:multiLevelType w:val="hybridMultilevel"/>
    <w:tmpl w:val="C1461F48"/>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num w:numId="1">
    <w:abstractNumId w:val="1"/>
  </w:num>
  <w:num w:numId="2">
    <w:abstractNumId w:val="3"/>
  </w:num>
  <w:num w:numId="3">
    <w:abstractNumId w:val="0"/>
  </w:num>
  <w:num w:numId="4">
    <w:abstractNumId w:val="5"/>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21DFF"/>
    <w:rsid w:val="00024E31"/>
    <w:rsid w:val="00035EB6"/>
    <w:rsid w:val="00057135"/>
    <w:rsid w:val="00087A66"/>
    <w:rsid w:val="000A15AE"/>
    <w:rsid w:val="000A6B7F"/>
    <w:rsid w:val="000B509B"/>
    <w:rsid w:val="000F00DA"/>
    <w:rsid w:val="001127A8"/>
    <w:rsid w:val="00116F99"/>
    <w:rsid w:val="0012469C"/>
    <w:rsid w:val="0013251F"/>
    <w:rsid w:val="00136587"/>
    <w:rsid w:val="00141654"/>
    <w:rsid w:val="00142154"/>
    <w:rsid w:val="0016264A"/>
    <w:rsid w:val="00170D2B"/>
    <w:rsid w:val="001A33B0"/>
    <w:rsid w:val="001B55D6"/>
    <w:rsid w:val="001C721D"/>
    <w:rsid w:val="001F1B43"/>
    <w:rsid w:val="001F5D86"/>
    <w:rsid w:val="001F624A"/>
    <w:rsid w:val="00200898"/>
    <w:rsid w:val="00212894"/>
    <w:rsid w:val="002135D4"/>
    <w:rsid w:val="002177DB"/>
    <w:rsid w:val="002309F4"/>
    <w:rsid w:val="0024067A"/>
    <w:rsid w:val="00240945"/>
    <w:rsid w:val="00294C89"/>
    <w:rsid w:val="002A0BC7"/>
    <w:rsid w:val="002B5AD4"/>
    <w:rsid w:val="002B63FD"/>
    <w:rsid w:val="002B6EAF"/>
    <w:rsid w:val="002F6259"/>
    <w:rsid w:val="00317B90"/>
    <w:rsid w:val="00320D1A"/>
    <w:rsid w:val="003408F5"/>
    <w:rsid w:val="003423A0"/>
    <w:rsid w:val="003B7684"/>
    <w:rsid w:val="003C2747"/>
    <w:rsid w:val="003C5D33"/>
    <w:rsid w:val="003F35B7"/>
    <w:rsid w:val="0042480F"/>
    <w:rsid w:val="00440A16"/>
    <w:rsid w:val="00446310"/>
    <w:rsid w:val="00447C49"/>
    <w:rsid w:val="004559D4"/>
    <w:rsid w:val="004713C2"/>
    <w:rsid w:val="00471B7D"/>
    <w:rsid w:val="00474F11"/>
    <w:rsid w:val="00487203"/>
    <w:rsid w:val="004A4209"/>
    <w:rsid w:val="004D169C"/>
    <w:rsid w:val="004E5E76"/>
    <w:rsid w:val="005005EC"/>
    <w:rsid w:val="005307FC"/>
    <w:rsid w:val="0053586E"/>
    <w:rsid w:val="00537D9C"/>
    <w:rsid w:val="00553992"/>
    <w:rsid w:val="00560A11"/>
    <w:rsid w:val="00592E96"/>
    <w:rsid w:val="005B051A"/>
    <w:rsid w:val="005C1A2B"/>
    <w:rsid w:val="005E3699"/>
    <w:rsid w:val="005F2ACA"/>
    <w:rsid w:val="005F5E1E"/>
    <w:rsid w:val="006045CB"/>
    <w:rsid w:val="00612E08"/>
    <w:rsid w:val="006620C2"/>
    <w:rsid w:val="00672BC3"/>
    <w:rsid w:val="006A2947"/>
    <w:rsid w:val="006A5B77"/>
    <w:rsid w:val="006B5D74"/>
    <w:rsid w:val="00717EBA"/>
    <w:rsid w:val="007246BD"/>
    <w:rsid w:val="00727689"/>
    <w:rsid w:val="007278D6"/>
    <w:rsid w:val="007327E7"/>
    <w:rsid w:val="00751DA9"/>
    <w:rsid w:val="0077530D"/>
    <w:rsid w:val="00782B91"/>
    <w:rsid w:val="00785085"/>
    <w:rsid w:val="007B3608"/>
    <w:rsid w:val="007B6DF7"/>
    <w:rsid w:val="007B7470"/>
    <w:rsid w:val="007D5748"/>
    <w:rsid w:val="00804BC8"/>
    <w:rsid w:val="008205B7"/>
    <w:rsid w:val="00832D80"/>
    <w:rsid w:val="00847ADF"/>
    <w:rsid w:val="008834F5"/>
    <w:rsid w:val="00893B20"/>
    <w:rsid w:val="00893B76"/>
    <w:rsid w:val="00895898"/>
    <w:rsid w:val="00897BE7"/>
    <w:rsid w:val="008D339D"/>
    <w:rsid w:val="008D582F"/>
    <w:rsid w:val="008E2736"/>
    <w:rsid w:val="00943733"/>
    <w:rsid w:val="00945A2A"/>
    <w:rsid w:val="00952CF6"/>
    <w:rsid w:val="009706B7"/>
    <w:rsid w:val="009B4B9C"/>
    <w:rsid w:val="009E5BFB"/>
    <w:rsid w:val="009F49DC"/>
    <w:rsid w:val="00A130E8"/>
    <w:rsid w:val="00A72E75"/>
    <w:rsid w:val="00A738C0"/>
    <w:rsid w:val="00A82EFF"/>
    <w:rsid w:val="00AB5919"/>
    <w:rsid w:val="00AC7099"/>
    <w:rsid w:val="00AF4C79"/>
    <w:rsid w:val="00B15B33"/>
    <w:rsid w:val="00B51443"/>
    <w:rsid w:val="00B5535C"/>
    <w:rsid w:val="00B801BA"/>
    <w:rsid w:val="00B92F23"/>
    <w:rsid w:val="00BC6280"/>
    <w:rsid w:val="00BD1D55"/>
    <w:rsid w:val="00C15212"/>
    <w:rsid w:val="00C15D88"/>
    <w:rsid w:val="00C16C1B"/>
    <w:rsid w:val="00C455E9"/>
    <w:rsid w:val="00C51FD4"/>
    <w:rsid w:val="00C611AD"/>
    <w:rsid w:val="00C64BDB"/>
    <w:rsid w:val="00C653D7"/>
    <w:rsid w:val="00C929AE"/>
    <w:rsid w:val="00CA18F2"/>
    <w:rsid w:val="00CB04E9"/>
    <w:rsid w:val="00CB3623"/>
    <w:rsid w:val="00CC0E46"/>
    <w:rsid w:val="00CE299A"/>
    <w:rsid w:val="00CE359E"/>
    <w:rsid w:val="00CF2C35"/>
    <w:rsid w:val="00D06C54"/>
    <w:rsid w:val="00D200BE"/>
    <w:rsid w:val="00D53AD8"/>
    <w:rsid w:val="00D638F5"/>
    <w:rsid w:val="00D7236A"/>
    <w:rsid w:val="00D8247C"/>
    <w:rsid w:val="00D85029"/>
    <w:rsid w:val="00D9171A"/>
    <w:rsid w:val="00D922E5"/>
    <w:rsid w:val="00DC789C"/>
    <w:rsid w:val="00DE04C5"/>
    <w:rsid w:val="00DE0A92"/>
    <w:rsid w:val="00DE5BF1"/>
    <w:rsid w:val="00DF0D6E"/>
    <w:rsid w:val="00E07CE9"/>
    <w:rsid w:val="00E4770B"/>
    <w:rsid w:val="00E51845"/>
    <w:rsid w:val="00E70DF2"/>
    <w:rsid w:val="00E961E8"/>
    <w:rsid w:val="00E963A3"/>
    <w:rsid w:val="00EA1E90"/>
    <w:rsid w:val="00EA4861"/>
    <w:rsid w:val="00EB59C8"/>
    <w:rsid w:val="00EC6806"/>
    <w:rsid w:val="00ED2B29"/>
    <w:rsid w:val="00EE0CA3"/>
    <w:rsid w:val="00EE28EB"/>
    <w:rsid w:val="00F03306"/>
    <w:rsid w:val="00F20986"/>
    <w:rsid w:val="00F2530E"/>
    <w:rsid w:val="00F348E6"/>
    <w:rsid w:val="00F40136"/>
    <w:rsid w:val="00FB4A4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DefaultParagraphFont"/>
    <w:link w:val="Header"/>
    <w:uiPriority w:val="99"/>
    <w:rsid w:val="007D5748"/>
    <w:rPr>
      <w:rFonts w:ascii="Times New Roman" w:eastAsia="Times New Roman" w:hAnsi="Times New Roman" w:cs="Times New Roman"/>
      <w:sz w:val="20"/>
      <w:szCs w:val="20"/>
      <w:lang w:eastAsia="sk-SK"/>
    </w:rPr>
  </w:style>
  <w:style w:type="paragraph" w:styleId="Footer">
    <w:name w:val="footer"/>
    <w:basedOn w:val="Normal"/>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DefaultParagraphFont"/>
    <w:link w:val="Footer"/>
    <w:uiPriority w:val="99"/>
    <w:rsid w:val="007D5748"/>
    <w:rPr>
      <w:rFonts w:ascii="Times New Roman" w:eastAsia="Times New Roman" w:hAnsi="Times New Roman" w:cs="Times New Roman"/>
      <w:sz w:val="20"/>
      <w:szCs w:val="20"/>
      <w:lang w:eastAsia="sk-SK"/>
    </w:rPr>
  </w:style>
  <w:style w:type="character" w:styleId="PageNumber">
    <w:name w:val="page number"/>
    <w:basedOn w:val="DefaultParagraphFont"/>
    <w:uiPriority w:val="99"/>
    <w:rsid w:val="007D5748"/>
    <w:rPr>
      <w:rFonts w:cs="Times New Roman"/>
    </w:rPr>
  </w:style>
  <w:style w:type="paragraph" w:styleId="BalloonText">
    <w:name w:val="Balloon Text"/>
    <w:basedOn w:val="Normal"/>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317B90"/>
    <w:rPr>
      <w:rFonts w:ascii="Tahoma" w:hAnsi="Tahoma" w:cs="Tahoma"/>
      <w:sz w:val="16"/>
      <w:szCs w:val="16"/>
    </w:rPr>
  </w:style>
  <w:style w:type="table" w:styleId="TableGrid">
    <w:name w:val="Table Grid"/>
    <w:basedOn w:val="TableNormal"/>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AC7099"/>
    <w:rPr>
      <w:rFonts w:ascii="Times New Roman" w:hAnsi="Times New Roman" w:cs="Times New Roman"/>
      <w:color w:val="808080"/>
    </w:rPr>
  </w:style>
  <w:style w:type="character" w:customStyle="1" w:styleId="awspan1">
    <w:name w:val="awspan1"/>
    <w:basedOn w:val="DefaultParagraphFont"/>
    <w:rsid w:val="00AC7099"/>
    <w:rPr>
      <w:rFonts w:cs="Times New Roman"/>
      <w:color w:val="000000"/>
      <w:sz w:val="24"/>
      <w:szCs w:val="24"/>
    </w:rPr>
  </w:style>
  <w:style w:type="table" w:customStyle="1" w:styleId="Mriekatabuky1">
    <w:name w:val="Mriežka tabuľky1"/>
    <w:basedOn w:val="TableNormal"/>
    <w:next w:val="TableGrid"/>
    <w:uiPriority w:val="59"/>
    <w:rsid w:val="00AC7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09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C7099"/>
    <w:rPr>
      <w:rFonts w:cs="Times New Roman"/>
      <w:color w:val="0000FF" w:themeColor="hyperlink"/>
      <w:u w:val="single"/>
    </w:rPr>
  </w:style>
  <w:style w:type="paragraph" w:customStyle="1" w:styleId="gmail-m-1648484718305530482msolistparagraph">
    <w:name w:val="gmail-m_-1648484718305530482msolistparagraph"/>
    <w:basedOn w:val="Normal"/>
    <w:rsid w:val="00AC7099"/>
    <w:pPr>
      <w:spacing w:before="100" w:beforeAutospacing="1" w:after="100" w:afterAutospacing="1" w:line="240" w:lineRule="auto"/>
    </w:pPr>
    <w:rPr>
      <w:rFonts w:ascii="Calibri" w:hAnsi="Calibri" w:cs="Calibri"/>
      <w:lang w:eastAsia="sk-SK"/>
    </w:rPr>
  </w:style>
  <w:style w:type="paragraph" w:styleId="FootnoteText">
    <w:name w:val="footnote text"/>
    <w:basedOn w:val="Normal"/>
    <w:link w:val="TextpoznmkypodiarouChar"/>
    <w:uiPriority w:val="99"/>
    <w:semiHidden/>
    <w:unhideWhenUsed/>
    <w:rsid w:val="00AC7099"/>
    <w:pPr>
      <w:spacing w:after="0" w:line="240" w:lineRule="auto"/>
    </w:pPr>
    <w:rPr>
      <w:sz w:val="20"/>
      <w:szCs w:val="20"/>
    </w:rPr>
  </w:style>
  <w:style w:type="character" w:customStyle="1" w:styleId="TextpoznmkypodiarouChar">
    <w:name w:val="Text poznámky pod čiarou Char"/>
    <w:basedOn w:val="DefaultParagraphFont"/>
    <w:link w:val="FootnoteText"/>
    <w:uiPriority w:val="99"/>
    <w:semiHidden/>
    <w:rsid w:val="00AC7099"/>
    <w:rPr>
      <w:sz w:val="20"/>
      <w:szCs w:val="20"/>
    </w:rPr>
  </w:style>
  <w:style w:type="character" w:styleId="FootnoteReference">
    <w:name w:val="footnote reference"/>
    <w:basedOn w:val="DefaultParagraphFont"/>
    <w:uiPriority w:val="99"/>
    <w:semiHidden/>
    <w:unhideWhenUsed/>
    <w:rsid w:val="00AC70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cdpk@mindop.sk"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4.xml><?xml version="1.0" encoding="utf-8"?>
<ds:datastoreItem xmlns:ds="http://schemas.openxmlformats.org/officeDocument/2006/customXml" ds:itemID="{632C460B-564B-4534-AB2D-1F10C558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3730</Words>
  <Characters>21267</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Považan, Peter</cp:lastModifiedBy>
  <cp:revision>31</cp:revision>
  <cp:lastPrinted>2024-03-21T08:04:00Z</cp:lastPrinted>
  <dcterms:created xsi:type="dcterms:W3CDTF">2023-09-08T08:59:00Z</dcterms:created>
  <dcterms:modified xsi:type="dcterms:W3CDTF">2024-03-21T08:04:00Z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COO.2145.1000.3.5328104</vt:lpwstr>
  </property>
  <property fmtid="{D5CDD505-2E9C-101B-9397-08002B2CF9AE}" pid="3" name="FSC#FSCFOLIO@1.1001:docpropproject">
    <vt:lpwstr/>
  </property>
  <property fmtid="{D5CDD505-2E9C-101B-9397-08002B2CF9AE}" pid="4" name="FSC#SKEDITIONSLOVLEX@103.510:aktualnyrok">
    <vt:lpwstr>2022</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23" name="FSC#SKEDITIONSLOVLEX@103.510:AttrStrListDocPropPrimarnePravoEU">
    <vt:lpwstr/>
  </property>
  <property fmtid="{D5CDD505-2E9C-101B-9397-08002B2CF9AE}" pid="24" name="FSC#SKEDITIONSLOVLEX@103.510:AttrStrListDocPropProblematikaPPa">
    <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
  </property>
  <property fmtid="{D5CDD505-2E9C-101B-9397-08002B2CF9AE}" pid="31" name="FSC#SKEDITIONSLOVLEX@103.510:AttrStrListDocPropTextKomunike">
    <vt:lpwstr/>
  </property>
  <property fmtid="{D5CDD505-2E9C-101B-9397-08002B2CF9AE}" pid="32"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minister hospodárstva_x000D_
členovia vlády_x000D_
predsedovia ostatných ústredných orgánov štátnej správy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LP/2022/744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
  </property>
  <property fmtid="{D5CDD505-2E9C-101B-9397-08002B2CF9AE}" pid="122" name="FSC#SKEDITIONSLOVLEX@103.510:funkciaZodpPredAkuzativ">
    <vt:lpwstr/>
  </property>
  <property fmtid="{D5CDD505-2E9C-101B-9397-08002B2CF9AE}" pid="123" name="FSC#SKEDITIONSLOVLEX@103.510:funkciaZodpPredDativ">
    <vt:lpwstr/>
  </property>
  <property fmtid="{D5CDD505-2E9C-101B-9397-08002B2CF9AE}" pid="124" name="FSC#SKEDITIONSLOVLEX@103.510:legoblast">
    <vt:lpwstr>Nelegislatívna oblasť</vt:lpwstr>
  </property>
  <property fmtid="{D5CDD505-2E9C-101B-9397-08002B2CF9AE}" pid="125" name="FSC#SKEDITIONSLOVLEX@103.510:nazovpredpis">
    <vt:lpwstr> Návrh zmien a doplnení Jednotnej metodiky na posudzovanie vybraných vplyvov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Návrh zmien a doplnení Jednotnej metodiky na posudzovanie vybraných vplyvov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Komponent č. 14 Plánu obnovy a odolnosti SR</vt:lpwstr>
  </property>
  <property fmtid="{D5CDD505-2E9C-101B-9397-08002B2CF9AE}" pid="136" name="FSC#SKEDITIONSLOVLEX@103.510:povodpredpis">
    <vt:lpwstr>Slovlex (eLeg)</vt:lpwstr>
  </property>
  <property fmtid="{D5CDD505-2E9C-101B-9397-08002B2CF9AE}" pid="137" name="FSC#SKEDITIONSLOVLEX@103.510:predkladatel">
    <vt:lpwstr>Mgr. Katarína Pavlíková</vt:lpwstr>
  </property>
  <property fmtid="{D5CDD505-2E9C-101B-9397-08002B2CF9AE}" pid="138" name="FSC#SKEDITIONSLOVLEX@103.510:predkladateliaObalSD">
    <vt:lpwstr>Ing. Karel Hirman</vt:lpwstr>
  </property>
  <property fmtid="{D5CDD505-2E9C-101B-9397-08002B2CF9AE}" pid="139" name="FSC#SKEDITIONSLOVLEX@103.510:pripomienkovatelia">
    <vt:lpwstr/>
  </property>
  <property fmtid="{D5CDD505-2E9C-101B-9397-08002B2CF9AE}" pid="140" name="FSC#SKEDITIONSLOVLEX@103.510:rezortcislopredpis">
    <vt:lpwstr>44877/2022-3213-103108</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Nelegislatívny všeobecný materiál</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10. 11. 2022</vt:lpwstr>
  </property>
  <property fmtid="{D5CDD505-2E9C-101B-9397-08002B2CF9AE}" pid="150" name="FSC#SKEDITIONSLOVLEX@103.510:vztahypredpis">
    <vt:lpwstr/>
  </property>
  <property fmtid="{D5CDD505-2E9C-101B-9397-08002B2CF9AE}" pid="151" name="FSC#SKEDITIONSLOVLEX@103.510:zodpinstitucia">
    <vt:lpwstr>Ministerstvo hospodárstva Slovenskej republiky</vt:lpwstr>
  </property>
  <property fmtid="{D5CDD505-2E9C-101B-9397-08002B2CF9AE}" pid="152" name="FSC#SKEDITIONSLOVLEX@103.510:zodppredkladatel">
    <vt:lpwstr>Ing. Karel Hirman</vt:lpwstr>
  </property>
</Properties>
</file>