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0"/>
        <w:gridCol w:w="5111"/>
        <w:gridCol w:w="346"/>
        <w:gridCol w:w="926"/>
        <w:gridCol w:w="648"/>
        <w:gridCol w:w="5540"/>
        <w:gridCol w:w="346"/>
        <w:gridCol w:w="341"/>
      </w:tblGrid>
      <w:tr w:rsidR="001F0647" w:rsidRPr="001F0647" w14:paraId="15CE3E28" w14:textId="77777777" w:rsidTr="003A70A4">
        <w:tc>
          <w:tcPr>
            <w:tcW w:w="13948" w:type="dxa"/>
            <w:gridSpan w:val="8"/>
          </w:tcPr>
          <w:p w14:paraId="1323154F" w14:textId="77777777"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TABUĽKA ZHODY</w:t>
            </w:r>
          </w:p>
          <w:p w14:paraId="35EB0FE9" w14:textId="632AA5C9"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právneho predpisu</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s právom Európskej únie</w:t>
            </w:r>
          </w:p>
        </w:tc>
      </w:tr>
      <w:tr w:rsidR="001F0647" w:rsidRPr="001F0647" w14:paraId="3F946BE2" w14:textId="77777777" w:rsidTr="001F0647">
        <w:tc>
          <w:tcPr>
            <w:tcW w:w="7068" w:type="dxa"/>
            <w:gridSpan w:val="4"/>
          </w:tcPr>
          <w:p w14:paraId="016D5EC7" w14:textId="57ED896A" w:rsidR="001F0647" w:rsidRPr="001F0647" w:rsidRDefault="00050842" w:rsidP="001F0647">
            <w:pPr>
              <w:rPr>
                <w:rFonts w:ascii="Times New Roman" w:hAnsi="Times New Roman" w:cs="Times New Roman"/>
                <w:sz w:val="18"/>
                <w:szCs w:val="18"/>
              </w:rPr>
            </w:pPr>
            <w:r w:rsidRPr="00050842">
              <w:rPr>
                <w:rFonts w:ascii="Times New Roman" w:hAnsi="Times New Roman" w:cs="Times New Roman"/>
                <w:sz w:val="18"/>
                <w:szCs w:val="18"/>
              </w:rPr>
              <w:t>SMERNICA EURÓPSKEHO PARLAMENTU A RADY 2014/25/EÚ Z 26. FEBRUÁRA 2014 O OBSTARÁVANÍ VYKONÁVANOM SUBJEKTMI PÔSOBIACIMI V ODVETVIACH VODNÉHO HOSPODÁRSTVA, ENERGETIKY, DOPRAVY A POŠTOVÝCH SLUŽIEB A O ZRUŠENÍ SMERNICE 2004/17/ES (Ú. V. EÚ L 94, 28. 3. 2014) V ZNENÍ DELEGOVANÉHO NARIADENIA KOMISIE (EÚ) 2015/2171 Z 24. NOVEMBRA 2015 (Ú. V. EÚ L 307, 25. 11. 2015)</w:t>
            </w:r>
          </w:p>
        </w:tc>
        <w:tc>
          <w:tcPr>
            <w:tcW w:w="6880" w:type="dxa"/>
            <w:gridSpan w:val="4"/>
          </w:tcPr>
          <w:p w14:paraId="7D8F260B"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Návrh zákona o mimoriadnych opatreniach pre strategické investície a pre výstavbu transeurópskej dopravnej siete a o zmene a doplnení niektorých zákonov</w:t>
            </w:r>
          </w:p>
          <w:p w14:paraId="3A3B7D2D" w14:textId="77777777" w:rsidR="001F0647" w:rsidRPr="001F0647" w:rsidRDefault="001F0647" w:rsidP="001F0647">
            <w:pPr>
              <w:rPr>
                <w:rFonts w:ascii="Times New Roman" w:hAnsi="Times New Roman" w:cs="Times New Roman"/>
                <w:sz w:val="18"/>
                <w:szCs w:val="18"/>
              </w:rPr>
            </w:pPr>
          </w:p>
          <w:p w14:paraId="6BABF9A0" w14:textId="173DEC82"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Zákon č. 343/2015 Z. z. o verejnom obstarávaní a o zmene a doplnení niektorých zákonov v znení neskorších predpisov</w:t>
            </w:r>
          </w:p>
        </w:tc>
      </w:tr>
      <w:tr w:rsidR="001F0647" w:rsidRPr="001F0647" w14:paraId="7E2F9890" w14:textId="77777777" w:rsidTr="001F0647">
        <w:tc>
          <w:tcPr>
            <w:tcW w:w="691" w:type="dxa"/>
          </w:tcPr>
          <w:p w14:paraId="4FE2DB5E" w14:textId="7118D237" w:rsidR="001F0647" w:rsidRPr="001F0647" w:rsidRDefault="001F0647" w:rsidP="00DE5625">
            <w:pPr>
              <w:pStyle w:val="TableParagraph"/>
              <w:rPr>
                <w:sz w:val="18"/>
                <w:szCs w:val="18"/>
              </w:rPr>
            </w:pPr>
            <w:r w:rsidRPr="001F0647">
              <w:rPr>
                <w:sz w:val="18"/>
                <w:szCs w:val="18"/>
              </w:rPr>
              <w:t xml:space="preserve">Č: </w:t>
            </w:r>
            <w:r w:rsidR="00694523">
              <w:rPr>
                <w:sz w:val="18"/>
                <w:szCs w:val="18"/>
              </w:rPr>
              <w:t>73</w:t>
            </w:r>
          </w:p>
          <w:p w14:paraId="3BFB8136" w14:textId="66BA027E" w:rsidR="001F0647" w:rsidRPr="00694523" w:rsidRDefault="001F0647" w:rsidP="001F0647">
            <w:pPr>
              <w:rPr>
                <w:rFonts w:ascii="Times New Roman" w:hAnsi="Times New Roman" w:cs="Times New Roman"/>
                <w:sz w:val="18"/>
                <w:szCs w:val="18"/>
                <w:lang w:val="sk-SK"/>
              </w:rPr>
            </w:pPr>
            <w:r w:rsidRPr="001F0647">
              <w:rPr>
                <w:rFonts w:ascii="Times New Roman" w:hAnsi="Times New Roman" w:cs="Times New Roman"/>
                <w:sz w:val="18"/>
                <w:szCs w:val="18"/>
              </w:rPr>
              <w:t xml:space="preserve">O: </w:t>
            </w:r>
            <w:r w:rsidR="00694523">
              <w:rPr>
                <w:rFonts w:ascii="Times New Roman" w:hAnsi="Times New Roman" w:cs="Times New Roman"/>
                <w:sz w:val="18"/>
                <w:szCs w:val="18"/>
                <w:lang w:val="sk-SK"/>
              </w:rPr>
              <w:t>2</w:t>
            </w:r>
          </w:p>
        </w:tc>
        <w:tc>
          <w:tcPr>
            <w:tcW w:w="5116" w:type="dxa"/>
          </w:tcPr>
          <w:p w14:paraId="3A98D2BA" w14:textId="358A4A86" w:rsidR="001F0647" w:rsidRPr="001F0647" w:rsidRDefault="00694523" w:rsidP="001F0647">
            <w:pPr>
              <w:rPr>
                <w:rFonts w:ascii="Times New Roman" w:hAnsi="Times New Roman" w:cs="Times New Roman"/>
                <w:sz w:val="18"/>
                <w:szCs w:val="18"/>
              </w:rPr>
            </w:pPr>
            <w:r w:rsidRPr="00694523">
              <w:rPr>
                <w:rFonts w:ascii="Times New Roman" w:hAnsi="Times New Roman" w:cs="Times New Roman"/>
                <w:sz w:val="18"/>
                <w:szCs w:val="18"/>
              </w:rPr>
              <w:t>2.  Obstarávatelia poskytnú všetkým uchádzačom, ktorí sa zúčastňujú na postupe obstarávania, doplňujúce informácie týkajúce sa špecifikácií a akékoľvek podporné dokumenty najneskôr šesť dní pred uplynutím lehoty stanovenej na prijímanie ponúk, ak bola žiadosť o ne podaná včas. V prípade skrátenej verejnej súťaže uvedenej v článku 45 ods. 3 predstavuje táto lehota štyri dni.</w:t>
            </w:r>
          </w:p>
        </w:tc>
        <w:tc>
          <w:tcPr>
            <w:tcW w:w="335" w:type="dxa"/>
          </w:tcPr>
          <w:p w14:paraId="13D908CF" w14:textId="35EAAC48"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w:t>
            </w:r>
          </w:p>
        </w:tc>
        <w:tc>
          <w:tcPr>
            <w:tcW w:w="926" w:type="dxa"/>
          </w:tcPr>
          <w:p w14:paraId="06E02026" w14:textId="77777777" w:rsidR="001F0647" w:rsidRPr="001F0647" w:rsidRDefault="001F0647" w:rsidP="001F0647">
            <w:pPr>
              <w:pStyle w:val="TableParagraph"/>
              <w:ind w:left="69" w:right="131" w:hanging="2"/>
              <w:jc w:val="center"/>
              <w:rPr>
                <w:sz w:val="18"/>
                <w:szCs w:val="18"/>
              </w:rPr>
            </w:pPr>
            <w:r w:rsidRPr="001F0647">
              <w:rPr>
                <w:sz w:val="18"/>
                <w:szCs w:val="18"/>
              </w:rPr>
              <w:t>Návrh zákona</w:t>
            </w:r>
          </w:p>
          <w:p w14:paraId="5F3E0B0C" w14:textId="77777777" w:rsidR="001F0647" w:rsidRPr="001F0647" w:rsidRDefault="001F0647" w:rsidP="001F0647">
            <w:pPr>
              <w:pStyle w:val="TableParagraph"/>
              <w:ind w:left="69" w:right="131" w:hanging="2"/>
              <w:jc w:val="center"/>
              <w:rPr>
                <w:sz w:val="18"/>
                <w:szCs w:val="18"/>
              </w:rPr>
            </w:pPr>
          </w:p>
          <w:p w14:paraId="6A3AC2DE" w14:textId="77777777" w:rsidR="001F0647" w:rsidRPr="001F0647" w:rsidRDefault="001F0647" w:rsidP="001F0647">
            <w:pPr>
              <w:pStyle w:val="TableParagraph"/>
              <w:ind w:left="69" w:right="131" w:hanging="2"/>
              <w:jc w:val="center"/>
              <w:rPr>
                <w:sz w:val="18"/>
                <w:szCs w:val="18"/>
              </w:rPr>
            </w:pPr>
          </w:p>
          <w:p w14:paraId="6B52B3FC" w14:textId="77777777" w:rsidR="001F0647" w:rsidRPr="001F0647" w:rsidRDefault="001F0647" w:rsidP="001F0647">
            <w:pPr>
              <w:pStyle w:val="TableParagraph"/>
              <w:ind w:left="69" w:right="131" w:hanging="2"/>
              <w:jc w:val="center"/>
              <w:rPr>
                <w:sz w:val="18"/>
                <w:szCs w:val="18"/>
              </w:rPr>
            </w:pPr>
          </w:p>
          <w:p w14:paraId="5ECFB59E" w14:textId="77777777" w:rsidR="001F0647" w:rsidRPr="001F0647" w:rsidRDefault="001F0647" w:rsidP="001F0647">
            <w:pPr>
              <w:pStyle w:val="TableParagraph"/>
              <w:ind w:left="69" w:right="131" w:hanging="2"/>
              <w:jc w:val="center"/>
              <w:rPr>
                <w:sz w:val="18"/>
                <w:szCs w:val="18"/>
              </w:rPr>
            </w:pPr>
          </w:p>
          <w:p w14:paraId="61775DF7" w14:textId="77777777" w:rsidR="001F0647" w:rsidRPr="001F0647" w:rsidRDefault="001F0647" w:rsidP="001F0647">
            <w:pPr>
              <w:pStyle w:val="TableParagraph"/>
              <w:ind w:left="69" w:right="131" w:hanging="2"/>
              <w:jc w:val="center"/>
              <w:rPr>
                <w:sz w:val="18"/>
                <w:szCs w:val="18"/>
              </w:rPr>
            </w:pPr>
          </w:p>
          <w:p w14:paraId="3B5CB854" w14:textId="77777777" w:rsidR="001F0647" w:rsidRPr="001F0647" w:rsidRDefault="001F0647" w:rsidP="001F0647">
            <w:pPr>
              <w:pStyle w:val="TableParagraph"/>
              <w:ind w:left="69" w:right="131" w:hanging="2"/>
              <w:jc w:val="center"/>
              <w:rPr>
                <w:sz w:val="18"/>
                <w:szCs w:val="18"/>
              </w:rPr>
            </w:pPr>
          </w:p>
          <w:p w14:paraId="6F18420F" w14:textId="77777777" w:rsidR="001F0647" w:rsidRPr="001F0647" w:rsidRDefault="001F0647" w:rsidP="001F0647">
            <w:pPr>
              <w:pStyle w:val="TableParagraph"/>
              <w:ind w:left="69" w:right="131" w:hanging="2"/>
              <w:jc w:val="center"/>
              <w:rPr>
                <w:sz w:val="18"/>
                <w:szCs w:val="18"/>
              </w:rPr>
            </w:pPr>
          </w:p>
          <w:p w14:paraId="10AB2799" w14:textId="77777777" w:rsidR="001F0647" w:rsidRPr="001F0647" w:rsidRDefault="001F0647" w:rsidP="001F0647">
            <w:pPr>
              <w:pStyle w:val="TableParagraph"/>
              <w:ind w:left="69" w:right="131" w:hanging="2"/>
              <w:jc w:val="center"/>
              <w:rPr>
                <w:sz w:val="18"/>
                <w:szCs w:val="18"/>
              </w:rPr>
            </w:pPr>
          </w:p>
          <w:p w14:paraId="7494E7F7" w14:textId="77777777" w:rsidR="001F0647" w:rsidRDefault="001F0647" w:rsidP="001F0647">
            <w:pPr>
              <w:rPr>
                <w:rFonts w:ascii="Times New Roman" w:hAnsi="Times New Roman" w:cs="Times New Roman"/>
                <w:sz w:val="18"/>
                <w:szCs w:val="18"/>
              </w:rPr>
            </w:pPr>
          </w:p>
          <w:p w14:paraId="37FA6751" w14:textId="77777777" w:rsidR="001F0647" w:rsidRDefault="001F0647" w:rsidP="001F0647">
            <w:pPr>
              <w:rPr>
                <w:rFonts w:ascii="Times New Roman" w:hAnsi="Times New Roman" w:cs="Times New Roman"/>
                <w:sz w:val="18"/>
                <w:szCs w:val="18"/>
              </w:rPr>
            </w:pPr>
          </w:p>
          <w:p w14:paraId="5003510B" w14:textId="77777777" w:rsidR="001F0647" w:rsidRDefault="001F0647" w:rsidP="001F0647">
            <w:pPr>
              <w:rPr>
                <w:rFonts w:ascii="Times New Roman" w:hAnsi="Times New Roman" w:cs="Times New Roman"/>
                <w:sz w:val="18"/>
                <w:szCs w:val="18"/>
              </w:rPr>
            </w:pPr>
          </w:p>
          <w:p w14:paraId="4B50B84D" w14:textId="77777777" w:rsidR="001F0647" w:rsidRDefault="001F0647" w:rsidP="001F0647">
            <w:pPr>
              <w:rPr>
                <w:rFonts w:ascii="Times New Roman" w:hAnsi="Times New Roman" w:cs="Times New Roman"/>
                <w:sz w:val="18"/>
                <w:szCs w:val="18"/>
              </w:rPr>
            </w:pPr>
          </w:p>
          <w:p w14:paraId="146846EF" w14:textId="77777777" w:rsidR="001F0647" w:rsidRDefault="001F0647" w:rsidP="001F0647">
            <w:pPr>
              <w:rPr>
                <w:rFonts w:ascii="Times New Roman" w:hAnsi="Times New Roman" w:cs="Times New Roman"/>
                <w:sz w:val="18"/>
                <w:szCs w:val="18"/>
              </w:rPr>
            </w:pPr>
          </w:p>
          <w:p w14:paraId="6E3B9ED8" w14:textId="77777777" w:rsidR="001F0647" w:rsidRDefault="001F0647" w:rsidP="001F0647">
            <w:pPr>
              <w:rPr>
                <w:rFonts w:ascii="Times New Roman" w:hAnsi="Times New Roman" w:cs="Times New Roman"/>
                <w:sz w:val="18"/>
                <w:szCs w:val="18"/>
              </w:rPr>
            </w:pPr>
          </w:p>
          <w:p w14:paraId="27AC1C03" w14:textId="77777777" w:rsidR="001F0647" w:rsidRDefault="001F0647" w:rsidP="001F0647">
            <w:pPr>
              <w:rPr>
                <w:rFonts w:ascii="Times New Roman" w:hAnsi="Times New Roman" w:cs="Times New Roman"/>
                <w:sz w:val="18"/>
                <w:szCs w:val="18"/>
              </w:rPr>
            </w:pPr>
          </w:p>
          <w:p w14:paraId="7EF0B27F" w14:textId="77777777" w:rsidR="001F0647" w:rsidRDefault="001F0647" w:rsidP="001F0647">
            <w:pPr>
              <w:rPr>
                <w:rFonts w:ascii="Times New Roman" w:hAnsi="Times New Roman" w:cs="Times New Roman"/>
                <w:sz w:val="18"/>
                <w:szCs w:val="18"/>
              </w:rPr>
            </w:pPr>
          </w:p>
          <w:p w14:paraId="61B1B807" w14:textId="77777777" w:rsidR="001F0647" w:rsidRDefault="001F0647" w:rsidP="001F0647">
            <w:pPr>
              <w:rPr>
                <w:rFonts w:ascii="Times New Roman" w:hAnsi="Times New Roman" w:cs="Times New Roman"/>
                <w:sz w:val="18"/>
                <w:szCs w:val="18"/>
              </w:rPr>
            </w:pPr>
          </w:p>
          <w:p w14:paraId="08339B82" w14:textId="71BCE392" w:rsidR="001F0647" w:rsidRPr="001F0647" w:rsidRDefault="001F0647" w:rsidP="001F0647">
            <w:pPr>
              <w:rPr>
                <w:rFonts w:ascii="Times New Roman" w:hAnsi="Times New Roman" w:cs="Times New Roman"/>
                <w:sz w:val="18"/>
                <w:szCs w:val="18"/>
                <w:lang w:val="sk-SK"/>
              </w:rPr>
            </w:pPr>
            <w:r>
              <w:rPr>
                <w:rFonts w:ascii="Times New Roman" w:hAnsi="Times New Roman" w:cs="Times New Roman"/>
                <w:sz w:val="18"/>
                <w:szCs w:val="18"/>
                <w:lang w:val="sk-SK"/>
              </w:rPr>
              <w:t>Zákon č. 343/2015 Z. z.</w:t>
            </w:r>
          </w:p>
        </w:tc>
        <w:tc>
          <w:tcPr>
            <w:tcW w:w="648" w:type="dxa"/>
          </w:tcPr>
          <w:p w14:paraId="111ACC83" w14:textId="77777777" w:rsidR="001F0647" w:rsidRPr="001F0647" w:rsidRDefault="001F0647" w:rsidP="001F0647">
            <w:pPr>
              <w:pStyle w:val="TableParagraph"/>
              <w:ind w:left="-5"/>
              <w:rPr>
                <w:sz w:val="18"/>
                <w:szCs w:val="18"/>
              </w:rPr>
            </w:pPr>
            <w:r w:rsidRPr="001F0647">
              <w:rPr>
                <w:sz w:val="18"/>
                <w:szCs w:val="18"/>
              </w:rPr>
              <w:t>Čl. X bod 1</w:t>
            </w:r>
          </w:p>
          <w:p w14:paraId="4C246C58" w14:textId="77777777" w:rsidR="001F0647" w:rsidRPr="001F0647" w:rsidRDefault="001F0647" w:rsidP="001F0647">
            <w:pPr>
              <w:pStyle w:val="TableParagraph"/>
              <w:ind w:left="-5"/>
              <w:rPr>
                <w:sz w:val="18"/>
                <w:szCs w:val="18"/>
              </w:rPr>
            </w:pPr>
          </w:p>
          <w:p w14:paraId="2C5D52FF" w14:textId="77777777" w:rsidR="001F0647" w:rsidRPr="001F0647" w:rsidRDefault="001F0647" w:rsidP="001F0647">
            <w:pPr>
              <w:pStyle w:val="TableParagraph"/>
              <w:ind w:left="-5"/>
              <w:rPr>
                <w:sz w:val="18"/>
                <w:szCs w:val="18"/>
              </w:rPr>
            </w:pPr>
          </w:p>
          <w:p w14:paraId="1345D11D" w14:textId="77777777" w:rsidR="001F0647" w:rsidRPr="001F0647" w:rsidRDefault="001F0647" w:rsidP="001F0647">
            <w:pPr>
              <w:pStyle w:val="TableParagraph"/>
              <w:ind w:left="-5"/>
              <w:rPr>
                <w:sz w:val="18"/>
                <w:szCs w:val="18"/>
              </w:rPr>
            </w:pPr>
          </w:p>
          <w:p w14:paraId="7873FC28" w14:textId="77777777" w:rsidR="001F0647" w:rsidRPr="001F0647" w:rsidRDefault="001F0647" w:rsidP="001F0647">
            <w:pPr>
              <w:pStyle w:val="TableParagraph"/>
              <w:ind w:left="-5"/>
              <w:rPr>
                <w:sz w:val="18"/>
                <w:szCs w:val="18"/>
              </w:rPr>
            </w:pPr>
          </w:p>
          <w:p w14:paraId="149D7455" w14:textId="77777777" w:rsidR="001F0647" w:rsidRPr="001F0647" w:rsidRDefault="001F0647" w:rsidP="001F0647">
            <w:pPr>
              <w:pStyle w:val="TableParagraph"/>
              <w:ind w:left="-5"/>
              <w:rPr>
                <w:sz w:val="18"/>
                <w:szCs w:val="18"/>
              </w:rPr>
            </w:pPr>
          </w:p>
          <w:p w14:paraId="6F68AADA" w14:textId="77777777" w:rsidR="001F0647" w:rsidRPr="001F0647" w:rsidRDefault="001F0647" w:rsidP="004C5883">
            <w:pPr>
              <w:pStyle w:val="TableParagraph"/>
              <w:rPr>
                <w:sz w:val="18"/>
                <w:szCs w:val="18"/>
              </w:rPr>
            </w:pPr>
            <w:r w:rsidRPr="001F0647">
              <w:rPr>
                <w:sz w:val="18"/>
                <w:szCs w:val="18"/>
              </w:rPr>
              <w:t>§ 20 ods. 2</w:t>
            </w:r>
          </w:p>
          <w:p w14:paraId="1D6F5007" w14:textId="77777777" w:rsidR="001F0647" w:rsidRDefault="001F0647" w:rsidP="001F0647">
            <w:pPr>
              <w:pStyle w:val="TableParagraph"/>
              <w:ind w:left="-5"/>
              <w:rPr>
                <w:sz w:val="18"/>
                <w:szCs w:val="18"/>
              </w:rPr>
            </w:pPr>
          </w:p>
          <w:p w14:paraId="4ABCE7F8" w14:textId="77777777" w:rsidR="004C5883" w:rsidRDefault="004C5883" w:rsidP="001F0647">
            <w:pPr>
              <w:pStyle w:val="TableParagraph"/>
              <w:ind w:left="-5"/>
              <w:rPr>
                <w:sz w:val="18"/>
                <w:szCs w:val="18"/>
              </w:rPr>
            </w:pPr>
          </w:p>
          <w:p w14:paraId="6573A676" w14:textId="77777777" w:rsidR="004C5883" w:rsidRPr="001F0647" w:rsidRDefault="004C5883" w:rsidP="001F0647">
            <w:pPr>
              <w:pStyle w:val="TableParagraph"/>
              <w:ind w:left="-5"/>
              <w:rPr>
                <w:sz w:val="18"/>
                <w:szCs w:val="18"/>
              </w:rPr>
            </w:pPr>
          </w:p>
          <w:p w14:paraId="525DE67F" w14:textId="77777777" w:rsidR="001F0647" w:rsidRPr="001F0647" w:rsidRDefault="001F0647" w:rsidP="001F0647">
            <w:pPr>
              <w:pStyle w:val="TableParagraph"/>
              <w:ind w:left="-5"/>
              <w:rPr>
                <w:sz w:val="18"/>
                <w:szCs w:val="18"/>
              </w:rPr>
            </w:pPr>
          </w:p>
          <w:p w14:paraId="77607AB0" w14:textId="77777777" w:rsidR="001F0647" w:rsidRPr="001F0647" w:rsidRDefault="001F0647" w:rsidP="001F0647">
            <w:pPr>
              <w:pStyle w:val="TableParagraph"/>
              <w:ind w:left="-5"/>
              <w:rPr>
                <w:sz w:val="18"/>
                <w:szCs w:val="18"/>
              </w:rPr>
            </w:pPr>
          </w:p>
          <w:p w14:paraId="4B4FA900" w14:textId="77777777" w:rsidR="001F0647" w:rsidRPr="001F0647" w:rsidRDefault="001F0647" w:rsidP="001F0647">
            <w:pPr>
              <w:pStyle w:val="TableParagraph"/>
              <w:ind w:left="-5"/>
              <w:rPr>
                <w:sz w:val="18"/>
                <w:szCs w:val="18"/>
              </w:rPr>
            </w:pPr>
          </w:p>
          <w:p w14:paraId="4A13309A" w14:textId="77777777" w:rsidR="001F0647" w:rsidRPr="001F0647" w:rsidRDefault="001F0647" w:rsidP="001F0647">
            <w:pPr>
              <w:pStyle w:val="TableParagraph"/>
              <w:ind w:left="-5"/>
              <w:rPr>
                <w:sz w:val="18"/>
                <w:szCs w:val="18"/>
              </w:rPr>
            </w:pPr>
          </w:p>
          <w:p w14:paraId="5D3C6859" w14:textId="77777777" w:rsidR="001F0647" w:rsidRPr="001F0647" w:rsidRDefault="001F0647" w:rsidP="001F0647">
            <w:pPr>
              <w:pStyle w:val="TableParagraph"/>
              <w:ind w:left="-5"/>
              <w:rPr>
                <w:sz w:val="18"/>
                <w:szCs w:val="18"/>
              </w:rPr>
            </w:pPr>
          </w:p>
          <w:p w14:paraId="717C0774" w14:textId="77777777" w:rsidR="001F0647" w:rsidRPr="001F0647" w:rsidRDefault="001F0647" w:rsidP="001F0647">
            <w:pPr>
              <w:pStyle w:val="TableParagraph"/>
              <w:ind w:left="-5"/>
              <w:rPr>
                <w:sz w:val="18"/>
                <w:szCs w:val="18"/>
              </w:rPr>
            </w:pPr>
          </w:p>
          <w:p w14:paraId="3E36E746" w14:textId="77777777" w:rsidR="001F0647" w:rsidRPr="001F0647" w:rsidRDefault="001F0647" w:rsidP="001F0647">
            <w:pPr>
              <w:pStyle w:val="TableParagraph"/>
              <w:ind w:left="-5"/>
              <w:rPr>
                <w:sz w:val="18"/>
                <w:szCs w:val="18"/>
              </w:rPr>
            </w:pPr>
          </w:p>
          <w:p w14:paraId="019AC3AB" w14:textId="074BA765" w:rsidR="001F0647" w:rsidRPr="001F0647" w:rsidRDefault="001F0647" w:rsidP="004C5883">
            <w:pPr>
              <w:pStyle w:val="TableParagraph"/>
              <w:rPr>
                <w:sz w:val="18"/>
                <w:szCs w:val="18"/>
              </w:rPr>
            </w:pPr>
            <w:r>
              <w:rPr>
                <w:sz w:val="18"/>
                <w:szCs w:val="18"/>
              </w:rPr>
              <w:t>§ 48</w:t>
            </w:r>
          </w:p>
          <w:p w14:paraId="248F5DD3" w14:textId="77777777" w:rsidR="001F0647" w:rsidRPr="001F0647" w:rsidRDefault="001F0647" w:rsidP="001F0647">
            <w:pPr>
              <w:pStyle w:val="TableParagraph"/>
              <w:ind w:left="-5"/>
              <w:rPr>
                <w:sz w:val="18"/>
                <w:szCs w:val="18"/>
              </w:rPr>
            </w:pPr>
          </w:p>
          <w:p w14:paraId="3EE18772" w14:textId="77777777" w:rsidR="001F0647" w:rsidRPr="001F0647" w:rsidRDefault="001F0647" w:rsidP="001F0647">
            <w:pPr>
              <w:rPr>
                <w:rFonts w:ascii="Times New Roman" w:hAnsi="Times New Roman" w:cs="Times New Roman"/>
                <w:sz w:val="18"/>
                <w:szCs w:val="18"/>
              </w:rPr>
            </w:pPr>
          </w:p>
        </w:tc>
        <w:tc>
          <w:tcPr>
            <w:tcW w:w="5545" w:type="dxa"/>
          </w:tcPr>
          <w:p w14:paraId="2B0F3DE5" w14:textId="7AAE0075" w:rsidR="001F0647" w:rsidRPr="001F0647" w:rsidRDefault="001F0647" w:rsidP="001F0647">
            <w:pPr>
              <w:pStyle w:val="TableParagraph"/>
              <w:jc w:val="both"/>
              <w:rPr>
                <w:sz w:val="18"/>
                <w:szCs w:val="18"/>
              </w:rPr>
            </w:pPr>
            <w:r w:rsidRPr="001F0647">
              <w:rPr>
                <w:sz w:val="18"/>
                <w:szCs w:val="18"/>
              </w:rPr>
              <w:t>1.</w:t>
            </w:r>
            <w:r>
              <w:rPr>
                <w:sz w:val="18"/>
                <w:szCs w:val="18"/>
              </w:rPr>
              <w:t xml:space="preserve"> </w:t>
            </w:r>
            <w:r w:rsidRPr="001F0647">
              <w:rPr>
                <w:sz w:val="18"/>
                <w:szCs w:val="18"/>
              </w:rPr>
              <w:t>§ 1 sa dopĺňa odsekom 18, ktorý znie:</w:t>
            </w:r>
          </w:p>
          <w:p w14:paraId="02C656A8" w14:textId="77777777" w:rsidR="001F0647" w:rsidRPr="001F0647" w:rsidRDefault="001F0647" w:rsidP="001F0647">
            <w:pPr>
              <w:pStyle w:val="TableParagraph"/>
              <w:tabs>
                <w:tab w:val="left" w:pos="355"/>
              </w:tabs>
              <w:ind w:right="103"/>
              <w:jc w:val="both"/>
              <w:rPr>
                <w:sz w:val="18"/>
                <w:szCs w:val="18"/>
              </w:rPr>
            </w:pPr>
            <w:r w:rsidRPr="001F0647">
              <w:rPr>
                <w:sz w:val="18"/>
                <w:szCs w:val="18"/>
              </w:rPr>
              <w:t>„(18) Tento zákon sa vzťahuje na zadávanie zákaziek a zadávanie koncesií týkajúcich sa strategickej investície podľa osobitného predpisu a úsekov diaľnic, o ktorých to ustanoví osobitný predpis, ako aj na správu vo verejnom obstarávaní v týchto veciach, ak osobitný predpis neustanovuje inak.“.</w:t>
            </w:r>
          </w:p>
          <w:p w14:paraId="0DF7240E" w14:textId="77777777" w:rsidR="001F0647" w:rsidRPr="001F0647" w:rsidRDefault="001F0647" w:rsidP="001F0647">
            <w:pPr>
              <w:pStyle w:val="TableParagraph"/>
              <w:tabs>
                <w:tab w:val="left" w:pos="355"/>
              </w:tabs>
              <w:ind w:right="103"/>
              <w:jc w:val="both"/>
              <w:rPr>
                <w:sz w:val="18"/>
                <w:szCs w:val="18"/>
              </w:rPr>
            </w:pPr>
          </w:p>
          <w:p w14:paraId="44C8E32B" w14:textId="77777777" w:rsid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(2)</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Verejný obstarávateľ a obstarávateľ poskytnú vysvetlenie informácií potrebných na vypracovanie ponuky, návrhu a na preukázanie splnenia podmienok účasti najneskôr 6 dní pred uplynutím lehoty na predkladanie ponúk, návrhov alebo lehoty na predloženie žiadostí o účasť. Verejný obstarávateľ a obstarávateľ nie sú povinní poskytnúť vysvetlenie podľa prvej vety, ak žiadosť o vysvetlenie nie je doručená včas, a to najmenej 5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14:paraId="7A3295F4" w14:textId="77777777" w:rsidR="001F0647" w:rsidRDefault="001F0647" w:rsidP="001F0647">
            <w:pPr>
              <w:rPr>
                <w:rFonts w:ascii="Times New Roman" w:hAnsi="Times New Roman" w:cs="Times New Roman"/>
                <w:sz w:val="18"/>
                <w:szCs w:val="18"/>
              </w:rPr>
            </w:pPr>
          </w:p>
          <w:p w14:paraId="766A8D85"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 xml:space="preserve">§ 48 </w:t>
            </w:r>
          </w:p>
          <w:p w14:paraId="70C42B30"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Vysvetlenie</w:t>
            </w:r>
          </w:p>
          <w:p w14:paraId="6D15E33F" w14:textId="30B9C4A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tc>
        <w:tc>
          <w:tcPr>
            <w:tcW w:w="346" w:type="dxa"/>
          </w:tcPr>
          <w:p w14:paraId="7BBBE8FC" w14:textId="6BBA2DDB"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U</w:t>
            </w:r>
          </w:p>
        </w:tc>
        <w:tc>
          <w:tcPr>
            <w:tcW w:w="341" w:type="dxa"/>
          </w:tcPr>
          <w:p w14:paraId="72E60A8C" w14:textId="77777777" w:rsidR="001F0647" w:rsidRPr="001F0647" w:rsidRDefault="001F0647" w:rsidP="001F0647">
            <w:pPr>
              <w:rPr>
                <w:rFonts w:ascii="Times New Roman" w:hAnsi="Times New Roman" w:cs="Times New Roman"/>
                <w:sz w:val="18"/>
                <w:szCs w:val="18"/>
              </w:rPr>
            </w:pPr>
          </w:p>
        </w:tc>
      </w:tr>
    </w:tbl>
    <w:p w14:paraId="5261256D" w14:textId="77777777" w:rsidR="00043FB9" w:rsidRPr="001F0647" w:rsidRDefault="00043FB9" w:rsidP="001F0647">
      <w:pPr>
        <w:rPr>
          <w:rFonts w:ascii="Times New Roman" w:hAnsi="Times New Roman" w:cs="Times New Roman"/>
          <w:sz w:val="18"/>
          <w:szCs w:val="18"/>
        </w:rPr>
      </w:pPr>
    </w:p>
    <w:sectPr w:rsidR="00043FB9" w:rsidRPr="001F0647" w:rsidSect="000D12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570CE"/>
    <w:multiLevelType w:val="hybridMultilevel"/>
    <w:tmpl w:val="D05CF424"/>
    <w:lvl w:ilvl="0" w:tplc="AAC25EE6">
      <w:start w:val="1"/>
      <w:numFmt w:val="decimal"/>
      <w:lvlText w:val="%1."/>
      <w:lvlJc w:val="left"/>
      <w:pPr>
        <w:ind w:left="105" w:hanging="214"/>
      </w:pPr>
      <w:rPr>
        <w:rFonts w:ascii="Times New Roman" w:eastAsia="Times New Roman" w:hAnsi="Times New Roman" w:cs="Times New Roman" w:hint="default"/>
        <w:spacing w:val="0"/>
        <w:w w:val="99"/>
        <w:sz w:val="20"/>
        <w:szCs w:val="20"/>
        <w:lang w:val="sk-SK" w:eastAsia="en-US" w:bidi="ar-SA"/>
      </w:rPr>
    </w:lvl>
    <w:lvl w:ilvl="1" w:tplc="F1447C4C">
      <w:numFmt w:val="bullet"/>
      <w:lvlText w:val="•"/>
      <w:lvlJc w:val="left"/>
      <w:pPr>
        <w:ind w:left="629" w:hanging="214"/>
      </w:pPr>
      <w:rPr>
        <w:rFonts w:hint="default"/>
        <w:lang w:val="sk-SK" w:eastAsia="en-US" w:bidi="ar-SA"/>
      </w:rPr>
    </w:lvl>
    <w:lvl w:ilvl="2" w:tplc="FD8EB526">
      <w:numFmt w:val="bullet"/>
      <w:lvlText w:val="•"/>
      <w:lvlJc w:val="left"/>
      <w:pPr>
        <w:ind w:left="1158" w:hanging="214"/>
      </w:pPr>
      <w:rPr>
        <w:rFonts w:hint="default"/>
        <w:lang w:val="sk-SK" w:eastAsia="en-US" w:bidi="ar-SA"/>
      </w:rPr>
    </w:lvl>
    <w:lvl w:ilvl="3" w:tplc="1C7ABB12">
      <w:numFmt w:val="bullet"/>
      <w:lvlText w:val="•"/>
      <w:lvlJc w:val="left"/>
      <w:pPr>
        <w:ind w:left="1687" w:hanging="214"/>
      </w:pPr>
      <w:rPr>
        <w:rFonts w:hint="default"/>
        <w:lang w:val="sk-SK" w:eastAsia="en-US" w:bidi="ar-SA"/>
      </w:rPr>
    </w:lvl>
    <w:lvl w:ilvl="4" w:tplc="2B3AC096">
      <w:numFmt w:val="bullet"/>
      <w:lvlText w:val="•"/>
      <w:lvlJc w:val="left"/>
      <w:pPr>
        <w:ind w:left="2216" w:hanging="214"/>
      </w:pPr>
      <w:rPr>
        <w:rFonts w:hint="default"/>
        <w:lang w:val="sk-SK" w:eastAsia="en-US" w:bidi="ar-SA"/>
      </w:rPr>
    </w:lvl>
    <w:lvl w:ilvl="5" w:tplc="C6E26460">
      <w:numFmt w:val="bullet"/>
      <w:lvlText w:val="•"/>
      <w:lvlJc w:val="left"/>
      <w:pPr>
        <w:ind w:left="2745" w:hanging="214"/>
      </w:pPr>
      <w:rPr>
        <w:rFonts w:hint="default"/>
        <w:lang w:val="sk-SK" w:eastAsia="en-US" w:bidi="ar-SA"/>
      </w:rPr>
    </w:lvl>
    <w:lvl w:ilvl="6" w:tplc="294833D2">
      <w:numFmt w:val="bullet"/>
      <w:lvlText w:val="•"/>
      <w:lvlJc w:val="left"/>
      <w:pPr>
        <w:ind w:left="3274" w:hanging="214"/>
      </w:pPr>
      <w:rPr>
        <w:rFonts w:hint="default"/>
        <w:lang w:val="sk-SK" w:eastAsia="en-US" w:bidi="ar-SA"/>
      </w:rPr>
    </w:lvl>
    <w:lvl w:ilvl="7" w:tplc="664E5686">
      <w:numFmt w:val="bullet"/>
      <w:lvlText w:val="•"/>
      <w:lvlJc w:val="left"/>
      <w:pPr>
        <w:ind w:left="3803" w:hanging="214"/>
      </w:pPr>
      <w:rPr>
        <w:rFonts w:hint="default"/>
        <w:lang w:val="sk-SK" w:eastAsia="en-US" w:bidi="ar-SA"/>
      </w:rPr>
    </w:lvl>
    <w:lvl w:ilvl="8" w:tplc="AB462634">
      <w:numFmt w:val="bullet"/>
      <w:lvlText w:val="•"/>
      <w:lvlJc w:val="left"/>
      <w:pPr>
        <w:ind w:left="4332" w:hanging="214"/>
      </w:pPr>
      <w:rPr>
        <w:rFonts w:hint="default"/>
        <w:lang w:val="sk-SK" w:eastAsia="en-US" w:bidi="ar-SA"/>
      </w:rPr>
    </w:lvl>
  </w:abstractNum>
  <w:num w:numId="1" w16cid:durableId="126086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47"/>
    <w:rsid w:val="00043FB9"/>
    <w:rsid w:val="00050842"/>
    <w:rsid w:val="000D12AF"/>
    <w:rsid w:val="001F0647"/>
    <w:rsid w:val="003A3BFA"/>
    <w:rsid w:val="004C5883"/>
    <w:rsid w:val="00532F5E"/>
    <w:rsid w:val="00694523"/>
    <w:rsid w:val="00B71471"/>
    <w:rsid w:val="00D8266C"/>
    <w:rsid w:val="00DB0FFC"/>
    <w:rsid w:val="00DE5625"/>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418CA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0647"/>
    <w:pPr>
      <w:widowControl w:val="0"/>
      <w:autoSpaceDE w:val="0"/>
      <w:autoSpaceDN w:val="0"/>
    </w:pPr>
    <w:rPr>
      <w:rFonts w:ascii="Times New Roman" w:eastAsia="Times New Roman" w:hAnsi="Times New Roman" w:cs="Times New Roman"/>
      <w:kern w:val="0"/>
      <w:sz w:val="22"/>
      <w:szCs w:val="22"/>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2024-02-07T16:47:00Z</dcterms:created>
  <dcterms:modified xsi:type="dcterms:W3CDTF">2024-02-07T16:52:00Z</dcterms:modified>
</cp:coreProperties>
</file>