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90"/>
        <w:gridCol w:w="5111"/>
        <w:gridCol w:w="346"/>
        <w:gridCol w:w="926"/>
        <w:gridCol w:w="648"/>
        <w:gridCol w:w="5540"/>
        <w:gridCol w:w="346"/>
        <w:gridCol w:w="341"/>
      </w:tblGrid>
      <w:tr w:rsidR="001F0647" w:rsidRPr="001F0647" w14:paraId="15CE3E28" w14:textId="77777777" w:rsidTr="003A70A4">
        <w:tc>
          <w:tcPr>
            <w:tcW w:w="13948" w:type="dxa"/>
            <w:gridSpan w:val="8"/>
          </w:tcPr>
          <w:p w14:paraId="1323154F" w14:textId="77777777" w:rsidR="001F0647" w:rsidRPr="001F0647" w:rsidRDefault="001F0647" w:rsidP="001F0647">
            <w:pPr>
              <w:jc w:val="center"/>
              <w:rPr>
                <w:rFonts w:ascii="Times New Roman" w:hAnsi="Times New Roman" w:cs="Times New Roman"/>
                <w:sz w:val="18"/>
                <w:szCs w:val="18"/>
              </w:rPr>
            </w:pPr>
            <w:r w:rsidRPr="001F0647">
              <w:rPr>
                <w:rFonts w:ascii="Times New Roman" w:hAnsi="Times New Roman" w:cs="Times New Roman"/>
                <w:sz w:val="18"/>
                <w:szCs w:val="18"/>
              </w:rPr>
              <w:t>TABUĽKA ZHODY</w:t>
            </w:r>
          </w:p>
          <w:p w14:paraId="35EB0FE9" w14:textId="632AA5C9" w:rsidR="001F0647" w:rsidRPr="001F0647" w:rsidRDefault="001F0647" w:rsidP="001F0647">
            <w:pPr>
              <w:jc w:val="center"/>
              <w:rPr>
                <w:rFonts w:ascii="Times New Roman" w:hAnsi="Times New Roman" w:cs="Times New Roman"/>
                <w:sz w:val="18"/>
                <w:szCs w:val="18"/>
              </w:rPr>
            </w:pPr>
            <w:r w:rsidRPr="001F0647">
              <w:rPr>
                <w:rFonts w:ascii="Times New Roman" w:hAnsi="Times New Roman" w:cs="Times New Roman"/>
                <w:sz w:val="18"/>
                <w:szCs w:val="18"/>
              </w:rPr>
              <w:t>právneho predpisu</w:t>
            </w:r>
            <w:r>
              <w:rPr>
                <w:rFonts w:ascii="Times New Roman" w:hAnsi="Times New Roman" w:cs="Times New Roman"/>
                <w:sz w:val="18"/>
                <w:szCs w:val="18"/>
                <w:lang w:val="sk-SK"/>
              </w:rPr>
              <w:t xml:space="preserve"> </w:t>
            </w:r>
            <w:r w:rsidRPr="001F0647">
              <w:rPr>
                <w:rFonts w:ascii="Times New Roman" w:hAnsi="Times New Roman" w:cs="Times New Roman"/>
                <w:sz w:val="18"/>
                <w:szCs w:val="18"/>
              </w:rPr>
              <w:t>s právom Európskej únie</w:t>
            </w:r>
          </w:p>
        </w:tc>
      </w:tr>
      <w:tr w:rsidR="001F0647" w:rsidRPr="001F0647" w14:paraId="3F946BE2" w14:textId="77777777" w:rsidTr="001F0647">
        <w:tc>
          <w:tcPr>
            <w:tcW w:w="7068" w:type="dxa"/>
            <w:gridSpan w:val="4"/>
          </w:tcPr>
          <w:p w14:paraId="016D5EC7" w14:textId="0B912141"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SMERNICA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ZNENÍ NARIADENIA KOMISIE (ES) Č. 1177/2009 Z 30. NOVEMBRA 2009 (Ú. v. EÚ L 314, 1. 12. 2009), NARIADENIA KOMISIE (EÚ) Č. 1251/2011 Z 30. NOVEMBRA 2011 (Ú. v. EÚ L 319, 2. 12. 2011), SMERNICE RADY 2013/16/EÚ Z 13. MÁJA 2013 (Ú. v. EÚ L 158, 10. 6. 2013) A NARIADENIA KOMISIE (EÚ) Č. 1336/2013 Z 13. DECEMBRA 2013 (Ú. V. EÚ L 335, 14. 12. 2013) A NARIADENIA KOMISIE (EÚ) 2015/2340 Z 15. DECEMBRA 2015 (Ú. v. EÚ L 330, 16. 12. 2015)</w:t>
            </w:r>
          </w:p>
        </w:tc>
        <w:tc>
          <w:tcPr>
            <w:tcW w:w="6880" w:type="dxa"/>
            <w:gridSpan w:val="4"/>
          </w:tcPr>
          <w:p w14:paraId="7D8F260B"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Návrh zákona o mimoriadnych opatreniach pre strategické investície a pre výstavbu transeurópskej dopravnej siete a o zmene a doplnení niektorých zákonov</w:t>
            </w:r>
          </w:p>
          <w:p w14:paraId="3A3B7D2D" w14:textId="77777777" w:rsidR="001F0647" w:rsidRPr="001F0647" w:rsidRDefault="001F0647" w:rsidP="001F0647">
            <w:pPr>
              <w:rPr>
                <w:rFonts w:ascii="Times New Roman" w:hAnsi="Times New Roman" w:cs="Times New Roman"/>
                <w:sz w:val="18"/>
                <w:szCs w:val="18"/>
              </w:rPr>
            </w:pPr>
          </w:p>
          <w:p w14:paraId="6BABF9A0" w14:textId="173DEC82"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Zákon č. 343/2015 Z. z. o verejnom obstarávaní a o zmene a doplnení niektorých zákonov v znení neskorších predpisov</w:t>
            </w:r>
          </w:p>
        </w:tc>
      </w:tr>
      <w:tr w:rsidR="001F0647" w:rsidRPr="001F0647" w14:paraId="7E2F9890" w14:textId="77777777" w:rsidTr="001F0647">
        <w:tc>
          <w:tcPr>
            <w:tcW w:w="691" w:type="dxa"/>
          </w:tcPr>
          <w:p w14:paraId="4FE2DB5E" w14:textId="77777777" w:rsidR="001F0647" w:rsidRPr="001F0647" w:rsidRDefault="001F0647" w:rsidP="00DE5625">
            <w:pPr>
              <w:pStyle w:val="TableParagraph"/>
              <w:rPr>
                <w:sz w:val="18"/>
                <w:szCs w:val="18"/>
              </w:rPr>
            </w:pPr>
            <w:r w:rsidRPr="001F0647">
              <w:rPr>
                <w:sz w:val="18"/>
                <w:szCs w:val="18"/>
              </w:rPr>
              <w:t>Č: 34</w:t>
            </w:r>
          </w:p>
          <w:p w14:paraId="3BFB8136" w14:textId="4D0679AB"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O: 4</w:t>
            </w:r>
          </w:p>
        </w:tc>
        <w:tc>
          <w:tcPr>
            <w:tcW w:w="5116" w:type="dxa"/>
          </w:tcPr>
          <w:p w14:paraId="3A98D2BA" w14:textId="0C766AC5"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4.  Doplňujúce informácie k zadávacím podkladom, informatívny dokument a/alebo sprievodnú dokumentáciu posiela verejný obstarávateľ alebo obstarávateľ alebo príslušný útvar najneskôr šesť dní pred uplynutím lehoty stanovenej na prijatie ponúk, ak boli vyžiadané s dostatočným predstihom. V prípade užšieho alebo skráteného konania je táto lehota štyri dni.</w:t>
            </w:r>
          </w:p>
        </w:tc>
        <w:tc>
          <w:tcPr>
            <w:tcW w:w="335" w:type="dxa"/>
          </w:tcPr>
          <w:p w14:paraId="13D908CF" w14:textId="35EAAC48"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N</w:t>
            </w:r>
          </w:p>
        </w:tc>
        <w:tc>
          <w:tcPr>
            <w:tcW w:w="926" w:type="dxa"/>
          </w:tcPr>
          <w:p w14:paraId="06E02026" w14:textId="77777777" w:rsidR="001F0647" w:rsidRPr="001F0647" w:rsidRDefault="001F0647" w:rsidP="001F0647">
            <w:pPr>
              <w:pStyle w:val="TableParagraph"/>
              <w:ind w:left="69" w:right="131" w:hanging="2"/>
              <w:jc w:val="center"/>
              <w:rPr>
                <w:sz w:val="18"/>
                <w:szCs w:val="18"/>
              </w:rPr>
            </w:pPr>
            <w:r w:rsidRPr="001F0647">
              <w:rPr>
                <w:sz w:val="18"/>
                <w:szCs w:val="18"/>
              </w:rPr>
              <w:t>Návrh zákona</w:t>
            </w:r>
          </w:p>
          <w:p w14:paraId="5F3E0B0C" w14:textId="77777777" w:rsidR="001F0647" w:rsidRPr="001F0647" w:rsidRDefault="001F0647" w:rsidP="001F0647">
            <w:pPr>
              <w:pStyle w:val="TableParagraph"/>
              <w:ind w:left="69" w:right="131" w:hanging="2"/>
              <w:jc w:val="center"/>
              <w:rPr>
                <w:sz w:val="18"/>
                <w:szCs w:val="18"/>
              </w:rPr>
            </w:pPr>
          </w:p>
          <w:p w14:paraId="6A3AC2DE" w14:textId="77777777" w:rsidR="001F0647" w:rsidRPr="001F0647" w:rsidRDefault="001F0647" w:rsidP="001F0647">
            <w:pPr>
              <w:pStyle w:val="TableParagraph"/>
              <w:ind w:left="69" w:right="131" w:hanging="2"/>
              <w:jc w:val="center"/>
              <w:rPr>
                <w:sz w:val="18"/>
                <w:szCs w:val="18"/>
              </w:rPr>
            </w:pPr>
          </w:p>
          <w:p w14:paraId="6B52B3FC" w14:textId="77777777" w:rsidR="001F0647" w:rsidRPr="001F0647" w:rsidRDefault="001F0647" w:rsidP="001F0647">
            <w:pPr>
              <w:pStyle w:val="TableParagraph"/>
              <w:ind w:left="69" w:right="131" w:hanging="2"/>
              <w:jc w:val="center"/>
              <w:rPr>
                <w:sz w:val="18"/>
                <w:szCs w:val="18"/>
              </w:rPr>
            </w:pPr>
          </w:p>
          <w:p w14:paraId="5ECFB59E" w14:textId="77777777" w:rsidR="001F0647" w:rsidRPr="001F0647" w:rsidRDefault="001F0647" w:rsidP="001F0647">
            <w:pPr>
              <w:pStyle w:val="TableParagraph"/>
              <w:ind w:left="69" w:right="131" w:hanging="2"/>
              <w:jc w:val="center"/>
              <w:rPr>
                <w:sz w:val="18"/>
                <w:szCs w:val="18"/>
              </w:rPr>
            </w:pPr>
          </w:p>
          <w:p w14:paraId="61775DF7" w14:textId="77777777" w:rsidR="001F0647" w:rsidRPr="001F0647" w:rsidRDefault="001F0647" w:rsidP="001F0647">
            <w:pPr>
              <w:pStyle w:val="TableParagraph"/>
              <w:ind w:left="69" w:right="131" w:hanging="2"/>
              <w:jc w:val="center"/>
              <w:rPr>
                <w:sz w:val="18"/>
                <w:szCs w:val="18"/>
              </w:rPr>
            </w:pPr>
          </w:p>
          <w:p w14:paraId="3B5CB854" w14:textId="77777777" w:rsidR="001F0647" w:rsidRPr="001F0647" w:rsidRDefault="001F0647" w:rsidP="001F0647">
            <w:pPr>
              <w:pStyle w:val="TableParagraph"/>
              <w:ind w:left="69" w:right="131" w:hanging="2"/>
              <w:jc w:val="center"/>
              <w:rPr>
                <w:sz w:val="18"/>
                <w:szCs w:val="18"/>
              </w:rPr>
            </w:pPr>
          </w:p>
          <w:p w14:paraId="6F18420F" w14:textId="77777777" w:rsidR="001F0647" w:rsidRPr="001F0647" w:rsidRDefault="001F0647" w:rsidP="001F0647">
            <w:pPr>
              <w:pStyle w:val="TableParagraph"/>
              <w:ind w:left="69" w:right="131" w:hanging="2"/>
              <w:jc w:val="center"/>
              <w:rPr>
                <w:sz w:val="18"/>
                <w:szCs w:val="18"/>
              </w:rPr>
            </w:pPr>
          </w:p>
          <w:p w14:paraId="10AB2799" w14:textId="77777777" w:rsidR="001F0647" w:rsidRPr="001F0647" w:rsidRDefault="001F0647" w:rsidP="001F0647">
            <w:pPr>
              <w:pStyle w:val="TableParagraph"/>
              <w:ind w:left="69" w:right="131" w:hanging="2"/>
              <w:jc w:val="center"/>
              <w:rPr>
                <w:sz w:val="18"/>
                <w:szCs w:val="18"/>
              </w:rPr>
            </w:pPr>
          </w:p>
          <w:p w14:paraId="7494E7F7" w14:textId="77777777" w:rsidR="001F0647" w:rsidRDefault="001F0647" w:rsidP="001F0647">
            <w:pPr>
              <w:rPr>
                <w:rFonts w:ascii="Times New Roman" w:hAnsi="Times New Roman" w:cs="Times New Roman"/>
                <w:sz w:val="18"/>
                <w:szCs w:val="18"/>
              </w:rPr>
            </w:pPr>
          </w:p>
          <w:p w14:paraId="37FA6751" w14:textId="77777777" w:rsidR="001F0647" w:rsidRDefault="001F0647" w:rsidP="001F0647">
            <w:pPr>
              <w:rPr>
                <w:rFonts w:ascii="Times New Roman" w:hAnsi="Times New Roman" w:cs="Times New Roman"/>
                <w:sz w:val="18"/>
                <w:szCs w:val="18"/>
              </w:rPr>
            </w:pPr>
          </w:p>
          <w:p w14:paraId="5003510B" w14:textId="77777777" w:rsidR="001F0647" w:rsidRDefault="001F0647" w:rsidP="001F0647">
            <w:pPr>
              <w:rPr>
                <w:rFonts w:ascii="Times New Roman" w:hAnsi="Times New Roman" w:cs="Times New Roman"/>
                <w:sz w:val="18"/>
                <w:szCs w:val="18"/>
              </w:rPr>
            </w:pPr>
          </w:p>
          <w:p w14:paraId="4B50B84D" w14:textId="77777777" w:rsidR="001F0647" w:rsidRDefault="001F0647" w:rsidP="001F0647">
            <w:pPr>
              <w:rPr>
                <w:rFonts w:ascii="Times New Roman" w:hAnsi="Times New Roman" w:cs="Times New Roman"/>
                <w:sz w:val="18"/>
                <w:szCs w:val="18"/>
              </w:rPr>
            </w:pPr>
          </w:p>
          <w:p w14:paraId="146846EF" w14:textId="77777777" w:rsidR="001F0647" w:rsidRDefault="001F0647" w:rsidP="001F0647">
            <w:pPr>
              <w:rPr>
                <w:rFonts w:ascii="Times New Roman" w:hAnsi="Times New Roman" w:cs="Times New Roman"/>
                <w:sz w:val="18"/>
                <w:szCs w:val="18"/>
              </w:rPr>
            </w:pPr>
          </w:p>
          <w:p w14:paraId="6E3B9ED8" w14:textId="77777777" w:rsidR="001F0647" w:rsidRDefault="001F0647" w:rsidP="001F0647">
            <w:pPr>
              <w:rPr>
                <w:rFonts w:ascii="Times New Roman" w:hAnsi="Times New Roman" w:cs="Times New Roman"/>
                <w:sz w:val="18"/>
                <w:szCs w:val="18"/>
              </w:rPr>
            </w:pPr>
          </w:p>
          <w:p w14:paraId="27AC1C03" w14:textId="77777777" w:rsidR="001F0647" w:rsidRDefault="001F0647" w:rsidP="001F0647">
            <w:pPr>
              <w:rPr>
                <w:rFonts w:ascii="Times New Roman" w:hAnsi="Times New Roman" w:cs="Times New Roman"/>
                <w:sz w:val="18"/>
                <w:szCs w:val="18"/>
              </w:rPr>
            </w:pPr>
          </w:p>
          <w:p w14:paraId="7EF0B27F" w14:textId="77777777" w:rsidR="001F0647" w:rsidRDefault="001F0647" w:rsidP="001F0647">
            <w:pPr>
              <w:rPr>
                <w:rFonts w:ascii="Times New Roman" w:hAnsi="Times New Roman" w:cs="Times New Roman"/>
                <w:sz w:val="18"/>
                <w:szCs w:val="18"/>
              </w:rPr>
            </w:pPr>
          </w:p>
          <w:p w14:paraId="61B1B807" w14:textId="77777777" w:rsidR="001F0647" w:rsidRDefault="001F0647" w:rsidP="001F0647">
            <w:pPr>
              <w:rPr>
                <w:rFonts w:ascii="Times New Roman" w:hAnsi="Times New Roman" w:cs="Times New Roman"/>
                <w:sz w:val="18"/>
                <w:szCs w:val="18"/>
              </w:rPr>
            </w:pPr>
          </w:p>
          <w:p w14:paraId="08339B82" w14:textId="71BCE392" w:rsidR="001F0647" w:rsidRPr="001F0647" w:rsidRDefault="001F0647" w:rsidP="001F0647">
            <w:pPr>
              <w:rPr>
                <w:rFonts w:ascii="Times New Roman" w:hAnsi="Times New Roman" w:cs="Times New Roman"/>
                <w:sz w:val="18"/>
                <w:szCs w:val="18"/>
                <w:lang w:val="sk-SK"/>
              </w:rPr>
            </w:pPr>
            <w:r>
              <w:rPr>
                <w:rFonts w:ascii="Times New Roman" w:hAnsi="Times New Roman" w:cs="Times New Roman"/>
                <w:sz w:val="18"/>
                <w:szCs w:val="18"/>
                <w:lang w:val="sk-SK"/>
              </w:rPr>
              <w:t>Zákon č. 343/2015 Z. z.</w:t>
            </w:r>
          </w:p>
        </w:tc>
        <w:tc>
          <w:tcPr>
            <w:tcW w:w="648" w:type="dxa"/>
          </w:tcPr>
          <w:p w14:paraId="111ACC83" w14:textId="77777777" w:rsidR="001F0647" w:rsidRPr="001F0647" w:rsidRDefault="001F0647" w:rsidP="001F0647">
            <w:pPr>
              <w:pStyle w:val="TableParagraph"/>
              <w:ind w:left="-5"/>
              <w:rPr>
                <w:sz w:val="18"/>
                <w:szCs w:val="18"/>
              </w:rPr>
            </w:pPr>
            <w:r w:rsidRPr="001F0647">
              <w:rPr>
                <w:sz w:val="18"/>
                <w:szCs w:val="18"/>
              </w:rPr>
              <w:t>Čl. X bod 1</w:t>
            </w:r>
          </w:p>
          <w:p w14:paraId="4C246C58" w14:textId="77777777" w:rsidR="001F0647" w:rsidRPr="001F0647" w:rsidRDefault="001F0647" w:rsidP="001F0647">
            <w:pPr>
              <w:pStyle w:val="TableParagraph"/>
              <w:ind w:left="-5"/>
              <w:rPr>
                <w:sz w:val="18"/>
                <w:szCs w:val="18"/>
              </w:rPr>
            </w:pPr>
          </w:p>
          <w:p w14:paraId="2C5D52FF" w14:textId="77777777" w:rsidR="001F0647" w:rsidRPr="001F0647" w:rsidRDefault="001F0647" w:rsidP="001F0647">
            <w:pPr>
              <w:pStyle w:val="TableParagraph"/>
              <w:ind w:left="-5"/>
              <w:rPr>
                <w:sz w:val="18"/>
                <w:szCs w:val="18"/>
              </w:rPr>
            </w:pPr>
          </w:p>
          <w:p w14:paraId="1345D11D" w14:textId="77777777" w:rsidR="001F0647" w:rsidRPr="001F0647" w:rsidRDefault="001F0647" w:rsidP="001F0647">
            <w:pPr>
              <w:pStyle w:val="TableParagraph"/>
              <w:ind w:left="-5"/>
              <w:rPr>
                <w:sz w:val="18"/>
                <w:szCs w:val="18"/>
              </w:rPr>
            </w:pPr>
          </w:p>
          <w:p w14:paraId="7873FC28" w14:textId="77777777" w:rsidR="001F0647" w:rsidRPr="001F0647" w:rsidRDefault="001F0647" w:rsidP="001F0647">
            <w:pPr>
              <w:pStyle w:val="TableParagraph"/>
              <w:ind w:left="-5"/>
              <w:rPr>
                <w:sz w:val="18"/>
                <w:szCs w:val="18"/>
              </w:rPr>
            </w:pPr>
          </w:p>
          <w:p w14:paraId="149D7455" w14:textId="77777777" w:rsidR="001F0647" w:rsidRPr="001F0647" w:rsidRDefault="001F0647" w:rsidP="001F0647">
            <w:pPr>
              <w:pStyle w:val="TableParagraph"/>
              <w:ind w:left="-5"/>
              <w:rPr>
                <w:sz w:val="18"/>
                <w:szCs w:val="18"/>
              </w:rPr>
            </w:pPr>
          </w:p>
          <w:p w14:paraId="6F68AADA" w14:textId="77777777" w:rsidR="001F0647" w:rsidRPr="001F0647" w:rsidRDefault="001F0647" w:rsidP="004C5883">
            <w:pPr>
              <w:pStyle w:val="TableParagraph"/>
              <w:rPr>
                <w:sz w:val="18"/>
                <w:szCs w:val="18"/>
              </w:rPr>
            </w:pPr>
            <w:r w:rsidRPr="001F0647">
              <w:rPr>
                <w:sz w:val="18"/>
                <w:szCs w:val="18"/>
              </w:rPr>
              <w:t>§ 20 ods. 2</w:t>
            </w:r>
          </w:p>
          <w:p w14:paraId="1D6F5007" w14:textId="77777777" w:rsidR="001F0647" w:rsidRDefault="001F0647" w:rsidP="001F0647">
            <w:pPr>
              <w:pStyle w:val="TableParagraph"/>
              <w:ind w:left="-5"/>
              <w:rPr>
                <w:sz w:val="18"/>
                <w:szCs w:val="18"/>
              </w:rPr>
            </w:pPr>
          </w:p>
          <w:p w14:paraId="4ABCE7F8" w14:textId="77777777" w:rsidR="004C5883" w:rsidRDefault="004C5883" w:rsidP="001F0647">
            <w:pPr>
              <w:pStyle w:val="TableParagraph"/>
              <w:ind w:left="-5"/>
              <w:rPr>
                <w:sz w:val="18"/>
                <w:szCs w:val="18"/>
              </w:rPr>
            </w:pPr>
          </w:p>
          <w:p w14:paraId="6573A676" w14:textId="77777777" w:rsidR="004C5883" w:rsidRPr="001F0647" w:rsidRDefault="004C5883" w:rsidP="001F0647">
            <w:pPr>
              <w:pStyle w:val="TableParagraph"/>
              <w:ind w:left="-5"/>
              <w:rPr>
                <w:sz w:val="18"/>
                <w:szCs w:val="18"/>
              </w:rPr>
            </w:pPr>
          </w:p>
          <w:p w14:paraId="525DE67F" w14:textId="77777777" w:rsidR="001F0647" w:rsidRPr="001F0647" w:rsidRDefault="001F0647" w:rsidP="001F0647">
            <w:pPr>
              <w:pStyle w:val="TableParagraph"/>
              <w:ind w:left="-5"/>
              <w:rPr>
                <w:sz w:val="18"/>
                <w:szCs w:val="18"/>
              </w:rPr>
            </w:pPr>
          </w:p>
          <w:p w14:paraId="77607AB0" w14:textId="77777777" w:rsidR="001F0647" w:rsidRPr="001F0647" w:rsidRDefault="001F0647" w:rsidP="001F0647">
            <w:pPr>
              <w:pStyle w:val="TableParagraph"/>
              <w:ind w:left="-5"/>
              <w:rPr>
                <w:sz w:val="18"/>
                <w:szCs w:val="18"/>
              </w:rPr>
            </w:pPr>
          </w:p>
          <w:p w14:paraId="4B4FA900" w14:textId="77777777" w:rsidR="001F0647" w:rsidRPr="001F0647" w:rsidRDefault="001F0647" w:rsidP="001F0647">
            <w:pPr>
              <w:pStyle w:val="TableParagraph"/>
              <w:ind w:left="-5"/>
              <w:rPr>
                <w:sz w:val="18"/>
                <w:szCs w:val="18"/>
              </w:rPr>
            </w:pPr>
          </w:p>
          <w:p w14:paraId="4A13309A" w14:textId="77777777" w:rsidR="001F0647" w:rsidRPr="001F0647" w:rsidRDefault="001F0647" w:rsidP="001F0647">
            <w:pPr>
              <w:pStyle w:val="TableParagraph"/>
              <w:ind w:left="-5"/>
              <w:rPr>
                <w:sz w:val="18"/>
                <w:szCs w:val="18"/>
              </w:rPr>
            </w:pPr>
          </w:p>
          <w:p w14:paraId="5D3C6859" w14:textId="77777777" w:rsidR="001F0647" w:rsidRPr="001F0647" w:rsidRDefault="001F0647" w:rsidP="001F0647">
            <w:pPr>
              <w:pStyle w:val="TableParagraph"/>
              <w:ind w:left="-5"/>
              <w:rPr>
                <w:sz w:val="18"/>
                <w:szCs w:val="18"/>
              </w:rPr>
            </w:pPr>
          </w:p>
          <w:p w14:paraId="717C0774" w14:textId="77777777" w:rsidR="001F0647" w:rsidRPr="001F0647" w:rsidRDefault="001F0647" w:rsidP="001F0647">
            <w:pPr>
              <w:pStyle w:val="TableParagraph"/>
              <w:ind w:left="-5"/>
              <w:rPr>
                <w:sz w:val="18"/>
                <w:szCs w:val="18"/>
              </w:rPr>
            </w:pPr>
          </w:p>
          <w:p w14:paraId="3E36E746" w14:textId="77777777" w:rsidR="001F0647" w:rsidRPr="001F0647" w:rsidRDefault="001F0647" w:rsidP="001F0647">
            <w:pPr>
              <w:pStyle w:val="TableParagraph"/>
              <w:ind w:left="-5"/>
              <w:rPr>
                <w:sz w:val="18"/>
                <w:szCs w:val="18"/>
              </w:rPr>
            </w:pPr>
          </w:p>
          <w:p w14:paraId="019AC3AB" w14:textId="074BA765" w:rsidR="001F0647" w:rsidRPr="001F0647" w:rsidRDefault="001F0647" w:rsidP="004C5883">
            <w:pPr>
              <w:pStyle w:val="TableParagraph"/>
              <w:rPr>
                <w:sz w:val="18"/>
                <w:szCs w:val="18"/>
              </w:rPr>
            </w:pPr>
            <w:r>
              <w:rPr>
                <w:sz w:val="18"/>
                <w:szCs w:val="18"/>
              </w:rPr>
              <w:t>§ 48</w:t>
            </w:r>
          </w:p>
          <w:p w14:paraId="248F5DD3" w14:textId="77777777" w:rsidR="001F0647" w:rsidRPr="001F0647" w:rsidRDefault="001F0647" w:rsidP="001F0647">
            <w:pPr>
              <w:pStyle w:val="TableParagraph"/>
              <w:ind w:left="-5"/>
              <w:rPr>
                <w:sz w:val="18"/>
                <w:szCs w:val="18"/>
              </w:rPr>
            </w:pPr>
          </w:p>
          <w:p w14:paraId="3EE18772" w14:textId="77777777" w:rsidR="001F0647" w:rsidRPr="001F0647" w:rsidRDefault="001F0647" w:rsidP="001F0647">
            <w:pPr>
              <w:rPr>
                <w:rFonts w:ascii="Times New Roman" w:hAnsi="Times New Roman" w:cs="Times New Roman"/>
                <w:sz w:val="18"/>
                <w:szCs w:val="18"/>
              </w:rPr>
            </w:pPr>
          </w:p>
        </w:tc>
        <w:tc>
          <w:tcPr>
            <w:tcW w:w="5545" w:type="dxa"/>
          </w:tcPr>
          <w:p w14:paraId="2B0F3DE5" w14:textId="7AAE0075" w:rsidR="001F0647" w:rsidRPr="001F0647" w:rsidRDefault="001F0647" w:rsidP="001F0647">
            <w:pPr>
              <w:pStyle w:val="TableParagraph"/>
              <w:jc w:val="both"/>
              <w:rPr>
                <w:sz w:val="18"/>
                <w:szCs w:val="18"/>
              </w:rPr>
            </w:pPr>
            <w:r w:rsidRPr="001F0647">
              <w:rPr>
                <w:sz w:val="18"/>
                <w:szCs w:val="18"/>
              </w:rPr>
              <w:t>1.</w:t>
            </w:r>
            <w:r>
              <w:rPr>
                <w:sz w:val="18"/>
                <w:szCs w:val="18"/>
              </w:rPr>
              <w:t xml:space="preserve"> </w:t>
            </w:r>
            <w:r w:rsidRPr="001F0647">
              <w:rPr>
                <w:sz w:val="18"/>
                <w:szCs w:val="18"/>
              </w:rPr>
              <w:t>§ 1 sa dopĺňa odsekom 18, ktorý znie:</w:t>
            </w:r>
          </w:p>
          <w:p w14:paraId="02C656A8" w14:textId="77777777" w:rsidR="001F0647" w:rsidRPr="001F0647" w:rsidRDefault="001F0647" w:rsidP="001F0647">
            <w:pPr>
              <w:pStyle w:val="TableParagraph"/>
              <w:tabs>
                <w:tab w:val="left" w:pos="355"/>
              </w:tabs>
              <w:ind w:right="103"/>
              <w:jc w:val="both"/>
              <w:rPr>
                <w:sz w:val="18"/>
                <w:szCs w:val="18"/>
              </w:rPr>
            </w:pPr>
            <w:r w:rsidRPr="001F0647">
              <w:rPr>
                <w:sz w:val="18"/>
                <w:szCs w:val="18"/>
              </w:rPr>
              <w:t>„(18) Tento zákon sa vzťahuje na zadávanie zákaziek a zadávanie koncesií týkajúcich sa strategickej investície podľa osobitného predpisu a úsekov diaľnic, o ktorých to ustanoví osobitný predpis, ako aj na správu vo verejnom obstarávaní v týchto veciach, ak osobitný predpis neustanovuje inak.“.</w:t>
            </w:r>
          </w:p>
          <w:p w14:paraId="0DF7240E" w14:textId="77777777" w:rsidR="001F0647" w:rsidRPr="001F0647" w:rsidRDefault="001F0647" w:rsidP="001F0647">
            <w:pPr>
              <w:pStyle w:val="TableParagraph"/>
              <w:tabs>
                <w:tab w:val="left" w:pos="355"/>
              </w:tabs>
              <w:ind w:right="103"/>
              <w:jc w:val="both"/>
              <w:rPr>
                <w:sz w:val="18"/>
                <w:szCs w:val="18"/>
              </w:rPr>
            </w:pPr>
          </w:p>
          <w:p w14:paraId="44C8E32B" w14:textId="77777777" w:rsid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(2)</w:t>
            </w:r>
            <w:r>
              <w:rPr>
                <w:rFonts w:ascii="Times New Roman" w:hAnsi="Times New Roman" w:cs="Times New Roman"/>
                <w:sz w:val="18"/>
                <w:szCs w:val="18"/>
                <w:lang w:val="sk-SK"/>
              </w:rPr>
              <w:t xml:space="preserve"> </w:t>
            </w:r>
            <w:r w:rsidRPr="001F0647">
              <w:rPr>
                <w:rFonts w:ascii="Times New Roman" w:hAnsi="Times New Roman" w:cs="Times New Roman"/>
                <w:sz w:val="18"/>
                <w:szCs w:val="18"/>
              </w:rPr>
              <w:t>Verejný obstarávateľ a obstarávateľ poskytnú vysvetlenie informácií potrebných na vypracovanie ponuky, návrhu a na preukázanie splnenia podmienok účasti najneskôr 6 dní pred uplynutím lehoty na predkladanie ponúk, návrhov alebo lehoty na predloženie žiadostí o účasť. Verejný obstarávateľ a obstarávateľ nie sú povinní poskytnúť vysvetlenie podľa prvej vety, ak žiadosť o vysvetlenie nie je doručená včas, a to najmenej 5 dní pred uplynutím lehoty podľa prvej vety. Ak dôjde k zmene súťažných podkladov, súťažných podmienok alebo podmienok účasti, verejný obstarávateľ a obstarávateľ primerane predĺžia lehotu na predkladanie ponúk, návrhov alebo lehotu na predloženie žiadostí o účasť tak, aby lehoty podľa prvej a druhej vety zostali zachované.</w:t>
            </w:r>
          </w:p>
          <w:p w14:paraId="7A3295F4" w14:textId="77777777" w:rsidR="001F0647" w:rsidRDefault="001F0647" w:rsidP="001F0647">
            <w:pPr>
              <w:rPr>
                <w:rFonts w:ascii="Times New Roman" w:hAnsi="Times New Roman" w:cs="Times New Roman"/>
                <w:sz w:val="18"/>
                <w:szCs w:val="18"/>
              </w:rPr>
            </w:pPr>
          </w:p>
          <w:p w14:paraId="766A8D85"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 xml:space="preserve">§ 48 </w:t>
            </w:r>
          </w:p>
          <w:p w14:paraId="70C42B30" w14:textId="7777777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Vysvetlenie</w:t>
            </w:r>
          </w:p>
          <w:p w14:paraId="6D15E33F" w14:textId="30B9C4A7"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Verejný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tc>
        <w:tc>
          <w:tcPr>
            <w:tcW w:w="346" w:type="dxa"/>
          </w:tcPr>
          <w:p w14:paraId="7BBBE8FC" w14:textId="6BBA2DDB" w:rsidR="001F0647" w:rsidRPr="001F0647" w:rsidRDefault="001F0647" w:rsidP="001F0647">
            <w:pPr>
              <w:rPr>
                <w:rFonts w:ascii="Times New Roman" w:hAnsi="Times New Roman" w:cs="Times New Roman"/>
                <w:sz w:val="18"/>
                <w:szCs w:val="18"/>
              </w:rPr>
            </w:pPr>
            <w:r w:rsidRPr="001F0647">
              <w:rPr>
                <w:rFonts w:ascii="Times New Roman" w:hAnsi="Times New Roman" w:cs="Times New Roman"/>
                <w:sz w:val="18"/>
                <w:szCs w:val="18"/>
              </w:rPr>
              <w:t>U</w:t>
            </w:r>
          </w:p>
        </w:tc>
        <w:tc>
          <w:tcPr>
            <w:tcW w:w="341" w:type="dxa"/>
          </w:tcPr>
          <w:p w14:paraId="72E60A8C" w14:textId="77777777" w:rsidR="001F0647" w:rsidRPr="001F0647" w:rsidRDefault="001F0647" w:rsidP="001F0647">
            <w:pPr>
              <w:rPr>
                <w:rFonts w:ascii="Times New Roman" w:hAnsi="Times New Roman" w:cs="Times New Roman"/>
                <w:sz w:val="18"/>
                <w:szCs w:val="18"/>
              </w:rPr>
            </w:pPr>
          </w:p>
        </w:tc>
      </w:tr>
    </w:tbl>
    <w:p w14:paraId="5261256D" w14:textId="77777777" w:rsidR="00043FB9" w:rsidRPr="001F0647" w:rsidRDefault="00043FB9" w:rsidP="001F0647">
      <w:pPr>
        <w:rPr>
          <w:rFonts w:ascii="Times New Roman" w:hAnsi="Times New Roman" w:cs="Times New Roman"/>
          <w:sz w:val="18"/>
          <w:szCs w:val="18"/>
        </w:rPr>
      </w:pPr>
    </w:p>
    <w:sectPr w:rsidR="00043FB9" w:rsidRPr="001F0647" w:rsidSect="00EA39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570CE"/>
    <w:multiLevelType w:val="hybridMultilevel"/>
    <w:tmpl w:val="D05CF424"/>
    <w:lvl w:ilvl="0" w:tplc="AAC25EE6">
      <w:start w:val="1"/>
      <w:numFmt w:val="decimal"/>
      <w:lvlText w:val="%1."/>
      <w:lvlJc w:val="left"/>
      <w:pPr>
        <w:ind w:left="105" w:hanging="214"/>
      </w:pPr>
      <w:rPr>
        <w:rFonts w:ascii="Times New Roman" w:eastAsia="Times New Roman" w:hAnsi="Times New Roman" w:cs="Times New Roman" w:hint="default"/>
        <w:spacing w:val="0"/>
        <w:w w:val="99"/>
        <w:sz w:val="20"/>
        <w:szCs w:val="20"/>
        <w:lang w:val="sk-SK" w:eastAsia="en-US" w:bidi="ar-SA"/>
      </w:rPr>
    </w:lvl>
    <w:lvl w:ilvl="1" w:tplc="F1447C4C">
      <w:numFmt w:val="bullet"/>
      <w:lvlText w:val="•"/>
      <w:lvlJc w:val="left"/>
      <w:pPr>
        <w:ind w:left="629" w:hanging="214"/>
      </w:pPr>
      <w:rPr>
        <w:rFonts w:hint="default"/>
        <w:lang w:val="sk-SK" w:eastAsia="en-US" w:bidi="ar-SA"/>
      </w:rPr>
    </w:lvl>
    <w:lvl w:ilvl="2" w:tplc="FD8EB526">
      <w:numFmt w:val="bullet"/>
      <w:lvlText w:val="•"/>
      <w:lvlJc w:val="left"/>
      <w:pPr>
        <w:ind w:left="1158" w:hanging="214"/>
      </w:pPr>
      <w:rPr>
        <w:rFonts w:hint="default"/>
        <w:lang w:val="sk-SK" w:eastAsia="en-US" w:bidi="ar-SA"/>
      </w:rPr>
    </w:lvl>
    <w:lvl w:ilvl="3" w:tplc="1C7ABB12">
      <w:numFmt w:val="bullet"/>
      <w:lvlText w:val="•"/>
      <w:lvlJc w:val="left"/>
      <w:pPr>
        <w:ind w:left="1687" w:hanging="214"/>
      </w:pPr>
      <w:rPr>
        <w:rFonts w:hint="default"/>
        <w:lang w:val="sk-SK" w:eastAsia="en-US" w:bidi="ar-SA"/>
      </w:rPr>
    </w:lvl>
    <w:lvl w:ilvl="4" w:tplc="2B3AC096">
      <w:numFmt w:val="bullet"/>
      <w:lvlText w:val="•"/>
      <w:lvlJc w:val="left"/>
      <w:pPr>
        <w:ind w:left="2216" w:hanging="214"/>
      </w:pPr>
      <w:rPr>
        <w:rFonts w:hint="default"/>
        <w:lang w:val="sk-SK" w:eastAsia="en-US" w:bidi="ar-SA"/>
      </w:rPr>
    </w:lvl>
    <w:lvl w:ilvl="5" w:tplc="C6E26460">
      <w:numFmt w:val="bullet"/>
      <w:lvlText w:val="•"/>
      <w:lvlJc w:val="left"/>
      <w:pPr>
        <w:ind w:left="2745" w:hanging="214"/>
      </w:pPr>
      <w:rPr>
        <w:rFonts w:hint="default"/>
        <w:lang w:val="sk-SK" w:eastAsia="en-US" w:bidi="ar-SA"/>
      </w:rPr>
    </w:lvl>
    <w:lvl w:ilvl="6" w:tplc="294833D2">
      <w:numFmt w:val="bullet"/>
      <w:lvlText w:val="•"/>
      <w:lvlJc w:val="left"/>
      <w:pPr>
        <w:ind w:left="3274" w:hanging="214"/>
      </w:pPr>
      <w:rPr>
        <w:rFonts w:hint="default"/>
        <w:lang w:val="sk-SK" w:eastAsia="en-US" w:bidi="ar-SA"/>
      </w:rPr>
    </w:lvl>
    <w:lvl w:ilvl="7" w:tplc="664E5686">
      <w:numFmt w:val="bullet"/>
      <w:lvlText w:val="•"/>
      <w:lvlJc w:val="left"/>
      <w:pPr>
        <w:ind w:left="3803" w:hanging="214"/>
      </w:pPr>
      <w:rPr>
        <w:rFonts w:hint="default"/>
        <w:lang w:val="sk-SK" w:eastAsia="en-US" w:bidi="ar-SA"/>
      </w:rPr>
    </w:lvl>
    <w:lvl w:ilvl="8" w:tplc="AB462634">
      <w:numFmt w:val="bullet"/>
      <w:lvlText w:val="•"/>
      <w:lvlJc w:val="left"/>
      <w:pPr>
        <w:ind w:left="4332" w:hanging="214"/>
      </w:pPr>
      <w:rPr>
        <w:rFonts w:hint="default"/>
        <w:lang w:val="sk-SK" w:eastAsia="en-US" w:bidi="ar-SA"/>
      </w:rPr>
    </w:lvl>
  </w:abstractNum>
  <w:num w:numId="1" w16cid:durableId="126086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47"/>
    <w:rsid w:val="00043FB9"/>
    <w:rsid w:val="001F0647"/>
    <w:rsid w:val="003A3BFA"/>
    <w:rsid w:val="004C5883"/>
    <w:rsid w:val="009C1DFD"/>
    <w:rsid w:val="00B71471"/>
    <w:rsid w:val="00D8181B"/>
    <w:rsid w:val="00DB0FFC"/>
    <w:rsid w:val="00DE5625"/>
    <w:rsid w:val="00EA39DC"/>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418CA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0647"/>
    <w:pPr>
      <w:widowControl w:val="0"/>
      <w:autoSpaceDE w:val="0"/>
      <w:autoSpaceDN w:val="0"/>
    </w:pPr>
    <w:rPr>
      <w:rFonts w:ascii="Times New Roman" w:eastAsia="Times New Roman" w:hAnsi="Times New Roman" w:cs="Times New Roman"/>
      <w:kern w:val="0"/>
      <w:sz w:val="22"/>
      <w:szCs w:val="22"/>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2024-02-07T16:34:00Z</dcterms:created>
  <dcterms:modified xsi:type="dcterms:W3CDTF">2024-02-07T16:52:00Z</dcterms:modified>
</cp:coreProperties>
</file>