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463A62">
        <w:rPr>
          <w:rFonts w:cs="Arial"/>
          <w:color w:val="000000"/>
        </w:rPr>
        <w:t>117</w:t>
      </w:r>
      <w:r w:rsidR="00F219A0" w:rsidRPr="00F219A0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75C61" w:rsidP="007375F5">
      <w:pPr>
        <w:pStyle w:val="uznesenia"/>
      </w:pPr>
      <w:r>
        <w:t>157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A75C61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63A62" w:rsidP="00463A62">
      <w:pPr>
        <w:jc w:val="both"/>
      </w:pPr>
      <w:r>
        <w:t xml:space="preserve">k návrhu poslancov Národnej rady Slovenskej republiky Jána Hargaša, Michala </w:t>
      </w:r>
      <w:proofErr w:type="spellStart"/>
      <w:r>
        <w:t>Trubana</w:t>
      </w:r>
      <w:proofErr w:type="spellEnd"/>
      <w:r>
        <w:t xml:space="preserve">, Ivana Štefunka, Štefana Kišša a Dariny </w:t>
      </w:r>
      <w:proofErr w:type="spellStart"/>
      <w:r>
        <w:t>Luščíkovej</w:t>
      </w:r>
      <w:proofErr w:type="spellEnd"/>
      <w:r>
        <w:t xml:space="preserve"> na vydanie zákona, ktorým sa dopĺňa zákon č. 305/2013 Z. z. o elektronickej podobe výkonu pôsobnosti orgánov verejnej moci a o zmene a doplnení niektorých zákonov (zákon o e-</w:t>
      </w:r>
      <w:proofErr w:type="spellStart"/>
      <w:r>
        <w:t>Governmente</w:t>
      </w:r>
      <w:proofErr w:type="spellEnd"/>
      <w:r>
        <w:t>) v znení neskorších predpisov (tlač 169)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75C61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02A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2024-02-14T08:38:00Z</cp:lastPrinted>
  <dcterms:created xsi:type="dcterms:W3CDTF">2022-11-24T09:04:00Z</dcterms:created>
  <dcterms:modified xsi:type="dcterms:W3CDTF">2024-02-29T09:46:00Z</dcterms:modified>
</cp:coreProperties>
</file>