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00D7" w14:textId="77777777" w:rsidR="00E266D6" w:rsidRPr="00C87E93" w:rsidRDefault="00E266D6" w:rsidP="006A5032">
      <w:pPr>
        <w:widowControl/>
        <w:jc w:val="center"/>
        <w:rPr>
          <w:b/>
          <w:caps/>
          <w:color w:val="000000"/>
          <w:spacing w:val="30"/>
        </w:rPr>
      </w:pPr>
      <w:r w:rsidRPr="00C87E93">
        <w:rPr>
          <w:b/>
          <w:caps/>
          <w:color w:val="000000"/>
          <w:spacing w:val="30"/>
        </w:rPr>
        <w:t>Predkladacia správa</w:t>
      </w:r>
    </w:p>
    <w:p w14:paraId="4175232E" w14:textId="77777777" w:rsidR="00856250" w:rsidRPr="00C87E93" w:rsidRDefault="00856250" w:rsidP="006A5032">
      <w:pPr>
        <w:widowControl/>
        <w:jc w:val="both"/>
        <w:rPr>
          <w:color w:val="000000"/>
        </w:rPr>
      </w:pPr>
    </w:p>
    <w:p w14:paraId="45D364D7" w14:textId="77777777" w:rsidR="00815FEA" w:rsidRPr="00C87E93" w:rsidRDefault="00815FEA" w:rsidP="006A5032">
      <w:pPr>
        <w:widowControl/>
        <w:ind w:firstLine="720"/>
        <w:jc w:val="both"/>
        <w:rPr>
          <w:noProof/>
        </w:rPr>
      </w:pPr>
    </w:p>
    <w:p w14:paraId="6986B810" w14:textId="77777777" w:rsidR="007F4D17" w:rsidRPr="00C87E93" w:rsidRDefault="007F4D17" w:rsidP="007F4D17">
      <w:pPr>
        <w:widowControl/>
        <w:ind w:firstLine="284"/>
        <w:jc w:val="both"/>
        <w:rPr>
          <w:rStyle w:val="Zstupntext"/>
          <w:color w:val="000000"/>
        </w:rPr>
      </w:pPr>
      <w:r w:rsidRPr="00C87E93">
        <w:t>Ženevsk</w:t>
      </w:r>
      <w:r>
        <w:t>ý</w:t>
      </w:r>
      <w:r w:rsidRPr="00C87E93">
        <w:t xml:space="preserve"> akt Lisabonskej dohody o označeniach pôvodu a zemepisných označeniach</w:t>
      </w:r>
      <w:r>
        <w:t xml:space="preserve"> </w:t>
      </w:r>
      <w:r w:rsidRPr="00C87E93">
        <w:t xml:space="preserve">(ďalej aj „dohovor“) </w:t>
      </w:r>
      <w:r>
        <w:t xml:space="preserve">bol </w:t>
      </w:r>
      <w:r w:rsidRPr="00C87E93">
        <w:t>prijat</w:t>
      </w:r>
      <w:r>
        <w:t>ý</w:t>
      </w:r>
      <w:r w:rsidRPr="00C87E93">
        <w:t xml:space="preserve"> v Ženeve 20. mája 2015</w:t>
      </w:r>
      <w:r>
        <w:t xml:space="preserve">. </w:t>
      </w:r>
      <w:r w:rsidRPr="00C87E93">
        <w:t>Dohovor predstavuje revidované znenie</w:t>
      </w:r>
      <w:r w:rsidRPr="00C87E93">
        <w:rPr>
          <w:rStyle w:val="Zstupntext"/>
          <w:color w:val="000000"/>
        </w:rPr>
        <w:t xml:space="preserve"> ustanovení Lisabonskej dohody o ochrane označení pôvodu a ich medzinárodného zápisu z 31. októbra 1958 revidovanej v Štokholme 14. júla 1967.</w:t>
      </w:r>
      <w:r w:rsidRPr="00C87E93">
        <w:t xml:space="preserve"> </w:t>
      </w:r>
      <w:r w:rsidRPr="00C87E93">
        <w:rPr>
          <w:rStyle w:val="Zstupntext"/>
          <w:color w:val="000000"/>
        </w:rPr>
        <w:t xml:space="preserve">Slovenská republika je zmluvnou stranou Lisabonskej dohody o ochrane označení pôvodu a ich medzinárodného zápisu od roku 1993 ako nástupnícky štát ČSFR, pričom ČSFR bola zmluvnou stranou tejto dohody od roku 1961. </w:t>
      </w:r>
    </w:p>
    <w:p w14:paraId="198A819F" w14:textId="77777777" w:rsidR="009E5C57" w:rsidRDefault="009E5C57" w:rsidP="001707B9">
      <w:pPr>
        <w:widowControl/>
        <w:jc w:val="both"/>
      </w:pPr>
    </w:p>
    <w:p w14:paraId="6E350C67" w14:textId="4F1E4A91" w:rsidR="00C05C0A" w:rsidRDefault="00EE40BA" w:rsidP="008848C1">
      <w:pPr>
        <w:widowControl/>
        <w:ind w:firstLine="284"/>
        <w:jc w:val="both"/>
        <w:rPr>
          <w:color w:val="000000"/>
        </w:rPr>
      </w:pPr>
      <w:r w:rsidRPr="00C87E93">
        <w:rPr>
          <w:color w:val="000000"/>
        </w:rPr>
        <w:t>Lisabonská dohoda o ochrane označení pôvodu a</w:t>
      </w:r>
      <w:r w:rsidR="00CA5B6D" w:rsidRPr="00C87E93">
        <w:rPr>
          <w:color w:val="000000"/>
        </w:rPr>
        <w:t> ich medzinárodného zápisu</w:t>
      </w:r>
      <w:r w:rsidRPr="00C87E93">
        <w:rPr>
          <w:color w:val="000000"/>
        </w:rPr>
        <w:t xml:space="preserve"> je zmluva, ktorú spravuje Svetová organizácia duševného vlastníctva (WIPO)</w:t>
      </w:r>
      <w:r w:rsidR="000A103B" w:rsidRPr="00C87E93">
        <w:rPr>
          <w:color w:val="000000"/>
        </w:rPr>
        <w:t xml:space="preserve"> a na základe ktorej bola zriadená osobitná únia v rámci Únie na ochranu priemyslového vlastníctva</w:t>
      </w:r>
      <w:r w:rsidRPr="00C87E93">
        <w:rPr>
          <w:color w:val="000000"/>
        </w:rPr>
        <w:t xml:space="preserve">. </w:t>
      </w:r>
      <w:r w:rsidR="00BF29E4" w:rsidRPr="00C87E93">
        <w:rPr>
          <w:color w:val="000000"/>
        </w:rPr>
        <w:t xml:space="preserve">V zmysle Lisabonskej dohody sa </w:t>
      </w:r>
      <w:r w:rsidR="00BF29E4" w:rsidRPr="00C87E93">
        <w:t xml:space="preserve">pod pojmom označenie pôvodu rozumie zemepisný názov krajiny, oblasti </w:t>
      </w:r>
      <w:r w:rsidR="00480E07" w:rsidRPr="00C87E93">
        <w:t>ale</w:t>
      </w:r>
      <w:r w:rsidR="00BF29E4" w:rsidRPr="00C87E93">
        <w:t>bo miesta slúžiaci na označenie, odkiaľ pochádza výrobok, ktorého akosť alebo znaky sú dané výlučne alebo podstatne zemepisným prostred</w:t>
      </w:r>
      <w:r w:rsidR="007E5E64" w:rsidRPr="00C87E93">
        <w:t>ím, počítajúc do toho prírodné činitele a ľudské činitele</w:t>
      </w:r>
      <w:r w:rsidR="00AB0483" w:rsidRPr="00C87E93">
        <w:t>.</w:t>
      </w:r>
      <w:r w:rsidR="00C05C0A" w:rsidRPr="00C87E93">
        <w:rPr>
          <w:rStyle w:val="Odkaznapoznmkupodiarou"/>
          <w:color w:val="000000"/>
        </w:rPr>
        <w:footnoteReference w:id="1"/>
      </w:r>
      <w:r w:rsidR="00C05C0A" w:rsidRPr="00C87E93">
        <w:t xml:space="preserve"> </w:t>
      </w:r>
      <w:r w:rsidR="00C05C0A" w:rsidRPr="00C87E93">
        <w:rPr>
          <w:color w:val="000000"/>
        </w:rPr>
        <w:t>Zmluvnými stranami Lisabonskej dohody o ochrane označení pôvodu a ich medzinárodného zápisu</w:t>
      </w:r>
      <w:r w:rsidR="00C601F9">
        <w:rPr>
          <w:rStyle w:val="Odkaznapoznmkupodiarou"/>
          <w:color w:val="000000"/>
        </w:rPr>
        <w:footnoteReference w:id="2"/>
      </w:r>
      <w:r w:rsidR="00C05C0A" w:rsidRPr="00C87E93">
        <w:rPr>
          <w:color w:val="000000"/>
        </w:rPr>
        <w:t xml:space="preserve"> je 30 krajín vrátane siedmych členských štátov Európskej únie - Bulharska, Česka, Francúzska, Maďarska, Portugalska, Slovenskej republiky a Talianska.</w:t>
      </w:r>
    </w:p>
    <w:p w14:paraId="544DF246" w14:textId="4D5439DA" w:rsidR="00C34C81" w:rsidRDefault="00C34C81" w:rsidP="008848C1">
      <w:pPr>
        <w:widowControl/>
        <w:ind w:firstLine="284"/>
        <w:jc w:val="both"/>
        <w:rPr>
          <w:color w:val="000000"/>
        </w:rPr>
      </w:pPr>
    </w:p>
    <w:p w14:paraId="0831C658" w14:textId="27DBD4F1" w:rsidR="00731F56" w:rsidRPr="00731F56" w:rsidRDefault="00C34C81" w:rsidP="00E944AA">
      <w:pPr>
        <w:pStyle w:val="Textpoznmkypodiarou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1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 týchto sedem členských štátov EÚ</w:t>
      </w:r>
      <w:r w:rsidR="00731F56" w:rsidRPr="00731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31F56">
        <w:rPr>
          <w:rStyle w:val="Zstupntext"/>
          <w:color w:val="000000"/>
          <w:sz w:val="24"/>
          <w:szCs w:val="24"/>
        </w:rPr>
        <w:t>má</w:t>
      </w:r>
      <w:r w:rsidRPr="00731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prístup k </w:t>
      </w:r>
      <w:r w:rsidR="00731F56" w:rsidRPr="00731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dohovoru</w:t>
      </w:r>
      <w:r w:rsidRPr="00731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zásadný význam z dôvodu zachovania medzinárodných zápisov a kontinuity ochrany existujúcich práv v systéme Lisabonskej dohody </w:t>
      </w:r>
      <w:r w:rsidRPr="00731F56">
        <w:rPr>
          <w:rStyle w:val="Zstupntext"/>
          <w:color w:val="000000"/>
          <w:sz w:val="24"/>
          <w:szCs w:val="24"/>
        </w:rPr>
        <w:t>o ochrane označení pôvodu a ich medzinárodného zápisu</w:t>
      </w:r>
      <w:r w:rsidRPr="00731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31F56">
        <w:rPr>
          <w:rStyle w:val="Odkaznapoznmkupodiarou"/>
          <w:rFonts w:ascii="Times New Roman" w:hAnsi="Times New Roman"/>
          <w:color w:val="000000"/>
          <w:sz w:val="24"/>
          <w:szCs w:val="24"/>
          <w:shd w:val="clear" w:color="auto" w:fill="FFFFFF"/>
        </w:rPr>
        <w:footnoteReference w:id="3"/>
      </w:r>
      <w:r w:rsidRPr="00731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Prístup </w:t>
      </w:r>
      <w:r w:rsidRPr="00731F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zabezpečí naplnenie požiadaviek ustanovených článkom 11 nariadenia Európskeho parlamentu a Rady (EÚ) 2019/1753 </w:t>
      </w:r>
      <w:r w:rsidRPr="00731F56">
        <w:rPr>
          <w:rFonts w:ascii="Times New Roman" w:hAnsi="Times New Roman" w:cs="Times New Roman"/>
          <w:sz w:val="24"/>
          <w:szCs w:val="24"/>
        </w:rPr>
        <w:t xml:space="preserve">z 23. októbra 2019 </w:t>
      </w:r>
      <w:r w:rsidRPr="00731F56">
        <w:rPr>
          <w:rFonts w:ascii="Times New Roman" w:hAnsi="Times New Roman" w:cs="Times New Roman"/>
          <w:sz w:val="24"/>
          <w:szCs w:val="24"/>
          <w:shd w:val="clear" w:color="auto" w:fill="FFFFFF"/>
        </w:rPr>
        <w:t>o činnosti Únie po jej pristúpení k Ženevskému aktu Lisabonskej dohody o označeniach pôvodu a zemepisných označeniach</w:t>
      </w:r>
      <w:r w:rsidR="00FA7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A79DF" w:rsidRPr="00A40769">
        <w:rPr>
          <w:rFonts w:ascii="Times New Roman" w:hAnsi="Times New Roman" w:cs="Times New Roman"/>
          <w:sz w:val="24"/>
          <w:szCs w:val="24"/>
        </w:rPr>
        <w:t>(Ú. v. EÚ L 271, 24.10.2019)</w:t>
      </w:r>
      <w:r w:rsidRPr="00731F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 zachovanie ochrany práv udelených podľa Lisabonskej dohody.</w:t>
      </w:r>
      <w:r w:rsidRPr="00731F56">
        <w:rPr>
          <w:rFonts w:ascii="Times New Roman" w:hAnsi="Times New Roman" w:cs="Times New Roman"/>
          <w:sz w:val="24"/>
          <w:szCs w:val="24"/>
        </w:rPr>
        <w:t xml:space="preserve"> Nepristúpenie Slovenskej republiky k dohovoru by malo v súlade s článkom 11 ods. 1 a 2 nariadenia (EÚ) 2019/1753 za následok povinnosť dotknutých subjektov požiadať o zrušenie existujúcich zápisov označení v medzinárodnom registri WIPO.</w:t>
      </w:r>
      <w:r w:rsidR="00731F56" w:rsidRPr="00731F56">
        <w:rPr>
          <w:rFonts w:ascii="Times New Roman" w:hAnsi="Times New Roman" w:cs="Times New Roman"/>
          <w:sz w:val="24"/>
          <w:szCs w:val="24"/>
        </w:rPr>
        <w:t xml:space="preserve"> V prípade SR ide o tieto označenia pôvodu zapísané v medzinárodnom registri na základe Lisabonskej dohody – SLOVENSKÝ OŠTIEPOK, TOKAJSKÉ VÍNO de la </w:t>
      </w:r>
      <w:proofErr w:type="spellStart"/>
      <w:r w:rsidR="00731F56" w:rsidRPr="00731F56">
        <w:rPr>
          <w:rFonts w:ascii="Times New Roman" w:hAnsi="Times New Roman" w:cs="Times New Roman"/>
          <w:sz w:val="24"/>
          <w:szCs w:val="24"/>
        </w:rPr>
        <w:t>région</w:t>
      </w:r>
      <w:proofErr w:type="spellEnd"/>
      <w:r w:rsidR="00731F56" w:rsidRPr="0073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F56" w:rsidRPr="00731F56">
        <w:rPr>
          <w:rFonts w:ascii="Times New Roman" w:hAnsi="Times New Roman" w:cs="Times New Roman"/>
          <w:sz w:val="24"/>
          <w:szCs w:val="24"/>
        </w:rPr>
        <w:t>slovaque</w:t>
      </w:r>
      <w:proofErr w:type="spellEnd"/>
      <w:r w:rsidR="00731F56" w:rsidRPr="00731F56">
        <w:rPr>
          <w:rFonts w:ascii="Times New Roman" w:hAnsi="Times New Roman" w:cs="Times New Roman"/>
          <w:sz w:val="24"/>
          <w:szCs w:val="24"/>
        </w:rPr>
        <w:t xml:space="preserve">, TRENČIANSKA BOROVIČKA „JUNIPERIERS“ – TRENČIN DISTILLERY, KARPATSKÉ BRANDY, KARPATSKÁ PERLA. </w:t>
      </w:r>
      <w:r w:rsidR="00731F56">
        <w:rPr>
          <w:rFonts w:ascii="Times New Roman" w:hAnsi="Times New Roman" w:cs="Times New Roman"/>
          <w:sz w:val="24"/>
          <w:szCs w:val="24"/>
        </w:rPr>
        <w:t>Zrušenie ich zápisov</w:t>
      </w:r>
      <w:r w:rsidR="00731F56" w:rsidRPr="00731F56">
        <w:rPr>
          <w:rFonts w:ascii="Times New Roman" w:hAnsi="Times New Roman" w:cs="Times New Roman"/>
          <w:sz w:val="24"/>
          <w:szCs w:val="24"/>
        </w:rPr>
        <w:t xml:space="preserve"> by predstavovalo nielen nevyčísliteľnú nemateriálnu škodu na kultúrnych hodnotách, ale aj možné materiálne škody, ktoré by mohli voči Slovenskej republike vznášať jednotliví držitelia práv.</w:t>
      </w:r>
    </w:p>
    <w:p w14:paraId="0429B093" w14:textId="5F4DAAE7" w:rsidR="00C05C0A" w:rsidRPr="00E944AA" w:rsidRDefault="00C34C81" w:rsidP="00E944AA">
      <w:pPr>
        <w:ind w:firstLine="284"/>
        <w:jc w:val="both"/>
        <w:rPr>
          <w:shd w:val="clear" w:color="auto" w:fill="FFFFFF"/>
        </w:rPr>
      </w:pPr>
      <w:r w:rsidRPr="00C87E93">
        <w:rPr>
          <w:shd w:val="clear" w:color="auto" w:fill="FFFFFF"/>
        </w:rPr>
        <w:t xml:space="preserve"> </w:t>
      </w:r>
    </w:p>
    <w:p w14:paraId="4E67B345" w14:textId="0A96B63C" w:rsidR="00C05C0A" w:rsidRPr="00C87E93" w:rsidRDefault="00CF2520" w:rsidP="00186638">
      <w:pPr>
        <w:widowControl/>
        <w:ind w:firstLine="284"/>
        <w:jc w:val="both"/>
        <w:rPr>
          <w:rStyle w:val="Zstupntext"/>
          <w:color w:val="000000"/>
        </w:rPr>
      </w:pPr>
      <w:r>
        <w:lastRenderedPageBreak/>
        <w:t>Revíziou</w:t>
      </w:r>
      <w:r w:rsidR="008020B1">
        <w:t xml:space="preserve"> </w:t>
      </w:r>
      <w:r w:rsidR="00C05C0A" w:rsidRPr="00C87E93">
        <w:t>Lisabonsk</w:t>
      </w:r>
      <w:r>
        <w:t>ej</w:t>
      </w:r>
      <w:r w:rsidR="00C05C0A" w:rsidRPr="00C87E93">
        <w:t xml:space="preserve"> dohod</w:t>
      </w:r>
      <w:r>
        <w:t>y</w:t>
      </w:r>
      <w:r w:rsidR="00C05C0A" w:rsidRPr="00C87E93">
        <w:t xml:space="preserve"> </w:t>
      </w:r>
      <w:r w:rsidR="00C05C0A" w:rsidRPr="00C87E93">
        <w:rPr>
          <w:color w:val="000000"/>
        </w:rPr>
        <w:t xml:space="preserve">o ochrane označení pôvodu a ich medzinárodného zápisu </w:t>
      </w:r>
      <w:r w:rsidR="00C05C0A" w:rsidRPr="00C87E93">
        <w:t xml:space="preserve"> </w:t>
      </w:r>
      <w:r>
        <w:t>prostredníctvom dohovoru v roku 2015</w:t>
      </w:r>
      <w:r w:rsidR="008020B1">
        <w:t xml:space="preserve"> </w:t>
      </w:r>
      <w:r>
        <w:t xml:space="preserve">bola </w:t>
      </w:r>
      <w:r w:rsidR="00C05C0A" w:rsidRPr="00C87E93">
        <w:t>rozšír</w:t>
      </w:r>
      <w:r>
        <w:t>ená</w:t>
      </w:r>
      <w:r w:rsidR="00C05C0A" w:rsidRPr="00C87E93">
        <w:t xml:space="preserve"> pôsobnosť z označení pôvodu aj na zemepisné označenia  v zmysle Dohody o obchodných aspektoch práv duševného vlastníctva (TRIPS)</w:t>
      </w:r>
      <w:r w:rsidR="00C05C0A" w:rsidRPr="00C87E93">
        <w:rPr>
          <w:rStyle w:val="Zstupntext"/>
          <w:color w:val="000000"/>
        </w:rPr>
        <w:t>, teda ochrana sa poskytuje nielen označeniam pôvodu ale aj zemepisným označeniam,</w:t>
      </w:r>
      <w:r w:rsidR="00C05C0A" w:rsidRPr="00C87E93">
        <w:rPr>
          <w:rStyle w:val="Odkaznapoznmkupodiarou"/>
        </w:rPr>
        <w:footnoteReference w:id="4"/>
      </w:r>
      <w:r w:rsidR="00C05C0A" w:rsidRPr="00C87E93">
        <w:t xml:space="preserve"> a rovnako </w:t>
      </w:r>
      <w:r>
        <w:t xml:space="preserve">bolo </w:t>
      </w:r>
      <w:r w:rsidR="00C05C0A" w:rsidRPr="00C87E93">
        <w:t>umožn</w:t>
      </w:r>
      <w:r>
        <w:t>ené</w:t>
      </w:r>
      <w:r w:rsidR="00C05C0A" w:rsidRPr="00C87E93">
        <w:t xml:space="preserve"> pristúpenie medzivládnym organizáciám. Dohovor </w:t>
      </w:r>
      <w:r w:rsidR="00C05C0A" w:rsidRPr="00C87E93">
        <w:rPr>
          <w:rStyle w:val="Zstupntext"/>
          <w:color w:val="000000"/>
        </w:rPr>
        <w:t>nadobudol platnosť dňa 26. februára 2020. Doteraz dohovor ratifikoval</w:t>
      </w:r>
      <w:r w:rsidR="00F56C3C">
        <w:rPr>
          <w:rStyle w:val="Zstupntext"/>
          <w:color w:val="000000"/>
        </w:rPr>
        <w:t>i</w:t>
      </w:r>
      <w:r w:rsidR="00C05C0A" w:rsidRPr="00C87E93">
        <w:rPr>
          <w:rStyle w:val="Zstupntext"/>
          <w:color w:val="000000"/>
        </w:rPr>
        <w:t xml:space="preserve"> alebo k nemu pristúpil</w:t>
      </w:r>
      <w:r w:rsidR="00F56C3C">
        <w:rPr>
          <w:rStyle w:val="Zstupntext"/>
          <w:color w:val="000000"/>
        </w:rPr>
        <w:t>i</w:t>
      </w:r>
      <w:r w:rsidR="00C05C0A" w:rsidRPr="00C87E93">
        <w:rPr>
          <w:rStyle w:val="Zstupntext"/>
          <w:color w:val="000000"/>
        </w:rPr>
        <w:t xml:space="preserve"> </w:t>
      </w:r>
      <w:r w:rsidR="00F56C3C">
        <w:rPr>
          <w:rStyle w:val="Zstupntext"/>
          <w:color w:val="000000"/>
        </w:rPr>
        <w:t xml:space="preserve">Africká organizácia duševného vlastníctva, </w:t>
      </w:r>
      <w:r w:rsidR="00C05C0A" w:rsidRPr="00C87E93">
        <w:rPr>
          <w:rStyle w:val="Zstupntext"/>
          <w:color w:val="000000"/>
        </w:rPr>
        <w:t>Albánsko, Česko, EÚ, Francúzsko, Ghana, Kambodža, Kapverdy, Kórejská ľudovodemokratická republika, Laos, Maďarsko, Omán,  </w:t>
      </w:r>
      <w:r w:rsidR="008717F6">
        <w:rPr>
          <w:rStyle w:val="Zstupntext"/>
          <w:color w:val="000000"/>
        </w:rPr>
        <w:t xml:space="preserve">Peru, </w:t>
      </w:r>
      <w:r w:rsidR="00F56C3C">
        <w:rPr>
          <w:rStyle w:val="Zstupntext"/>
          <w:color w:val="000000"/>
        </w:rPr>
        <w:t>Pobrežie Slonoviny,</w:t>
      </w:r>
      <w:r w:rsidR="00C34C81">
        <w:rPr>
          <w:rStyle w:val="Zstupntext"/>
          <w:color w:val="000000"/>
        </w:rPr>
        <w:t xml:space="preserve"> Portugalsko,</w:t>
      </w:r>
      <w:r w:rsidR="00B21E03">
        <w:rPr>
          <w:rStyle w:val="Zstupntext"/>
          <w:color w:val="000000"/>
        </w:rPr>
        <w:t xml:space="preserve"> Ruská federácia,</w:t>
      </w:r>
      <w:r w:rsidR="00F56C3C">
        <w:rPr>
          <w:rStyle w:val="Zstupntext"/>
          <w:color w:val="000000"/>
        </w:rPr>
        <w:t xml:space="preserve"> </w:t>
      </w:r>
      <w:r w:rsidR="00C05C0A" w:rsidRPr="00C87E93">
        <w:rPr>
          <w:rStyle w:val="Zstupntext"/>
          <w:color w:val="000000"/>
        </w:rPr>
        <w:t>Samoa</w:t>
      </w:r>
      <w:r w:rsidR="00F56C3C">
        <w:rPr>
          <w:rStyle w:val="Zstupntext"/>
          <w:color w:val="000000"/>
        </w:rPr>
        <w:t>,</w:t>
      </w:r>
      <w:r w:rsidR="00B21E03">
        <w:rPr>
          <w:rStyle w:val="Zstupntext"/>
          <w:color w:val="000000"/>
        </w:rPr>
        <w:t xml:space="preserve"> Sv. Tomáš a Princov ostrov, Senegal,</w:t>
      </w:r>
      <w:r w:rsidR="00F56C3C">
        <w:rPr>
          <w:rStyle w:val="Zstupntext"/>
          <w:color w:val="000000"/>
        </w:rPr>
        <w:t> </w:t>
      </w:r>
      <w:r w:rsidR="00C05C0A" w:rsidRPr="00C87E93">
        <w:rPr>
          <w:rStyle w:val="Zstupntext"/>
          <w:color w:val="000000"/>
        </w:rPr>
        <w:t>Švajčiarsko</w:t>
      </w:r>
      <w:r w:rsidR="00F56C3C">
        <w:rPr>
          <w:rStyle w:val="Zstupntext"/>
          <w:color w:val="000000"/>
        </w:rPr>
        <w:t xml:space="preserve"> a Tunisko</w:t>
      </w:r>
      <w:r w:rsidR="00C05C0A" w:rsidRPr="00C87E93">
        <w:rPr>
          <w:rStyle w:val="Zstupntext"/>
          <w:color w:val="000000"/>
        </w:rPr>
        <w:t xml:space="preserve">. </w:t>
      </w:r>
    </w:p>
    <w:p w14:paraId="34D26184" w14:textId="77777777" w:rsidR="00C05C0A" w:rsidRPr="00C87E93" w:rsidRDefault="00C05C0A" w:rsidP="006A5032">
      <w:pPr>
        <w:widowControl/>
        <w:ind w:firstLine="567"/>
        <w:jc w:val="both"/>
        <w:rPr>
          <w:rStyle w:val="Zstupntext"/>
          <w:color w:val="000000"/>
        </w:rPr>
      </w:pPr>
    </w:p>
    <w:p w14:paraId="7B553CEC" w14:textId="732370FF" w:rsidR="00C05C0A" w:rsidRPr="000E45F3" w:rsidRDefault="00C05C0A" w:rsidP="00186638">
      <w:pPr>
        <w:widowControl/>
        <w:ind w:firstLine="284"/>
        <w:jc w:val="both"/>
        <w:rPr>
          <w:strike/>
          <w:shd w:val="clear" w:color="auto" w:fill="FFFFFF"/>
        </w:rPr>
      </w:pPr>
      <w:r w:rsidRPr="00C87E93">
        <w:rPr>
          <w:color w:val="000000"/>
          <w:shd w:val="clear" w:color="auto" w:fill="FFFFFF"/>
        </w:rPr>
        <w:t>V súvislosti s členstvom Slovenskej republiky v EÚ je potrebné zdôrazniť, že v oblastiach, na ktoré sa</w:t>
      </w:r>
      <w:r w:rsidR="00D70BC3" w:rsidRPr="00D70BC3">
        <w:rPr>
          <w:color w:val="000000"/>
          <w:shd w:val="clear" w:color="auto" w:fill="FFFFFF"/>
        </w:rPr>
        <w:t xml:space="preserve"> </w:t>
      </w:r>
      <w:r w:rsidR="00D70BC3" w:rsidRPr="00C87E93">
        <w:rPr>
          <w:color w:val="000000"/>
          <w:shd w:val="clear" w:color="auto" w:fill="FFFFFF"/>
        </w:rPr>
        <w:t>dohovor</w:t>
      </w:r>
      <w:r w:rsidRPr="00C87E93">
        <w:rPr>
          <w:color w:val="000000"/>
          <w:shd w:val="clear" w:color="auto" w:fill="FFFFFF"/>
        </w:rPr>
        <w:t xml:space="preserve"> vzťahuje, má výlučnú právomoc EÚ. EÚ v záujme riadneho uplatňovania svojej </w:t>
      </w:r>
      <w:r w:rsidRPr="00C87E93">
        <w:rPr>
          <w:rStyle w:val="Zstupntext"/>
          <w:color w:val="000000"/>
        </w:rPr>
        <w:t>výlučnej právomoci v súvislosti s dohovorom a aj v záujme uplatňovania svojej funkcie v kontexte svojich úplných systémov ochrany poľnohospodárskych zemepisných označení rozhodla o svojom prístupe k dohovoru</w:t>
      </w:r>
      <w:r w:rsidRPr="00C87E93">
        <w:rPr>
          <w:rStyle w:val="Odkaznapoznmkupodiarou"/>
          <w:color w:val="000000"/>
        </w:rPr>
        <w:footnoteReference w:id="5"/>
      </w:r>
      <w:r w:rsidRPr="00C87E93">
        <w:rPr>
          <w:rStyle w:val="Zstupntext"/>
          <w:color w:val="000000"/>
        </w:rPr>
        <w:t xml:space="preserve"> a </w:t>
      </w:r>
      <w:r w:rsidRPr="00C87E93">
        <w:rPr>
          <w:color w:val="000000"/>
          <w:shd w:val="clear" w:color="auto" w:fill="FFFFFF"/>
        </w:rPr>
        <w:t xml:space="preserve">dňa 26. novembra 2019 uložila prístupové listiny k dohovoru na pôde WIPO v Ženeve. </w:t>
      </w:r>
      <w:r w:rsidRPr="000E45F3">
        <w:rPr>
          <w:shd w:val="clear" w:color="auto" w:fill="FFFFFF"/>
        </w:rPr>
        <w:t>Samotný text dohovoru bol uverejnený v Úradnom vestníku Európskej únie (</w:t>
      </w:r>
      <w:r w:rsidRPr="000E45F3">
        <w:t xml:space="preserve">Ú. v. EÚ </w:t>
      </w:r>
      <w:r w:rsidRPr="000E45F3">
        <w:rPr>
          <w:shd w:val="clear" w:color="auto" w:fill="FFFFFF"/>
        </w:rPr>
        <w:t>L 271, 24.10.2019) vo všetkých úradných jazykoch EÚ.</w:t>
      </w:r>
      <w:r w:rsidRPr="000E45F3">
        <w:rPr>
          <w:rStyle w:val="Odkaznapoznmkupodiarou"/>
          <w:shd w:val="clear" w:color="auto" w:fill="FFFFFF"/>
        </w:rPr>
        <w:footnoteReference w:id="6"/>
      </w:r>
      <w:r w:rsidRPr="000E45F3">
        <w:rPr>
          <w:shd w:val="clear" w:color="auto" w:fill="FFFFFF"/>
        </w:rPr>
        <w:t xml:space="preserve"> </w:t>
      </w:r>
    </w:p>
    <w:p w14:paraId="100F284B" w14:textId="77777777" w:rsidR="00C05C0A" w:rsidRPr="00C87E93" w:rsidRDefault="00C05C0A" w:rsidP="006A5032">
      <w:pPr>
        <w:widowControl/>
        <w:ind w:firstLine="567"/>
        <w:jc w:val="both"/>
        <w:rPr>
          <w:color w:val="000000"/>
          <w:shd w:val="clear" w:color="auto" w:fill="FFFFFF"/>
        </w:rPr>
      </w:pPr>
    </w:p>
    <w:p w14:paraId="308970C8" w14:textId="518C3F3D" w:rsidR="00C05C0A" w:rsidRPr="00C87E93" w:rsidRDefault="00C05C0A" w:rsidP="00186638">
      <w:pPr>
        <w:ind w:firstLine="284"/>
        <w:jc w:val="both"/>
      </w:pPr>
      <w:r w:rsidRPr="00C87E93">
        <w:rPr>
          <w:color w:val="000000"/>
          <w:shd w:val="clear" w:color="auto" w:fill="FFFFFF"/>
        </w:rPr>
        <w:t xml:space="preserve">Pokiaľ ide o možnosť prístupu samotných členských štátov EÚ k dohovoru, </w:t>
      </w:r>
      <w:r w:rsidRPr="00C87E93">
        <w:t>rozhodnuti</w:t>
      </w:r>
      <w:r w:rsidR="001707B9">
        <w:t>e</w:t>
      </w:r>
      <w:r w:rsidRPr="00C87E93">
        <w:t xml:space="preserve"> Rady (EÚ) 2019/1754 zo 7. októbra 2019 o pristúpení EÚ k Ženevskému aktu Lisabonskej dohody o označeniach pôvodu a zemepisných označeniach</w:t>
      </w:r>
      <w:r w:rsidR="00A40769">
        <w:t xml:space="preserve"> </w:t>
      </w:r>
      <w:r w:rsidR="00A40769" w:rsidRPr="00E4383D">
        <w:t>(Ú. v. EÚ L 271, 24.10.2019)</w:t>
      </w:r>
      <w:r w:rsidR="001707B9">
        <w:t xml:space="preserve"> v </w:t>
      </w:r>
      <w:r w:rsidR="001707B9" w:rsidRPr="00C87E93">
        <w:rPr>
          <w:color w:val="000000"/>
          <w:shd w:val="clear" w:color="auto" w:fill="FFFFFF"/>
        </w:rPr>
        <w:t>člán</w:t>
      </w:r>
      <w:r w:rsidR="001707B9">
        <w:rPr>
          <w:color w:val="000000"/>
          <w:shd w:val="clear" w:color="auto" w:fill="FFFFFF"/>
        </w:rPr>
        <w:t>ku</w:t>
      </w:r>
      <w:r w:rsidR="001707B9" w:rsidRPr="00C87E93">
        <w:rPr>
          <w:color w:val="000000"/>
          <w:shd w:val="clear" w:color="auto" w:fill="FFFFFF"/>
        </w:rPr>
        <w:t xml:space="preserve"> 3</w:t>
      </w:r>
      <w:r w:rsidRPr="00C87E93">
        <w:t xml:space="preserve"> povo</w:t>
      </w:r>
      <w:r w:rsidR="00D70BC3">
        <w:t>lilo</w:t>
      </w:r>
      <w:r w:rsidRPr="00C87E93">
        <w:t xml:space="preserve"> členským štátom EÚ, ktoré si to želajú, ratifikovať dohovor alebo k nemu pristúpiť popri EÚ.</w:t>
      </w:r>
    </w:p>
    <w:p w14:paraId="7E0EE9B7" w14:textId="4636697B" w:rsidR="00C05C0A" w:rsidRPr="00C87E93" w:rsidRDefault="00C05C0A" w:rsidP="00E944AA">
      <w:pPr>
        <w:jc w:val="both"/>
        <w:rPr>
          <w:shd w:val="clear" w:color="auto" w:fill="FFFFFF"/>
        </w:rPr>
      </w:pPr>
    </w:p>
    <w:p w14:paraId="1D291FC6" w14:textId="1DC2E2B9" w:rsidR="00C05C0A" w:rsidRPr="00C87E93" w:rsidRDefault="00C05C0A" w:rsidP="00186638">
      <w:pPr>
        <w:ind w:firstLine="284"/>
        <w:jc w:val="both"/>
        <w:rPr>
          <w:color w:val="000000"/>
          <w:shd w:val="clear" w:color="auto" w:fill="FFFFFF"/>
        </w:rPr>
      </w:pPr>
      <w:r w:rsidRPr="00C87E93">
        <w:t xml:space="preserve">Európska komisia vo vyhlásení 2019/C 360/02 povolenie ratifikácie alebo prístupu k dohovoru všetkým členským štátom EÚ </w:t>
      </w:r>
      <w:r w:rsidR="00CF2520">
        <w:t xml:space="preserve">v článku 3 rozhodnutia (EÚ) 2019/1754 </w:t>
      </w:r>
      <w:r w:rsidRPr="00C87E93">
        <w:t xml:space="preserve">namietla a vyhradila si právo proti </w:t>
      </w:r>
      <w:r w:rsidR="00A40769">
        <w:t xml:space="preserve">uvedenému </w:t>
      </w:r>
      <w:r w:rsidRPr="00C87E93">
        <w:t xml:space="preserve">rozhodnutiu využiť opravné prostriedky, avšak súčasne vyhlásila, že je </w:t>
      </w:r>
      <w:r w:rsidRPr="00C87E93">
        <w:rPr>
          <w:color w:val="000000"/>
          <w:shd w:val="clear" w:color="auto" w:fill="FFFFFF"/>
        </w:rPr>
        <w:t xml:space="preserve">výnimočne pripravená súhlasiť s tým, aby bolo v záujme EÚ povolené Bulharsku, Česku, Slovenskej republike, Francúzsku, Maďarsku, Taliansku a Portugalsku pristúpiť k dohovoru. Dôvodom </w:t>
      </w:r>
      <w:r w:rsidR="003A09AC">
        <w:rPr>
          <w:color w:val="000000"/>
          <w:shd w:val="clear" w:color="auto" w:fill="FFFFFF"/>
        </w:rPr>
        <w:t>tohto postoja E</w:t>
      </w:r>
      <w:r w:rsidR="008848C1">
        <w:rPr>
          <w:color w:val="000000"/>
          <w:shd w:val="clear" w:color="auto" w:fill="FFFFFF"/>
        </w:rPr>
        <w:t>urópskej komisie</w:t>
      </w:r>
      <w:r w:rsidR="003A09AC">
        <w:rPr>
          <w:color w:val="000000"/>
          <w:shd w:val="clear" w:color="auto" w:fill="FFFFFF"/>
        </w:rPr>
        <w:t xml:space="preserve"> </w:t>
      </w:r>
      <w:r w:rsidRPr="00C87E93">
        <w:rPr>
          <w:color w:val="000000"/>
          <w:shd w:val="clear" w:color="auto" w:fill="FFFFFF"/>
        </w:rPr>
        <w:t xml:space="preserve">sú výnimočné okolnosti, ktoré spočívajú v tom, že týchto sedem členských štátov EÚ je už dlhodobo zmluvnou stranou Lisabonskej dohody </w:t>
      </w:r>
      <w:r w:rsidRPr="00C87E93">
        <w:rPr>
          <w:rStyle w:val="Zstupntext"/>
          <w:color w:val="000000"/>
        </w:rPr>
        <w:t>o ochrane označení pôvodu a ich medzinárodného zápisu</w:t>
      </w:r>
      <w:r w:rsidRPr="00C87E93">
        <w:rPr>
          <w:color w:val="000000"/>
          <w:shd w:val="clear" w:color="auto" w:fill="FFFFFF"/>
        </w:rPr>
        <w:t>, majú na jej základe zapísané v medzinárodnom registri značné duševné vlastníctvo a je potrebné zabezpečiť kontinuitu práv vyplývajúcich z existujúceho členstva týchto siedmych členských štátov EÚ v osobitnej únii.</w:t>
      </w:r>
    </w:p>
    <w:p w14:paraId="4DB4A002" w14:textId="77777777" w:rsidR="00C05C0A" w:rsidRPr="00C87E93" w:rsidRDefault="00C05C0A" w:rsidP="006A5032">
      <w:pPr>
        <w:jc w:val="both"/>
      </w:pPr>
    </w:p>
    <w:p w14:paraId="6641B314" w14:textId="7FF94C08" w:rsidR="00E9373F" w:rsidRDefault="00D70BC3" w:rsidP="00E9373F">
      <w:pPr>
        <w:pStyle w:val="c01pointaltn"/>
        <w:spacing w:before="0" w:beforeAutospacing="0" w:after="0" w:afterAutospacing="0"/>
        <w:ind w:firstLine="284"/>
        <w:jc w:val="both"/>
      </w:pPr>
      <w:r>
        <w:t xml:space="preserve">Následne </w:t>
      </w:r>
      <w:r w:rsidR="00C05C0A" w:rsidRPr="00C87E93">
        <w:t>Európska komisia žalobou podanou 17. januára 2020 na Súdny dvor Európskej únie (konanie C-24/20) žal</w:t>
      </w:r>
      <w:r w:rsidR="004B5E46">
        <w:t>ovala</w:t>
      </w:r>
      <w:r w:rsidR="00C05C0A" w:rsidRPr="00C87E93">
        <w:t xml:space="preserve"> Radu Európskej únie a navrh</w:t>
      </w:r>
      <w:r w:rsidR="004B5E46">
        <w:t>la</w:t>
      </w:r>
      <w:r w:rsidR="00C05C0A" w:rsidRPr="00C87E93">
        <w:t xml:space="preserve"> zrušiť článok 3 rozhodnutia (EÚ) </w:t>
      </w:r>
      <w:r w:rsidR="00C05C0A" w:rsidRPr="00C87E93">
        <w:lastRenderedPageBreak/>
        <w:t>2019/1754</w:t>
      </w:r>
      <w:r w:rsidR="003A09AC">
        <w:t>, ktorý predstavoval právny základ pre možnosť pr</w:t>
      </w:r>
      <w:r w:rsidR="00410890">
        <w:t>ístupu</w:t>
      </w:r>
      <w:r w:rsidR="003A09AC">
        <w:t xml:space="preserve"> čle</w:t>
      </w:r>
      <w:r w:rsidR="00410890">
        <w:t>ns</w:t>
      </w:r>
      <w:r w:rsidR="003A09AC">
        <w:t>k</w:t>
      </w:r>
      <w:r w:rsidR="00410890">
        <w:t>ý</w:t>
      </w:r>
      <w:r w:rsidR="003A09AC">
        <w:t>ch štátov EÚ k Ženevskému aktu</w:t>
      </w:r>
      <w:r w:rsidR="00C05C0A" w:rsidRPr="00C87E93">
        <w:t>.</w:t>
      </w:r>
      <w:r w:rsidR="00C05C0A" w:rsidRPr="00C87E93">
        <w:rPr>
          <w:rStyle w:val="Odkaznapoznmkupodiarou"/>
        </w:rPr>
        <w:footnoteReference w:id="7"/>
      </w:r>
      <w:r w:rsidR="00C05C0A" w:rsidRPr="00C87E93">
        <w:t xml:space="preserve"> </w:t>
      </w:r>
    </w:p>
    <w:p w14:paraId="234C2BE5" w14:textId="77777777" w:rsidR="00E9373F" w:rsidRDefault="00E9373F" w:rsidP="00E9373F">
      <w:pPr>
        <w:pStyle w:val="c01pointaltn"/>
        <w:spacing w:before="0" w:beforeAutospacing="0" w:after="0" w:afterAutospacing="0"/>
        <w:ind w:firstLine="284"/>
        <w:jc w:val="both"/>
      </w:pPr>
    </w:p>
    <w:p w14:paraId="66500BB6" w14:textId="649BE552" w:rsidR="002D7492" w:rsidRDefault="003D5DEE">
      <w:pPr>
        <w:pStyle w:val="c01pointaltn"/>
        <w:spacing w:before="0" w:beforeAutospacing="0" w:after="0" w:afterAutospacing="0"/>
        <w:ind w:firstLine="284"/>
        <w:jc w:val="both"/>
        <w:rPr>
          <w:shd w:val="clear" w:color="auto" w:fill="FFFFFF"/>
        </w:rPr>
      </w:pPr>
      <w:r w:rsidRPr="00C87E93">
        <w:t>Je</w:t>
      </w:r>
      <w:r w:rsidR="00A8025E" w:rsidRPr="00C87E93">
        <w:t xml:space="preserve"> </w:t>
      </w:r>
      <w:r w:rsidR="00A86BFA" w:rsidRPr="00C87E93">
        <w:t>zjavné</w:t>
      </w:r>
      <w:r w:rsidRPr="00C87E93">
        <w:t xml:space="preserve">, že v zmysle článku 11 ods. 1 a 2 nariadenia (EÚ) 2019/1753 </w:t>
      </w:r>
      <w:r w:rsidR="00A86BFA" w:rsidRPr="00C87E93">
        <w:t>je</w:t>
      </w:r>
      <w:r w:rsidRPr="00C87E93">
        <w:t xml:space="preserve"> n</w:t>
      </w:r>
      <w:r w:rsidR="00A86BFA" w:rsidRPr="00C87E93">
        <w:t>evyhnutné</w:t>
      </w:r>
      <w:r w:rsidRPr="00C87E93">
        <w:t xml:space="preserve"> pr</w:t>
      </w:r>
      <w:r w:rsidR="00A86BFA" w:rsidRPr="00C87E93">
        <w:t>ístup Slovenskej republiky</w:t>
      </w:r>
      <w:r w:rsidRPr="00C87E93">
        <w:t xml:space="preserve"> k</w:t>
      </w:r>
      <w:r w:rsidR="00A8025E" w:rsidRPr="00C87E93">
        <w:t> </w:t>
      </w:r>
      <w:r w:rsidRPr="00C87E93">
        <w:t>dohovoru</w:t>
      </w:r>
      <w:r w:rsidR="00A8025E" w:rsidRPr="00C87E93">
        <w:t xml:space="preserve"> </w:t>
      </w:r>
      <w:r w:rsidRPr="00C87E93">
        <w:t xml:space="preserve"> zabezpečiť. </w:t>
      </w:r>
      <w:r w:rsidR="00410890">
        <w:t>Neuskutočnenie</w:t>
      </w:r>
      <w:r w:rsidRPr="00C87E93">
        <w:t xml:space="preserve"> procesu by </w:t>
      </w:r>
      <w:r w:rsidR="008020B1">
        <w:t>m</w:t>
      </w:r>
      <w:r w:rsidR="00E9373F">
        <w:t xml:space="preserve">alo </w:t>
      </w:r>
      <w:r w:rsidRPr="00C87E93">
        <w:t>za následok stratu významných slovenských označení pôvodu zapísaných v medzinárodnom registri na základe Lisabonskej dohody.</w:t>
      </w:r>
      <w:r w:rsidR="00E9373F">
        <w:t xml:space="preserve"> </w:t>
      </w:r>
      <w:r w:rsidR="002D7492">
        <w:rPr>
          <w:shd w:val="clear" w:color="auto" w:fill="FFFFFF"/>
        </w:rPr>
        <w:t>Z</w:t>
      </w:r>
      <w:r w:rsidR="008020B1">
        <w:rPr>
          <w:shd w:val="clear" w:color="auto" w:fill="FFFFFF"/>
        </w:rPr>
        <w:t> </w:t>
      </w:r>
      <w:r w:rsidR="002D7492">
        <w:rPr>
          <w:shd w:val="clear" w:color="auto" w:fill="FFFFFF"/>
        </w:rPr>
        <w:t>uveden</w:t>
      </w:r>
      <w:r w:rsidR="00E9373F">
        <w:rPr>
          <w:shd w:val="clear" w:color="auto" w:fill="FFFFFF"/>
        </w:rPr>
        <w:t>ého</w:t>
      </w:r>
      <w:r w:rsidR="008020B1">
        <w:rPr>
          <w:shd w:val="clear" w:color="auto" w:fill="FFFFFF"/>
        </w:rPr>
        <w:t xml:space="preserve"> </w:t>
      </w:r>
      <w:r w:rsidR="002D7492">
        <w:rPr>
          <w:shd w:val="clear" w:color="auto" w:fill="FFFFFF"/>
        </w:rPr>
        <w:t>dôvod</w:t>
      </w:r>
      <w:r w:rsidR="00E9373F">
        <w:rPr>
          <w:shd w:val="clear" w:color="auto" w:fill="FFFFFF"/>
        </w:rPr>
        <w:t xml:space="preserve">u, napriek podanej žalobe EK vo veci C-24/20, avšak v súlade s vyhlásením EK 2019/C 360/02, </w:t>
      </w:r>
      <w:r w:rsidR="002D7492">
        <w:rPr>
          <w:shd w:val="clear" w:color="auto" w:fill="FFFFFF"/>
        </w:rPr>
        <w:t xml:space="preserve">v roku 2022 Úrad priemyselného vlastníctva </w:t>
      </w:r>
      <w:r w:rsidR="00E9373F">
        <w:rPr>
          <w:shd w:val="clear" w:color="auto" w:fill="FFFFFF"/>
        </w:rPr>
        <w:t xml:space="preserve">Slovenskej republiky </w:t>
      </w:r>
      <w:r w:rsidR="002D7492">
        <w:rPr>
          <w:shd w:val="clear" w:color="auto" w:fill="FFFFFF"/>
        </w:rPr>
        <w:t xml:space="preserve">zahájil proces smerujúci k prístupu Slovenskej republiky k dohovoru. </w:t>
      </w:r>
    </w:p>
    <w:p w14:paraId="13FC9024" w14:textId="77777777" w:rsidR="002D7492" w:rsidRDefault="002D7492" w:rsidP="00186638">
      <w:pPr>
        <w:pStyle w:val="c01pointaltn"/>
        <w:spacing w:before="0" w:beforeAutospacing="0" w:after="0" w:afterAutospacing="0"/>
        <w:ind w:firstLine="284"/>
        <w:jc w:val="both"/>
        <w:rPr>
          <w:shd w:val="clear" w:color="auto" w:fill="FFFFFF"/>
        </w:rPr>
      </w:pPr>
    </w:p>
    <w:p w14:paraId="0F76DF88" w14:textId="0ACD1636" w:rsidR="004B5E46" w:rsidRDefault="00734A97" w:rsidP="00186638">
      <w:pPr>
        <w:pStyle w:val="c01pointaltn"/>
        <w:spacing w:before="0" w:beforeAutospacing="0" w:after="0" w:afterAutospacing="0"/>
        <w:ind w:firstLine="284"/>
        <w:jc w:val="both"/>
        <w:rPr>
          <w:shd w:val="clear" w:color="auto" w:fill="FFFFFF"/>
        </w:rPr>
      </w:pPr>
      <w:r>
        <w:rPr>
          <w:shd w:val="clear" w:color="auto" w:fill="FFFFFF"/>
        </w:rPr>
        <w:t>N</w:t>
      </w:r>
      <w:r w:rsidR="004B5E46" w:rsidRPr="004B5E46">
        <w:rPr>
          <w:shd w:val="clear" w:color="auto" w:fill="FFFFFF"/>
        </w:rPr>
        <w:t>ávrh na prístup Slovenskej republiky k Ženevskému aktu Lisabonskej dohody o označeniach pôvodu a zemepisných označeniach schválila na svojom 116. rokovaní vláda Slovenskej republiky uznesením č. 689</w:t>
      </w:r>
      <w:r>
        <w:rPr>
          <w:shd w:val="clear" w:color="auto" w:fill="FFFFFF"/>
        </w:rPr>
        <w:t xml:space="preserve"> d</w:t>
      </w:r>
      <w:r w:rsidRPr="004B5E46">
        <w:rPr>
          <w:shd w:val="clear" w:color="auto" w:fill="FFFFFF"/>
        </w:rPr>
        <w:t>ňa 9. novembra 2022</w:t>
      </w:r>
      <w:r w:rsidR="004B5E46" w:rsidRPr="004B5E46">
        <w:rPr>
          <w:shd w:val="clear" w:color="auto" w:fill="FFFFFF"/>
        </w:rPr>
        <w:t>.</w:t>
      </w:r>
    </w:p>
    <w:p w14:paraId="1BA03992" w14:textId="6CCD5C18" w:rsidR="004B5E46" w:rsidRDefault="004B5E46" w:rsidP="00186638">
      <w:pPr>
        <w:pStyle w:val="c01pointaltn"/>
        <w:spacing w:before="0" w:beforeAutospacing="0" w:after="0" w:afterAutospacing="0"/>
        <w:ind w:firstLine="284"/>
        <w:jc w:val="both"/>
        <w:rPr>
          <w:shd w:val="clear" w:color="auto" w:fill="FFFFFF"/>
        </w:rPr>
      </w:pPr>
    </w:p>
    <w:p w14:paraId="275EE6C2" w14:textId="0F10DDEC" w:rsidR="004B5E46" w:rsidRPr="00D62455" w:rsidRDefault="002D7492" w:rsidP="00740463">
      <w:pPr>
        <w:ind w:firstLine="284"/>
        <w:jc w:val="both"/>
        <w:rPr>
          <w:shd w:val="clear" w:color="auto" w:fill="FFFFFF"/>
        </w:rPr>
      </w:pPr>
      <w:r w:rsidRPr="00D62455">
        <w:rPr>
          <w:shd w:val="clear" w:color="auto" w:fill="FFFFFF"/>
        </w:rPr>
        <w:t>Avšak d</w:t>
      </w:r>
      <w:r w:rsidR="004B5E46" w:rsidRPr="00D62455">
        <w:rPr>
          <w:shd w:val="clear" w:color="auto" w:fill="FFFFFF"/>
        </w:rPr>
        <w:t>ňa 22. novembra 2022 Súdn</w:t>
      </w:r>
      <w:r w:rsidR="00B22098" w:rsidRPr="00D62455">
        <w:rPr>
          <w:shd w:val="clear" w:color="auto" w:fill="FFFFFF"/>
        </w:rPr>
        <w:t>y</w:t>
      </w:r>
      <w:r w:rsidR="004B5E46" w:rsidRPr="00D62455">
        <w:rPr>
          <w:shd w:val="clear" w:color="auto" w:fill="FFFFFF"/>
        </w:rPr>
        <w:t xml:space="preserve"> dvor EÚ vydal vo veci C-24/20 </w:t>
      </w:r>
      <w:r w:rsidR="00B22098" w:rsidRPr="00D62455">
        <w:rPr>
          <w:shd w:val="clear" w:color="auto" w:fill="FFFFFF"/>
        </w:rPr>
        <w:t xml:space="preserve"> rozsudok</w:t>
      </w:r>
      <w:r w:rsidR="004B5E46" w:rsidRPr="00D62455">
        <w:rPr>
          <w:shd w:val="clear" w:color="auto" w:fill="FFFFFF"/>
        </w:rPr>
        <w:t xml:space="preserve">, </w:t>
      </w:r>
      <w:r w:rsidR="00B22098" w:rsidRPr="00D62455">
        <w:rPr>
          <w:shd w:val="clear" w:color="auto" w:fill="FFFFFF"/>
        </w:rPr>
        <w:t>na základe ktorého</w:t>
      </w:r>
      <w:r w:rsidR="004B5E46" w:rsidRPr="00D62455">
        <w:rPr>
          <w:shd w:val="clear" w:color="auto" w:fill="FFFFFF"/>
        </w:rPr>
        <w:t xml:space="preserve"> Slovenská republika, a aj ostatné členské štáty EÚ, stratili právny základ pre prístup k Ženevskému aktu, keďže článok 3 rozhodnutia</w:t>
      </w:r>
      <w:r w:rsidR="004B5E46" w:rsidRPr="00D62455">
        <w:t xml:space="preserve"> (EÚ) 2019/1754 </w:t>
      </w:r>
      <w:r w:rsidR="004B5E46" w:rsidRPr="00D62455">
        <w:rPr>
          <w:shd w:val="clear" w:color="auto" w:fill="FFFFFF"/>
        </w:rPr>
        <w:t xml:space="preserve"> sa predmetným rozsudkom zruš</w:t>
      </w:r>
      <w:r w:rsidRPr="00D62455">
        <w:rPr>
          <w:shd w:val="clear" w:color="auto" w:fill="FFFFFF"/>
        </w:rPr>
        <w:t>il</w:t>
      </w:r>
      <w:r w:rsidR="004B5E46" w:rsidRPr="00D62455">
        <w:rPr>
          <w:shd w:val="clear" w:color="auto" w:fill="FFFFFF"/>
        </w:rPr>
        <w:t xml:space="preserve">.  </w:t>
      </w:r>
    </w:p>
    <w:p w14:paraId="24BEAA24" w14:textId="41920051" w:rsidR="00B22098" w:rsidRPr="00D62455" w:rsidRDefault="00B22098" w:rsidP="004B5E46">
      <w:p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70467542" w14:textId="3074C387" w:rsidR="00B22098" w:rsidRPr="00D62455" w:rsidRDefault="00B22098" w:rsidP="00270899">
      <w:pPr>
        <w:ind w:firstLine="284"/>
        <w:jc w:val="both"/>
        <w:rPr>
          <w:shd w:val="clear" w:color="auto" w:fill="FFFFFF"/>
        </w:rPr>
      </w:pPr>
      <w:r w:rsidRPr="00D62455">
        <w:rPr>
          <w:shd w:val="clear" w:color="auto" w:fill="FFFFFF"/>
        </w:rPr>
        <w:t xml:space="preserve">Z uvedeného dôvodu </w:t>
      </w:r>
      <w:r w:rsidR="00740463" w:rsidRPr="00D62455">
        <w:rPr>
          <w:shd w:val="clear" w:color="auto" w:fill="FFFFFF"/>
        </w:rPr>
        <w:t xml:space="preserve">bolo </w:t>
      </w:r>
      <w:r w:rsidRPr="00D62455">
        <w:rPr>
          <w:shd w:val="clear" w:color="auto" w:fill="FFFFFF"/>
        </w:rPr>
        <w:t>pristúp</w:t>
      </w:r>
      <w:r w:rsidR="00740463" w:rsidRPr="00D62455">
        <w:rPr>
          <w:shd w:val="clear" w:color="auto" w:fill="FFFFFF"/>
        </w:rPr>
        <w:t>ené</w:t>
      </w:r>
      <w:r w:rsidRPr="00D62455">
        <w:rPr>
          <w:shd w:val="clear" w:color="auto" w:fill="FFFFFF"/>
        </w:rPr>
        <w:t xml:space="preserve"> k pozastaveniu vnútroštátneho prístupového procesu, a to až do </w:t>
      </w:r>
      <w:r w:rsidR="00740463" w:rsidRPr="00D62455">
        <w:rPr>
          <w:shd w:val="clear" w:color="auto" w:fill="FFFFFF"/>
        </w:rPr>
        <w:t>nadobudnutia účinnosti</w:t>
      </w:r>
      <w:r w:rsidRPr="00D62455">
        <w:rPr>
          <w:shd w:val="clear" w:color="auto" w:fill="FFFFFF"/>
        </w:rPr>
        <w:t xml:space="preserve"> nového rozhodnutia Rady Európskej únie, ktoré sa opätovne vysporiada s otázkou prístupu členských krajín EÚ k Ženevskému aktu</w:t>
      </w:r>
      <w:r w:rsidR="004B7907" w:rsidRPr="00D62455">
        <w:rPr>
          <w:shd w:val="clear" w:color="auto" w:fill="FFFFFF"/>
        </w:rPr>
        <w:t>.</w:t>
      </w:r>
    </w:p>
    <w:p w14:paraId="52B60FB8" w14:textId="2D85E9CD" w:rsidR="00740463" w:rsidRPr="00D62455" w:rsidRDefault="00740463" w:rsidP="00270899">
      <w:pPr>
        <w:ind w:firstLine="284"/>
        <w:jc w:val="both"/>
        <w:rPr>
          <w:shd w:val="clear" w:color="auto" w:fill="FFFFFF"/>
        </w:rPr>
      </w:pPr>
    </w:p>
    <w:p w14:paraId="3C66505C" w14:textId="597CE9A0" w:rsidR="00B21E03" w:rsidRPr="00D62455" w:rsidRDefault="002D7492" w:rsidP="00162ADC">
      <w:pPr>
        <w:ind w:firstLine="284"/>
        <w:jc w:val="both"/>
        <w:rPr>
          <w:shd w:val="clear" w:color="auto" w:fill="FFFFFF"/>
        </w:rPr>
      </w:pPr>
      <w:r w:rsidRPr="00D62455">
        <w:rPr>
          <w:shd w:val="clear" w:color="auto" w:fill="FFFFFF"/>
        </w:rPr>
        <w:t>Predmetné r</w:t>
      </w:r>
      <w:r w:rsidR="00740463" w:rsidRPr="00D62455">
        <w:rPr>
          <w:shd w:val="clear" w:color="auto" w:fill="FFFFFF"/>
        </w:rPr>
        <w:t xml:space="preserve">ozhodnutie Rady </w:t>
      </w:r>
      <w:r w:rsidR="00471EDA" w:rsidRPr="00D62455">
        <w:rPr>
          <w:shd w:val="clear" w:color="auto" w:fill="FFFFFF"/>
        </w:rPr>
        <w:t>(</w:t>
      </w:r>
      <w:r w:rsidR="00740463" w:rsidRPr="00D62455">
        <w:rPr>
          <w:shd w:val="clear" w:color="auto" w:fill="FFFFFF"/>
        </w:rPr>
        <w:t>E</w:t>
      </w:r>
      <w:r w:rsidR="00471EDA" w:rsidRPr="00D62455">
        <w:rPr>
          <w:shd w:val="clear" w:color="auto" w:fill="FFFFFF"/>
        </w:rPr>
        <w:t>Ú)</w:t>
      </w:r>
      <w:r w:rsidR="00740463" w:rsidRPr="00D62455">
        <w:rPr>
          <w:shd w:val="clear" w:color="auto" w:fill="FFFFFF"/>
        </w:rPr>
        <w:t xml:space="preserve"> </w:t>
      </w:r>
      <w:r w:rsidR="00471EDA" w:rsidRPr="00D62455">
        <w:rPr>
          <w:shd w:val="clear" w:color="auto" w:fill="FFFFFF"/>
        </w:rPr>
        <w:t xml:space="preserve">2023/1051 z 22. mája 2023, ktorým sa mení rozhodnutie </w:t>
      </w:r>
      <w:r w:rsidR="00471EDA" w:rsidRPr="00D62455">
        <w:t>(EÚ) 2019/1754 o pristúpení Európskej únie k Ženevskému aktu Lisabonskej dohody o označeniach pôvodu a zemepisných označeniach</w:t>
      </w:r>
      <w:r w:rsidR="00205A4B">
        <w:t xml:space="preserve"> </w:t>
      </w:r>
      <w:r w:rsidR="00205A4B" w:rsidRPr="00E4383D">
        <w:t xml:space="preserve">(Ú. v. EÚ L </w:t>
      </w:r>
      <w:r w:rsidR="00205A4B">
        <w:t>141</w:t>
      </w:r>
      <w:r w:rsidR="00205A4B" w:rsidRPr="00E4383D">
        <w:t xml:space="preserve">, </w:t>
      </w:r>
      <w:r w:rsidR="00205A4B">
        <w:t>31</w:t>
      </w:r>
      <w:r w:rsidR="00205A4B" w:rsidRPr="00E4383D">
        <w:t>.</w:t>
      </w:r>
      <w:r w:rsidR="00205A4B">
        <w:t>5</w:t>
      </w:r>
      <w:r w:rsidR="00205A4B" w:rsidRPr="00E4383D">
        <w:t>.2</w:t>
      </w:r>
      <w:r w:rsidR="00205A4B">
        <w:t>023</w:t>
      </w:r>
      <w:r w:rsidR="00205A4B" w:rsidRPr="00E4383D">
        <w:t>)</w:t>
      </w:r>
      <w:r w:rsidR="00471EDA" w:rsidRPr="00D62455">
        <w:t>,</w:t>
      </w:r>
      <w:r w:rsidR="00740463" w:rsidRPr="00D62455">
        <w:rPr>
          <w:shd w:val="clear" w:color="auto" w:fill="FFFFFF"/>
        </w:rPr>
        <w:t xml:space="preserve"> nadobudlo účinnosť </w:t>
      </w:r>
      <w:r w:rsidR="00471EDA" w:rsidRPr="00D62455">
        <w:rPr>
          <w:shd w:val="clear" w:color="auto" w:fill="FFFFFF"/>
        </w:rPr>
        <w:t>1. júna 2023</w:t>
      </w:r>
      <w:r w:rsidRPr="00D62455">
        <w:rPr>
          <w:shd w:val="clear" w:color="auto" w:fill="FFFFFF"/>
        </w:rPr>
        <w:t>.</w:t>
      </w:r>
      <w:r w:rsidR="00471EDA" w:rsidRPr="00D62455">
        <w:rPr>
          <w:shd w:val="clear" w:color="auto" w:fill="FFFFFF"/>
        </w:rPr>
        <w:t xml:space="preserve"> </w:t>
      </w:r>
      <w:r w:rsidRPr="00D62455">
        <w:rPr>
          <w:shd w:val="clear" w:color="auto" w:fill="FFFFFF"/>
        </w:rPr>
        <w:t>T</w:t>
      </w:r>
      <w:r w:rsidR="00471EDA" w:rsidRPr="00D62455">
        <w:rPr>
          <w:shd w:val="clear" w:color="auto" w:fill="FFFFFF"/>
        </w:rPr>
        <w:t xml:space="preserve">oto rozhodnutie </w:t>
      </w:r>
      <w:r w:rsidR="004B7907" w:rsidRPr="00D62455">
        <w:rPr>
          <w:shd w:val="clear" w:color="auto" w:fill="FFFFFF"/>
        </w:rPr>
        <w:t>s konečnou platnosťou</w:t>
      </w:r>
      <w:r w:rsidR="00471EDA" w:rsidRPr="00D62455">
        <w:rPr>
          <w:shd w:val="clear" w:color="auto" w:fill="FFFFFF"/>
        </w:rPr>
        <w:t xml:space="preserve"> poskytlo Slovenskej republike právny základ pre prístup k Ženevskému aktu</w:t>
      </w:r>
      <w:r w:rsidR="004B7907" w:rsidRPr="00D62455">
        <w:rPr>
          <w:shd w:val="clear" w:color="auto" w:fill="FFFFFF"/>
        </w:rPr>
        <w:t>.</w:t>
      </w:r>
    </w:p>
    <w:p w14:paraId="0583A266" w14:textId="77777777" w:rsidR="0010506D" w:rsidRPr="00D62455" w:rsidRDefault="0010506D" w:rsidP="00162ADC">
      <w:pPr>
        <w:ind w:firstLine="284"/>
        <w:jc w:val="both"/>
        <w:rPr>
          <w:shd w:val="clear" w:color="auto" w:fill="FFFFFF"/>
        </w:rPr>
      </w:pPr>
    </w:p>
    <w:p w14:paraId="0AC00105" w14:textId="70AB193C" w:rsidR="00B21E03" w:rsidRPr="00D62455" w:rsidRDefault="002D7492" w:rsidP="00162ADC">
      <w:pPr>
        <w:ind w:firstLine="284"/>
        <w:jc w:val="both"/>
        <w:rPr>
          <w:shd w:val="clear" w:color="auto" w:fill="FFFFFF"/>
        </w:rPr>
      </w:pPr>
      <w:r w:rsidRPr="00D62455">
        <w:rPr>
          <w:shd w:val="clear" w:color="auto" w:fill="FFFFFF"/>
        </w:rPr>
        <w:t>V júni 2023 však</w:t>
      </w:r>
      <w:r w:rsidR="008848C1">
        <w:rPr>
          <w:shd w:val="clear" w:color="auto" w:fill="FFFFFF"/>
        </w:rPr>
        <w:t>,</w:t>
      </w:r>
      <w:r w:rsidRPr="00D62455">
        <w:rPr>
          <w:shd w:val="clear" w:color="auto" w:fill="FFFFFF"/>
        </w:rPr>
        <w:t xml:space="preserve"> v</w:t>
      </w:r>
      <w:r w:rsidR="00B21E03" w:rsidRPr="00D62455">
        <w:rPr>
          <w:shd w:val="clear" w:color="auto" w:fill="FFFFFF"/>
        </w:rPr>
        <w:t xml:space="preserve">zhľadom na </w:t>
      </w:r>
      <w:r w:rsidR="009E5C57" w:rsidRPr="00D62455">
        <w:rPr>
          <w:shd w:val="clear" w:color="auto" w:fill="FFFFFF"/>
        </w:rPr>
        <w:t>upravený harmonogram schôdzí Národnej rady Slovenskej republiky do konca VIII. volebného obdobia (máj – september 2023)</w:t>
      </w:r>
      <w:r w:rsidR="008848C1">
        <w:rPr>
          <w:shd w:val="clear" w:color="auto" w:fill="FFFFFF"/>
        </w:rPr>
        <w:t>,</w:t>
      </w:r>
      <w:r w:rsidR="009E5C57" w:rsidRPr="00D62455">
        <w:rPr>
          <w:shd w:val="clear" w:color="auto" w:fill="FFFFFF"/>
        </w:rPr>
        <w:t xml:space="preserve"> objektívne nebolo možné pokračovať v prístupovom procese podaním Návrhu </w:t>
      </w:r>
      <w:r w:rsidR="009E5C57" w:rsidRPr="00D62455">
        <w:rPr>
          <w:lang w:eastAsia="cs-CZ"/>
        </w:rPr>
        <w:t>na vyslovenie súhlasu Národnej rady Slovenskej republiky so</w:t>
      </w:r>
      <w:r w:rsidR="009E5C57" w:rsidRPr="00D62455">
        <w:t xml:space="preserve"> Ženevským aktom Lisabonskej dohody o označeniach pôvodu a zemepisných označeniach Národnej rade Slovenskej republiky</w:t>
      </w:r>
      <w:r w:rsidR="009E5C57" w:rsidRPr="00D62455">
        <w:rPr>
          <w:shd w:val="clear" w:color="auto" w:fill="FFFFFF"/>
        </w:rPr>
        <w:t xml:space="preserve"> resp.</w:t>
      </w:r>
      <w:r w:rsidRPr="00D62455">
        <w:rPr>
          <w:shd w:val="clear" w:color="auto" w:fill="FFFFFF"/>
        </w:rPr>
        <w:t xml:space="preserve"> nebolo objektívne možné</w:t>
      </w:r>
      <w:r w:rsidR="009E5C57" w:rsidRPr="00D62455">
        <w:rPr>
          <w:shd w:val="clear" w:color="auto" w:fill="FFFFFF"/>
        </w:rPr>
        <w:t xml:space="preserve"> prístupový proces dokončiť.</w:t>
      </w:r>
    </w:p>
    <w:p w14:paraId="586C1D14" w14:textId="46A47FDA" w:rsidR="009E5C57" w:rsidRDefault="009E5C57" w:rsidP="00162ADC">
      <w:pPr>
        <w:ind w:firstLine="284"/>
        <w:jc w:val="both"/>
        <w:rPr>
          <w:shd w:val="clear" w:color="auto" w:fill="FFFFFF"/>
        </w:rPr>
      </w:pPr>
    </w:p>
    <w:p w14:paraId="2FC9A424" w14:textId="19D5F217" w:rsidR="009E5C57" w:rsidRDefault="009E5C57" w:rsidP="00162ADC">
      <w:pPr>
        <w:ind w:firstLine="284"/>
        <w:jc w:val="both"/>
        <w:rPr>
          <w:shd w:val="clear" w:color="auto" w:fill="FFFFFF"/>
        </w:rPr>
      </w:pPr>
      <w:r>
        <w:rPr>
          <w:shd w:val="clear" w:color="auto" w:fill="FFFFFF"/>
        </w:rPr>
        <w:t>Vychádzajúc z uvedených skutočností sa materiál opätovne predkladá na rokovanie vlády Slovenskej republiky</w:t>
      </w:r>
      <w:r w:rsidR="00C977A1">
        <w:rPr>
          <w:shd w:val="clear" w:color="auto" w:fill="FFFFFF"/>
        </w:rPr>
        <w:t>.</w:t>
      </w:r>
    </w:p>
    <w:p w14:paraId="3FB50C16" w14:textId="1F9D7685" w:rsidR="00C977A1" w:rsidRDefault="00C977A1" w:rsidP="00162ADC">
      <w:pPr>
        <w:ind w:firstLine="284"/>
        <w:jc w:val="both"/>
        <w:rPr>
          <w:shd w:val="clear" w:color="auto" w:fill="FFFFFF"/>
        </w:rPr>
      </w:pPr>
    </w:p>
    <w:p w14:paraId="76D88D93" w14:textId="5F0C763E" w:rsidR="00C977A1" w:rsidRDefault="00C977A1" w:rsidP="00162ADC">
      <w:pPr>
        <w:ind w:firstLine="284"/>
        <w:jc w:val="both"/>
        <w:rPr>
          <w:shd w:val="clear" w:color="auto" w:fill="FFFFFF"/>
        </w:rPr>
      </w:pPr>
      <w:r w:rsidRPr="00420D28">
        <w:rPr>
          <w:shd w:val="clear" w:color="auto" w:fill="FFFFFF"/>
        </w:rPr>
        <w:t>Súčasne sa navrhuje zrušiť uznesenie vlády Slovenskej republiky č. 689 zo dňa 9. novembra 2022.</w:t>
      </w:r>
    </w:p>
    <w:p w14:paraId="7C211B89" w14:textId="77777777" w:rsidR="00420D28" w:rsidRPr="009E5C57" w:rsidRDefault="00420D28" w:rsidP="00162ADC">
      <w:pPr>
        <w:ind w:firstLine="284"/>
        <w:jc w:val="both"/>
        <w:rPr>
          <w:shd w:val="clear" w:color="auto" w:fill="FFFFFF"/>
        </w:rPr>
      </w:pPr>
    </w:p>
    <w:p w14:paraId="4BC3A124" w14:textId="77777777" w:rsidR="00DA7419" w:rsidRPr="00C87E93" w:rsidRDefault="00A3530D" w:rsidP="00162ADC">
      <w:pPr>
        <w:widowControl/>
        <w:ind w:firstLine="284"/>
        <w:jc w:val="both"/>
        <w:rPr>
          <w:rStyle w:val="Zstupntext"/>
          <w:color w:val="000000"/>
        </w:rPr>
      </w:pPr>
      <w:r w:rsidRPr="00C87E93">
        <w:rPr>
          <w:rStyle w:val="Zstupntext"/>
          <w:color w:val="000000"/>
        </w:rPr>
        <w:lastRenderedPageBreak/>
        <w:t>Materiál</w:t>
      </w:r>
      <w:r w:rsidR="0048535F" w:rsidRPr="00C87E93">
        <w:rPr>
          <w:rStyle w:val="Zstupntext"/>
          <w:color w:val="000000"/>
        </w:rPr>
        <w:t xml:space="preserve"> </w:t>
      </w:r>
      <w:r w:rsidRPr="00C87E93">
        <w:t>nemá vplyv na rozpočet verejnej správy, podnikateľské prostredie, sociálne vplyvy, vplyvy na životné prostredie, na informatizáciu spoločnosti, vplyvy na služby verejnej správy pre občana a ani vplyvy na manželstvo, rodičovstvo a rodinu.</w:t>
      </w:r>
      <w:r w:rsidR="008B1FD8" w:rsidRPr="00C87E93">
        <w:rPr>
          <w:rStyle w:val="Zstupntext"/>
          <w:color w:val="000000"/>
        </w:rPr>
        <w:t xml:space="preserve"> </w:t>
      </w:r>
    </w:p>
    <w:p w14:paraId="2B09D1CC" w14:textId="77777777" w:rsidR="006A5032" w:rsidRPr="00C87E93" w:rsidRDefault="006A5032" w:rsidP="006A5032">
      <w:pPr>
        <w:widowControl/>
        <w:ind w:firstLine="567"/>
        <w:jc w:val="both"/>
        <w:rPr>
          <w:rStyle w:val="Zstupntext"/>
          <w:color w:val="000000"/>
        </w:rPr>
      </w:pPr>
    </w:p>
    <w:p w14:paraId="32C25248" w14:textId="77777777" w:rsidR="006A5032" w:rsidRPr="00C87E93" w:rsidRDefault="006A183D" w:rsidP="00186638">
      <w:pPr>
        <w:pStyle w:val="Normlnywebov"/>
        <w:spacing w:before="0" w:beforeAutospacing="0" w:after="0" w:afterAutospacing="0"/>
        <w:ind w:firstLine="284"/>
        <w:jc w:val="both"/>
      </w:pPr>
      <w:r w:rsidRPr="00C87E93">
        <w:rPr>
          <w:rStyle w:val="Zstupntext"/>
          <w:color w:val="000000"/>
        </w:rPr>
        <w:t xml:space="preserve">Dohovor je mnohostrannou medzinárodnou zmluvou </w:t>
      </w:r>
      <w:r w:rsidRPr="00C87E93">
        <w:t>prezidentskej povahy podľa čl. 7 ods. 4 Ústavy Slovenskej republiky, ktorá priamo zakladá práva alebo povinnosti fyzických osôb alebo právnických osôb a ktorá si vyžaduje pred ratifikáciou súhlas Národnej rady Slovenskej republiky.  </w:t>
      </w:r>
    </w:p>
    <w:p w14:paraId="63DB5F75" w14:textId="77777777" w:rsidR="006A183D" w:rsidRPr="00C87E93" w:rsidRDefault="006A183D" w:rsidP="006A5032">
      <w:pPr>
        <w:pStyle w:val="Normlnywebov"/>
        <w:spacing w:before="0" w:beforeAutospacing="0" w:after="0" w:afterAutospacing="0"/>
        <w:ind w:firstLine="567"/>
        <w:jc w:val="both"/>
      </w:pPr>
      <w:r w:rsidRPr="00C87E93">
        <w:t> </w:t>
      </w:r>
    </w:p>
    <w:p w14:paraId="71E9FA65" w14:textId="77777777" w:rsidR="006A183D" w:rsidRPr="00C87E93" w:rsidRDefault="006A183D" w:rsidP="00186638">
      <w:pPr>
        <w:pStyle w:val="Normlnywebov"/>
        <w:spacing w:before="0" w:beforeAutospacing="0" w:after="0" w:afterAutospacing="0"/>
        <w:ind w:firstLine="284"/>
        <w:jc w:val="both"/>
      </w:pPr>
      <w:r w:rsidRPr="00C87E93">
        <w:t xml:space="preserve">Dohovor je súčasne mnohostrannou medzinárodnou zmluvou prezidentskej povahy podľa čl. 7 ods. 5 Ústavy Slovenskej republiky, ktorá priamo zakladá práva alebo povinnosti fyzických osôb alebo právnických osôb a ktorá </w:t>
      </w:r>
      <w:r w:rsidR="0053044B" w:rsidRPr="00C87E93">
        <w:t xml:space="preserve">bude mať </w:t>
      </w:r>
      <w:r w:rsidRPr="00C87E93">
        <w:t>po ratifikácii a vyhlásení spôsobom ustanoveným zákonom</w:t>
      </w:r>
      <w:r w:rsidR="0053044B" w:rsidRPr="00C87E93">
        <w:t xml:space="preserve"> </w:t>
      </w:r>
      <w:r w:rsidRPr="00C87E93">
        <w:t>prednosť pred zákonmi.</w:t>
      </w:r>
    </w:p>
    <w:p w14:paraId="3837EE4D" w14:textId="77777777" w:rsidR="006A5032" w:rsidRPr="00C87E93" w:rsidRDefault="006A5032" w:rsidP="006A5032">
      <w:pPr>
        <w:pStyle w:val="Normlnywebov"/>
        <w:spacing w:before="0" w:beforeAutospacing="0" w:after="0" w:afterAutospacing="0"/>
        <w:ind w:firstLine="567"/>
        <w:jc w:val="both"/>
      </w:pPr>
    </w:p>
    <w:p w14:paraId="54BDD251" w14:textId="0CE8399B" w:rsidR="00C522EE" w:rsidRDefault="006F42F2" w:rsidP="00186638">
      <w:pPr>
        <w:tabs>
          <w:tab w:val="left" w:pos="567"/>
        </w:tabs>
        <w:ind w:firstLine="284"/>
        <w:jc w:val="both"/>
        <w:rPr>
          <w:rStyle w:val="Zstupntext"/>
          <w:color w:val="000000"/>
        </w:rPr>
      </w:pPr>
      <w:r w:rsidRPr="00C87E93">
        <w:rPr>
          <w:rStyle w:val="Zstupntext"/>
          <w:color w:val="000000"/>
        </w:rPr>
        <w:t>Dohovor</w:t>
      </w:r>
      <w:r w:rsidR="00C522EE" w:rsidRPr="00C87E93">
        <w:rPr>
          <w:rStyle w:val="Zstupntext"/>
          <w:color w:val="000000"/>
        </w:rPr>
        <w:t xml:space="preserve"> zodpovedá záujmom zahraničnej politiky Slovenskej republiky. Je v súlade s právnym poriadkom Slovenskej republiky a všeobecnými zásadami medzinárodného práva, ako aj s medzinárodnými záväzkami Slovenskej republiky vyplývajúcimi z iných medzinárodných dokumentov. </w:t>
      </w:r>
    </w:p>
    <w:p w14:paraId="43F6A197" w14:textId="67A1E3C1" w:rsidR="00C977A1" w:rsidRDefault="00C977A1" w:rsidP="00C977A1">
      <w:pPr>
        <w:tabs>
          <w:tab w:val="left" w:pos="567"/>
        </w:tabs>
        <w:jc w:val="both"/>
        <w:rPr>
          <w:rStyle w:val="Zstupntext"/>
          <w:color w:val="000000"/>
        </w:rPr>
      </w:pPr>
    </w:p>
    <w:p w14:paraId="1904E330" w14:textId="0EC640DB" w:rsidR="00FA79DF" w:rsidRPr="00C87E93" w:rsidRDefault="00FA79DF" w:rsidP="00FA79DF">
      <w:pPr>
        <w:pStyle w:val="Normlnywebov"/>
        <w:spacing w:before="0" w:beforeAutospacing="0" w:after="0" w:afterAutospacing="0"/>
        <w:ind w:firstLine="284"/>
        <w:jc w:val="both"/>
      </w:pPr>
      <w:r w:rsidRPr="00C87E93">
        <w:t xml:space="preserve">Materiál </w:t>
      </w:r>
      <w:r>
        <w:t xml:space="preserve">schválila vláda Slovenskej republiky na svojom </w:t>
      </w:r>
      <w:r w:rsidRPr="005A6FD5">
        <w:t>17.</w:t>
      </w:r>
      <w:r>
        <w:t xml:space="preserve"> rokovaní dňa 21. februára 2024 uznesením č. </w:t>
      </w:r>
      <w:r w:rsidR="005A6FD5">
        <w:t>100</w:t>
      </w:r>
      <w:r>
        <w:t xml:space="preserve"> z 21. februára 2024.</w:t>
      </w:r>
    </w:p>
    <w:p w14:paraId="656818BD" w14:textId="77777777" w:rsidR="009E78DB" w:rsidRPr="00C87E93" w:rsidRDefault="009E78DB" w:rsidP="006A5032">
      <w:pPr>
        <w:widowControl/>
        <w:rPr>
          <w:rStyle w:val="Zstupntext"/>
          <w:color w:val="000000"/>
        </w:rPr>
      </w:pPr>
    </w:p>
    <w:sectPr w:rsidR="009E78DB" w:rsidRPr="00C87E93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B3E1E" w14:textId="77777777" w:rsidR="0020781C" w:rsidRDefault="0020781C" w:rsidP="003951A4">
      <w:r>
        <w:separator/>
      </w:r>
    </w:p>
  </w:endnote>
  <w:endnote w:type="continuationSeparator" w:id="0">
    <w:p w14:paraId="4E3E7C74" w14:textId="77777777" w:rsidR="0020781C" w:rsidRDefault="0020781C" w:rsidP="0039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6778772"/>
      <w:docPartObj>
        <w:docPartGallery w:val="Page Numbers (Bottom of Page)"/>
        <w:docPartUnique/>
      </w:docPartObj>
    </w:sdtPr>
    <w:sdtEndPr/>
    <w:sdtContent>
      <w:p w14:paraId="41545771" w14:textId="5B9F454E" w:rsidR="00E75833" w:rsidRDefault="00E7583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E1C923" w14:textId="77777777" w:rsidR="00E75833" w:rsidRDefault="00E758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1C420" w14:textId="77777777" w:rsidR="0020781C" w:rsidRDefault="0020781C" w:rsidP="003951A4">
      <w:r>
        <w:separator/>
      </w:r>
    </w:p>
  </w:footnote>
  <w:footnote w:type="continuationSeparator" w:id="0">
    <w:p w14:paraId="3D21B09C" w14:textId="77777777" w:rsidR="0020781C" w:rsidRDefault="0020781C" w:rsidP="003951A4">
      <w:r>
        <w:continuationSeparator/>
      </w:r>
    </w:p>
  </w:footnote>
  <w:footnote w:id="1">
    <w:p w14:paraId="048BFAB1" w14:textId="77777777" w:rsidR="00C05C0A" w:rsidRPr="00E944AA" w:rsidRDefault="00C05C0A" w:rsidP="001846AA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E944AA">
        <w:rPr>
          <w:rStyle w:val="Odkaznapoznmkupodiarou"/>
          <w:rFonts w:ascii="Times New Roman" w:hAnsi="Times New Roman"/>
          <w:sz w:val="18"/>
          <w:szCs w:val="18"/>
        </w:rPr>
        <w:footnoteRef/>
      </w:r>
      <w:r w:rsidRPr="00E944AA">
        <w:rPr>
          <w:rFonts w:ascii="Times New Roman" w:hAnsi="Times New Roman"/>
          <w:sz w:val="18"/>
          <w:szCs w:val="18"/>
        </w:rPr>
        <w:t xml:space="preserve"> Označenie pôvodu (ako aj zemepisné označenie) patrí medzi práva priemyselného vlastníctva na označenie a je významným nástrojom na podporu, rozvoj a ochranu výnimočných regionálnych výrobkov, ktorých  špecifické vlastnosti, kvalita alebo povesť sú  dané zemepisným prostredím s jeho charakteristickými prírodnými a ľudskými faktormi. Označenia pôvodu sú kolektívnym nástrojom na podporu a rozvoj regionálnych produktov, pomáhajú udržať ich kvalitu a povesť, čím prispievajú k propagácii a rozvoju regiónov.</w:t>
      </w:r>
    </w:p>
  </w:footnote>
  <w:footnote w:id="2">
    <w:p w14:paraId="156891F5" w14:textId="77777777" w:rsidR="00C601F9" w:rsidRPr="00E944AA" w:rsidRDefault="00C601F9" w:rsidP="00C601F9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E944AA">
        <w:rPr>
          <w:rStyle w:val="Odkaznapoznmkupodiarou"/>
          <w:rFonts w:ascii="Times New Roman" w:hAnsi="Times New Roman"/>
          <w:sz w:val="18"/>
          <w:szCs w:val="18"/>
        </w:rPr>
        <w:footnoteRef/>
      </w:r>
      <w:r w:rsidRPr="00E944AA">
        <w:rPr>
          <w:rFonts w:ascii="Times New Roman" w:hAnsi="Times New Roman" w:cs="Times New Roman"/>
          <w:sz w:val="18"/>
          <w:szCs w:val="18"/>
        </w:rPr>
        <w:t xml:space="preserve"> </w:t>
      </w:r>
      <w:r w:rsidRPr="00E944AA">
        <w:rPr>
          <w:rFonts w:ascii="Times New Roman" w:hAnsi="Times New Roman" w:cs="Times New Roman"/>
          <w:color w:val="000000"/>
          <w:sz w:val="18"/>
          <w:szCs w:val="18"/>
        </w:rPr>
        <w:t>Zmluvné strany Lisabonskej dohody o ochrane označení pôvodu a ich medzinárodného zápisu sa zaväzujú na svojich územiach chrániť označenia pôvodu iných zmluvných strán, ktoré sú ako také uznané a chránené v krajine pôvodu a zapísané na medzinárodnom úrade WIPO, pokiaľ tieto strany do jedného roka od podania žiadosti o zápis neoznámia, že takúto ochranu nie sú schopné zabezpečiť.</w:t>
      </w:r>
    </w:p>
  </w:footnote>
  <w:footnote w:id="3">
    <w:p w14:paraId="2DFEC9E6" w14:textId="48AED9C3" w:rsidR="00C34C81" w:rsidRPr="00E944AA" w:rsidRDefault="00C34C81" w:rsidP="00C34C81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E944AA">
        <w:rPr>
          <w:rStyle w:val="Odkaznapoznmkupodiarou"/>
          <w:rFonts w:ascii="Times New Roman" w:hAnsi="Times New Roman"/>
          <w:sz w:val="18"/>
          <w:szCs w:val="18"/>
        </w:rPr>
        <w:footnoteRef/>
      </w:r>
      <w:r w:rsidRPr="00E944AA">
        <w:rPr>
          <w:rFonts w:ascii="Times New Roman" w:hAnsi="Times New Roman" w:cs="Times New Roman"/>
          <w:sz w:val="18"/>
          <w:szCs w:val="18"/>
        </w:rPr>
        <w:t xml:space="preserve"> Do dnešného dňa z týchto siedmych členských štátov EÚ k Ženevskému aktu pristúpili </w:t>
      </w:r>
      <w:r w:rsidRPr="00E944AA">
        <w:rPr>
          <w:rStyle w:val="Zstupntext"/>
          <w:color w:val="000000"/>
          <w:sz w:val="18"/>
          <w:szCs w:val="18"/>
        </w:rPr>
        <w:t>Česko, Francúzsko, Maďarsko</w:t>
      </w:r>
      <w:r w:rsidR="00EC1B1C">
        <w:rPr>
          <w:rStyle w:val="Zstupntext"/>
          <w:color w:val="000000"/>
          <w:sz w:val="18"/>
          <w:szCs w:val="18"/>
        </w:rPr>
        <w:t xml:space="preserve"> a</w:t>
      </w:r>
      <w:r w:rsidRPr="00E944AA">
        <w:rPr>
          <w:rStyle w:val="Zstupntext"/>
          <w:color w:val="000000"/>
          <w:sz w:val="18"/>
          <w:szCs w:val="18"/>
        </w:rPr>
        <w:t xml:space="preserve"> Portugalsko.</w:t>
      </w:r>
    </w:p>
  </w:footnote>
  <w:footnote w:id="4">
    <w:p w14:paraId="091D0064" w14:textId="77777777" w:rsidR="00C05C0A" w:rsidRPr="00C05C0A" w:rsidRDefault="00C05C0A" w:rsidP="00992070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C05C0A">
        <w:rPr>
          <w:rStyle w:val="Odkaznapoznmkupodiarou"/>
          <w:rFonts w:ascii="Times New Roman" w:hAnsi="Times New Roman"/>
          <w:sz w:val="18"/>
          <w:szCs w:val="18"/>
        </w:rPr>
        <w:footnoteRef/>
      </w:r>
      <w:r w:rsidRPr="00C05C0A">
        <w:rPr>
          <w:rFonts w:ascii="Times New Roman" w:hAnsi="Times New Roman" w:cs="Times New Roman"/>
          <w:sz w:val="18"/>
          <w:szCs w:val="18"/>
        </w:rPr>
        <w:t xml:space="preserve"> Zemepisnými označeniami sa na účely dohody TRIPS rozumejú označenia, ktoré označujú tovar ako pochádzajúci z územia člena alebo z oblasti, alebo z lokality na tomto území, ak danú kvalitu, povesť a iné charakteristické znaky tovaru možno v podstate pripísať jeho zemepisnému pôvodu.</w:t>
      </w:r>
    </w:p>
  </w:footnote>
  <w:footnote w:id="5">
    <w:p w14:paraId="7EA093E2" w14:textId="5BB8A690" w:rsidR="00C05C0A" w:rsidRPr="00C05C0A" w:rsidRDefault="00C05C0A" w:rsidP="006A4008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C05C0A">
        <w:rPr>
          <w:rStyle w:val="Odkaznapoznmkupodiarou"/>
          <w:rFonts w:ascii="Times New Roman" w:hAnsi="Times New Roman"/>
          <w:sz w:val="18"/>
          <w:szCs w:val="18"/>
        </w:rPr>
        <w:footnoteRef/>
      </w:r>
      <w:r w:rsidRPr="00C05C0A">
        <w:rPr>
          <w:rFonts w:ascii="Times New Roman" w:hAnsi="Times New Roman" w:cs="Times New Roman"/>
          <w:sz w:val="18"/>
          <w:szCs w:val="18"/>
        </w:rPr>
        <w:t xml:space="preserve"> Rozhodnutie Rady (EÚ) 2019/1754 zo 7. októbra 2019 o pristúpení Európskej únie k Ženevskému aktu Lisabonskej dohody o označeniach pôvodu a zemepisných označeniach</w:t>
      </w:r>
      <w:r w:rsidR="00A40769">
        <w:rPr>
          <w:rFonts w:ascii="Times New Roman" w:hAnsi="Times New Roman" w:cs="Times New Roman"/>
          <w:sz w:val="18"/>
          <w:szCs w:val="18"/>
        </w:rPr>
        <w:t xml:space="preserve"> </w:t>
      </w:r>
      <w:r w:rsidR="00A40769" w:rsidRPr="00A40769">
        <w:rPr>
          <w:rFonts w:ascii="Times New Roman" w:hAnsi="Times New Roman" w:cs="Times New Roman"/>
          <w:sz w:val="18"/>
          <w:szCs w:val="18"/>
        </w:rPr>
        <w:t>(Ú. v. EÚ L 271, 24.10.2019)</w:t>
      </w:r>
      <w:r w:rsidRPr="00C05C0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1C82974A" w14:textId="449FC6D5" w:rsidR="00C05C0A" w:rsidRPr="00C05C0A" w:rsidRDefault="00C05C0A" w:rsidP="006051A9">
      <w:pPr>
        <w:pStyle w:val="Textpoznmkypodiarou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C05C0A">
        <w:rPr>
          <w:rStyle w:val="Odkaznapoznmkupodiarou"/>
          <w:rFonts w:ascii="Times New Roman" w:hAnsi="Times New Roman"/>
          <w:sz w:val="18"/>
          <w:szCs w:val="18"/>
        </w:rPr>
        <w:footnoteRef/>
      </w:r>
      <w:r w:rsidRPr="00C05C0A">
        <w:rPr>
          <w:rFonts w:ascii="Times New Roman" w:hAnsi="Times New Roman" w:cs="Times New Roman"/>
          <w:sz w:val="18"/>
          <w:szCs w:val="18"/>
        </w:rPr>
        <w:t xml:space="preserve"> </w:t>
      </w:r>
      <w:r w:rsidRPr="000E45F3">
        <w:rPr>
          <w:rFonts w:ascii="Times New Roman" w:hAnsi="Times New Roman" w:cs="Times New Roman"/>
          <w:sz w:val="18"/>
          <w:szCs w:val="18"/>
        </w:rPr>
        <w:t xml:space="preserve">S ohľadom na výlučnú kompetenciu EÚ v oblasti, na ktorú sa vzťahuje dohovor, </w:t>
      </w:r>
      <w:r w:rsidR="002F169D">
        <w:rPr>
          <w:rFonts w:ascii="Times New Roman" w:hAnsi="Times New Roman" w:cs="Times New Roman"/>
          <w:sz w:val="18"/>
          <w:szCs w:val="18"/>
        </w:rPr>
        <w:t>sa</w:t>
      </w:r>
      <w:r w:rsidRPr="000E45F3">
        <w:rPr>
          <w:rFonts w:ascii="Times New Roman" w:hAnsi="Times New Roman" w:cs="Times New Roman"/>
          <w:sz w:val="18"/>
          <w:szCs w:val="18"/>
        </w:rPr>
        <w:t xml:space="preserve"> ako súčasť tohto materiálu</w:t>
      </w:r>
      <w:r w:rsidR="002F169D">
        <w:rPr>
          <w:rFonts w:ascii="Times New Roman" w:hAnsi="Times New Roman" w:cs="Times New Roman"/>
          <w:sz w:val="18"/>
          <w:szCs w:val="18"/>
        </w:rPr>
        <w:t xml:space="preserve"> predkladá</w:t>
      </w:r>
      <w:r w:rsidRPr="000E45F3">
        <w:rPr>
          <w:rFonts w:ascii="Times New Roman" w:hAnsi="Times New Roman" w:cs="Times New Roman"/>
          <w:sz w:val="18"/>
          <w:szCs w:val="18"/>
        </w:rPr>
        <w:t xml:space="preserve"> dohovor v znení uverejnenom v Úradnom vestníku EÚ v anglickom jazyku a slovenskom jazyku</w:t>
      </w:r>
      <w:r w:rsidR="00AA2E6B" w:rsidRPr="000E45F3">
        <w:rPr>
          <w:rFonts w:ascii="Times New Roman" w:hAnsi="Times New Roman" w:cs="Times New Roman"/>
          <w:sz w:val="18"/>
          <w:szCs w:val="18"/>
        </w:rPr>
        <w:t xml:space="preserve"> (v slovenskom jazyku v znení </w:t>
      </w:r>
      <w:proofErr w:type="spellStart"/>
      <w:r w:rsidR="00AA2E6B" w:rsidRPr="000E45F3">
        <w:rPr>
          <w:rFonts w:ascii="Times New Roman" w:hAnsi="Times New Roman" w:cs="Times New Roman"/>
          <w:sz w:val="18"/>
          <w:szCs w:val="18"/>
        </w:rPr>
        <w:t>korigenda</w:t>
      </w:r>
      <w:proofErr w:type="spellEnd"/>
      <w:r w:rsidR="00AA2E6B" w:rsidRPr="000E45F3">
        <w:rPr>
          <w:rFonts w:ascii="Times New Roman" w:hAnsi="Times New Roman" w:cs="Times New Roman"/>
          <w:sz w:val="18"/>
          <w:szCs w:val="18"/>
        </w:rPr>
        <w:t>)</w:t>
      </w:r>
      <w:r w:rsidRPr="000E45F3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14:paraId="16FB0415" w14:textId="3CAC3316" w:rsidR="00C05C0A" w:rsidRPr="00C05C0A" w:rsidRDefault="00C05C0A" w:rsidP="00A86BFA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C05C0A">
        <w:rPr>
          <w:rStyle w:val="Odkaznapoznmkupodiarou"/>
          <w:rFonts w:ascii="Times New Roman" w:hAnsi="Times New Roman"/>
          <w:sz w:val="18"/>
          <w:szCs w:val="18"/>
        </w:rPr>
        <w:footnoteRef/>
      </w:r>
      <w:r w:rsidRPr="00C05C0A">
        <w:rPr>
          <w:rFonts w:ascii="Times New Roman" w:hAnsi="Times New Roman" w:cs="Times New Roman"/>
          <w:sz w:val="18"/>
          <w:szCs w:val="18"/>
        </w:rPr>
        <w:t xml:space="preserve"> Dôvod žaloby v zásade </w:t>
      </w:r>
      <w:r w:rsidR="00B22098">
        <w:rPr>
          <w:rFonts w:ascii="Times New Roman" w:hAnsi="Times New Roman" w:cs="Times New Roman"/>
          <w:sz w:val="18"/>
          <w:szCs w:val="18"/>
        </w:rPr>
        <w:t>bol</w:t>
      </w:r>
      <w:r w:rsidRPr="00C05C0A">
        <w:rPr>
          <w:rFonts w:ascii="Times New Roman" w:hAnsi="Times New Roman" w:cs="Times New Roman"/>
          <w:sz w:val="18"/>
          <w:szCs w:val="18"/>
        </w:rPr>
        <w:t>, že Rada</w:t>
      </w:r>
      <w:r w:rsidR="00B22098">
        <w:rPr>
          <w:rFonts w:ascii="Times New Roman" w:hAnsi="Times New Roman" w:cs="Times New Roman"/>
          <w:sz w:val="18"/>
          <w:szCs w:val="18"/>
        </w:rPr>
        <w:t xml:space="preserve"> EÚ</w:t>
      </w:r>
      <w:r w:rsidRPr="00C05C0A">
        <w:rPr>
          <w:rFonts w:ascii="Times New Roman" w:hAnsi="Times New Roman" w:cs="Times New Roman"/>
          <w:sz w:val="18"/>
          <w:szCs w:val="18"/>
        </w:rPr>
        <w:t xml:space="preserve"> zmenila návrh tohto rozhodnutia zavedením možnosti pristúpiť k Ženevskému aktu pre všetky členské štáty, a teda konala bez podnetu Komisie, čim porušila čl. 293 ods. 1 ZFEÚ a narušila inštitucionálnu rovnováhu zakotvenú v čl. 13 ods. 2 ZEÚ.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47EFC"/>
    <w:multiLevelType w:val="hybridMultilevel"/>
    <w:tmpl w:val="BD76D212"/>
    <w:lvl w:ilvl="0" w:tplc="F01873B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51634"/>
    <w:multiLevelType w:val="hybridMultilevel"/>
    <w:tmpl w:val="213C7148"/>
    <w:lvl w:ilvl="0" w:tplc="1E843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BE"/>
    <w:rsid w:val="000203B5"/>
    <w:rsid w:val="000277AC"/>
    <w:rsid w:val="0006274C"/>
    <w:rsid w:val="00073291"/>
    <w:rsid w:val="00084864"/>
    <w:rsid w:val="000A103B"/>
    <w:rsid w:val="000E0F26"/>
    <w:rsid w:val="000E45F3"/>
    <w:rsid w:val="000E65FA"/>
    <w:rsid w:val="0010506D"/>
    <w:rsid w:val="00111C71"/>
    <w:rsid w:val="00112283"/>
    <w:rsid w:val="0013576C"/>
    <w:rsid w:val="0013645F"/>
    <w:rsid w:val="00151F66"/>
    <w:rsid w:val="00162ADC"/>
    <w:rsid w:val="00164239"/>
    <w:rsid w:val="00164F71"/>
    <w:rsid w:val="001707B9"/>
    <w:rsid w:val="00174AC7"/>
    <w:rsid w:val="001778D2"/>
    <w:rsid w:val="00181754"/>
    <w:rsid w:val="001846AA"/>
    <w:rsid w:val="00186638"/>
    <w:rsid w:val="00194861"/>
    <w:rsid w:val="001B0B7A"/>
    <w:rsid w:val="001C5580"/>
    <w:rsid w:val="001F191D"/>
    <w:rsid w:val="001F2716"/>
    <w:rsid w:val="001F632D"/>
    <w:rsid w:val="001F6916"/>
    <w:rsid w:val="0020254A"/>
    <w:rsid w:val="00205A4B"/>
    <w:rsid w:val="0020781C"/>
    <w:rsid w:val="002135BE"/>
    <w:rsid w:val="00234345"/>
    <w:rsid w:val="002537CE"/>
    <w:rsid w:val="00270899"/>
    <w:rsid w:val="00271A34"/>
    <w:rsid w:val="002B5A7A"/>
    <w:rsid w:val="002C4A65"/>
    <w:rsid w:val="002D7492"/>
    <w:rsid w:val="002E4D02"/>
    <w:rsid w:val="002E5F38"/>
    <w:rsid w:val="002F169D"/>
    <w:rsid w:val="00307940"/>
    <w:rsid w:val="003149D4"/>
    <w:rsid w:val="003158B7"/>
    <w:rsid w:val="00327BBF"/>
    <w:rsid w:val="0033750E"/>
    <w:rsid w:val="00341C5A"/>
    <w:rsid w:val="00354804"/>
    <w:rsid w:val="00380686"/>
    <w:rsid w:val="003951A4"/>
    <w:rsid w:val="0039760A"/>
    <w:rsid w:val="003A09AC"/>
    <w:rsid w:val="003A76AD"/>
    <w:rsid w:val="003C0B6E"/>
    <w:rsid w:val="003C203E"/>
    <w:rsid w:val="003D5DEE"/>
    <w:rsid w:val="003E5C9B"/>
    <w:rsid w:val="003F6143"/>
    <w:rsid w:val="003F6A7D"/>
    <w:rsid w:val="00403E9F"/>
    <w:rsid w:val="00410890"/>
    <w:rsid w:val="00411E6B"/>
    <w:rsid w:val="00412CC9"/>
    <w:rsid w:val="00420D28"/>
    <w:rsid w:val="00420E1A"/>
    <w:rsid w:val="004242B7"/>
    <w:rsid w:val="004563D0"/>
    <w:rsid w:val="00471EDA"/>
    <w:rsid w:val="00474117"/>
    <w:rsid w:val="00480883"/>
    <w:rsid w:val="00480E07"/>
    <w:rsid w:val="0048535F"/>
    <w:rsid w:val="00497513"/>
    <w:rsid w:val="004A650D"/>
    <w:rsid w:val="004B5E46"/>
    <w:rsid w:val="004B6681"/>
    <w:rsid w:val="004B6C45"/>
    <w:rsid w:val="004B7907"/>
    <w:rsid w:val="004E1FA1"/>
    <w:rsid w:val="00514BB2"/>
    <w:rsid w:val="0053041D"/>
    <w:rsid w:val="0053044B"/>
    <w:rsid w:val="00540E9E"/>
    <w:rsid w:val="00544022"/>
    <w:rsid w:val="00575687"/>
    <w:rsid w:val="005A6FD5"/>
    <w:rsid w:val="005D6925"/>
    <w:rsid w:val="005F1648"/>
    <w:rsid w:val="005F78B4"/>
    <w:rsid w:val="00605168"/>
    <w:rsid w:val="006051A9"/>
    <w:rsid w:val="006136EC"/>
    <w:rsid w:val="00621284"/>
    <w:rsid w:val="00622B7C"/>
    <w:rsid w:val="00624544"/>
    <w:rsid w:val="00626BA5"/>
    <w:rsid w:val="006466D8"/>
    <w:rsid w:val="006633F3"/>
    <w:rsid w:val="00690EBB"/>
    <w:rsid w:val="006A183D"/>
    <w:rsid w:val="006A4008"/>
    <w:rsid w:val="006A5032"/>
    <w:rsid w:val="006C5DD0"/>
    <w:rsid w:val="006D3964"/>
    <w:rsid w:val="006D756B"/>
    <w:rsid w:val="006F42F2"/>
    <w:rsid w:val="006F50C8"/>
    <w:rsid w:val="00713727"/>
    <w:rsid w:val="00731F56"/>
    <w:rsid w:val="00734A97"/>
    <w:rsid w:val="00740463"/>
    <w:rsid w:val="00742B7F"/>
    <w:rsid w:val="007449D8"/>
    <w:rsid w:val="00764E9C"/>
    <w:rsid w:val="0076648D"/>
    <w:rsid w:val="00775C22"/>
    <w:rsid w:val="00780A61"/>
    <w:rsid w:val="007811AA"/>
    <w:rsid w:val="007A748A"/>
    <w:rsid w:val="007A7923"/>
    <w:rsid w:val="007E503B"/>
    <w:rsid w:val="007E5E64"/>
    <w:rsid w:val="007F4D17"/>
    <w:rsid w:val="007F6D9D"/>
    <w:rsid w:val="007F7F4E"/>
    <w:rsid w:val="008020B1"/>
    <w:rsid w:val="00815FEA"/>
    <w:rsid w:val="00824FFC"/>
    <w:rsid w:val="00830DA1"/>
    <w:rsid w:val="0083257D"/>
    <w:rsid w:val="008428DA"/>
    <w:rsid w:val="00856250"/>
    <w:rsid w:val="008579C8"/>
    <w:rsid w:val="00867381"/>
    <w:rsid w:val="008717F6"/>
    <w:rsid w:val="00875BA3"/>
    <w:rsid w:val="008835D8"/>
    <w:rsid w:val="008848C1"/>
    <w:rsid w:val="008B1FD8"/>
    <w:rsid w:val="008C14DE"/>
    <w:rsid w:val="008D182C"/>
    <w:rsid w:val="009079A6"/>
    <w:rsid w:val="00914D08"/>
    <w:rsid w:val="0092627C"/>
    <w:rsid w:val="00926D03"/>
    <w:rsid w:val="00942807"/>
    <w:rsid w:val="00972FCE"/>
    <w:rsid w:val="009775FA"/>
    <w:rsid w:val="0098104F"/>
    <w:rsid w:val="0098129F"/>
    <w:rsid w:val="00985C4D"/>
    <w:rsid w:val="00992070"/>
    <w:rsid w:val="009C0BF9"/>
    <w:rsid w:val="009D2932"/>
    <w:rsid w:val="009E59B8"/>
    <w:rsid w:val="009E5C57"/>
    <w:rsid w:val="009E78DB"/>
    <w:rsid w:val="00A21E6D"/>
    <w:rsid w:val="00A306A0"/>
    <w:rsid w:val="00A3530D"/>
    <w:rsid w:val="00A40769"/>
    <w:rsid w:val="00A6001E"/>
    <w:rsid w:val="00A62E62"/>
    <w:rsid w:val="00A70AEA"/>
    <w:rsid w:val="00A76BF9"/>
    <w:rsid w:val="00A8025E"/>
    <w:rsid w:val="00A86BFA"/>
    <w:rsid w:val="00AA2E6B"/>
    <w:rsid w:val="00AB0483"/>
    <w:rsid w:val="00AC1EB9"/>
    <w:rsid w:val="00AC6F09"/>
    <w:rsid w:val="00AD64A9"/>
    <w:rsid w:val="00AE39BE"/>
    <w:rsid w:val="00AF08FF"/>
    <w:rsid w:val="00AF3046"/>
    <w:rsid w:val="00AF3DFB"/>
    <w:rsid w:val="00B04539"/>
    <w:rsid w:val="00B21E03"/>
    <w:rsid w:val="00B22098"/>
    <w:rsid w:val="00B26538"/>
    <w:rsid w:val="00B27003"/>
    <w:rsid w:val="00B335EC"/>
    <w:rsid w:val="00B35069"/>
    <w:rsid w:val="00B403F8"/>
    <w:rsid w:val="00B6642A"/>
    <w:rsid w:val="00B715C8"/>
    <w:rsid w:val="00B81148"/>
    <w:rsid w:val="00B93F5E"/>
    <w:rsid w:val="00B977F3"/>
    <w:rsid w:val="00BA333C"/>
    <w:rsid w:val="00BB1773"/>
    <w:rsid w:val="00BB2433"/>
    <w:rsid w:val="00BD05AD"/>
    <w:rsid w:val="00BD0661"/>
    <w:rsid w:val="00BD71F9"/>
    <w:rsid w:val="00BF29E4"/>
    <w:rsid w:val="00C05C0A"/>
    <w:rsid w:val="00C20044"/>
    <w:rsid w:val="00C2468E"/>
    <w:rsid w:val="00C34C81"/>
    <w:rsid w:val="00C35B58"/>
    <w:rsid w:val="00C50B3E"/>
    <w:rsid w:val="00C522EE"/>
    <w:rsid w:val="00C601F9"/>
    <w:rsid w:val="00C641CA"/>
    <w:rsid w:val="00C87E93"/>
    <w:rsid w:val="00C95042"/>
    <w:rsid w:val="00C977A1"/>
    <w:rsid w:val="00CA1919"/>
    <w:rsid w:val="00CA4593"/>
    <w:rsid w:val="00CA5B6D"/>
    <w:rsid w:val="00CB0E31"/>
    <w:rsid w:val="00CB4C37"/>
    <w:rsid w:val="00CB619A"/>
    <w:rsid w:val="00CF0566"/>
    <w:rsid w:val="00CF2520"/>
    <w:rsid w:val="00D16EB6"/>
    <w:rsid w:val="00D34AAA"/>
    <w:rsid w:val="00D424AC"/>
    <w:rsid w:val="00D53BE1"/>
    <w:rsid w:val="00D542AA"/>
    <w:rsid w:val="00D62455"/>
    <w:rsid w:val="00D70BC3"/>
    <w:rsid w:val="00D71685"/>
    <w:rsid w:val="00D73940"/>
    <w:rsid w:val="00D776F0"/>
    <w:rsid w:val="00D852F9"/>
    <w:rsid w:val="00D91534"/>
    <w:rsid w:val="00D95BC9"/>
    <w:rsid w:val="00DA2348"/>
    <w:rsid w:val="00DA7419"/>
    <w:rsid w:val="00DD5FA0"/>
    <w:rsid w:val="00DD7DA2"/>
    <w:rsid w:val="00E061A7"/>
    <w:rsid w:val="00E117CA"/>
    <w:rsid w:val="00E130B8"/>
    <w:rsid w:val="00E1748A"/>
    <w:rsid w:val="00E266D6"/>
    <w:rsid w:val="00E32A41"/>
    <w:rsid w:val="00E478C5"/>
    <w:rsid w:val="00E62CD8"/>
    <w:rsid w:val="00E75833"/>
    <w:rsid w:val="00E76074"/>
    <w:rsid w:val="00E9373F"/>
    <w:rsid w:val="00E944AA"/>
    <w:rsid w:val="00EA77C0"/>
    <w:rsid w:val="00EC1B1C"/>
    <w:rsid w:val="00EC3209"/>
    <w:rsid w:val="00EC4F9C"/>
    <w:rsid w:val="00EE40BA"/>
    <w:rsid w:val="00EF4E3D"/>
    <w:rsid w:val="00F013A9"/>
    <w:rsid w:val="00F037EE"/>
    <w:rsid w:val="00F205D9"/>
    <w:rsid w:val="00F56C3C"/>
    <w:rsid w:val="00F62D55"/>
    <w:rsid w:val="00F66F4E"/>
    <w:rsid w:val="00F71D2E"/>
    <w:rsid w:val="00F8361A"/>
    <w:rsid w:val="00F9528E"/>
    <w:rsid w:val="00FA79DF"/>
    <w:rsid w:val="00FD5E42"/>
    <w:rsid w:val="00FE0D4A"/>
    <w:rsid w:val="00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3590F"/>
  <w14:defaultImageDpi w14:val="0"/>
  <w15:docId w15:val="{3BD54993-117E-4809-ACB4-2E7C6C8C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266D6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customStyle="1" w:styleId="TableMsoNormalTable">
    <w:name w:val="Table_MsoNormalTable"/>
    <w:basedOn w:val="Normlny"/>
    <w:pPr>
      <w:spacing w:line="276" w:lineRule="auto"/>
    </w:pPr>
    <w:rPr>
      <w:rFonts w:ascii="Calibri" w:hAnsi="Calibri" w:cs="Calibri"/>
      <w:sz w:val="22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951A4"/>
    <w:pPr>
      <w:widowControl/>
      <w:adjustRightInd/>
    </w:pPr>
    <w:rPr>
      <w:rFonts w:ascii="Arial" w:hAnsi="Arial" w:cs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3951A4"/>
    <w:rPr>
      <w:rFonts w:ascii="Arial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51A4"/>
    <w:rPr>
      <w:rFonts w:cs="Times New Roman"/>
      <w:vertAlign w:val="superscript"/>
    </w:rPr>
  </w:style>
  <w:style w:type="paragraph" w:customStyle="1" w:styleId="Text1">
    <w:name w:val="Text 1"/>
    <w:basedOn w:val="Normlny"/>
    <w:rsid w:val="00480883"/>
    <w:pPr>
      <w:widowControl/>
      <w:adjustRightInd/>
      <w:spacing w:before="120" w:after="120"/>
      <w:ind w:left="850"/>
      <w:jc w:val="both"/>
    </w:pPr>
    <w:rPr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AF3DF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F3DF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AF3DF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F3D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F3DFB"/>
    <w:rPr>
      <w:rFonts w:ascii="Times New Roman" w:hAnsi="Times New Roman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AF3DFB"/>
    <w:pPr>
      <w:widowControl/>
      <w:adjustRightInd/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AF3DFB"/>
    <w:rPr>
      <w:rFonts w:cs="Times New Roman"/>
      <w:color w:val="0000FF"/>
      <w:u w:val="single"/>
    </w:rPr>
  </w:style>
  <w:style w:type="paragraph" w:customStyle="1" w:styleId="c01pointaltn">
    <w:name w:val="c01pointaltn"/>
    <w:basedOn w:val="Normlny"/>
    <w:rsid w:val="00B403F8"/>
    <w:pPr>
      <w:widowControl/>
      <w:adjustRightInd/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locked/>
    <w:rsid w:val="00992070"/>
    <w:pPr>
      <w:widowControl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E758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75833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E758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5833"/>
    <w:rPr>
      <w:rFonts w:ascii="Times New Roman" w:hAnsi="Times New Roman" w:cs="Times New Roman"/>
      <w:sz w:val="24"/>
      <w:szCs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71A34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71A34"/>
    <w:rPr>
      <w:rFonts w:ascii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271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63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8AD3B-6602-4FA1-9E86-1B467F07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4</Pages>
  <Words>1266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Harachová Lucia</cp:lastModifiedBy>
  <cp:revision>28</cp:revision>
  <cp:lastPrinted>2024-01-15T10:58:00Z</cp:lastPrinted>
  <dcterms:created xsi:type="dcterms:W3CDTF">2022-07-19T08:12:00Z</dcterms:created>
  <dcterms:modified xsi:type="dcterms:W3CDTF">2024-02-21T12:17:00Z</dcterms:modified>
</cp:coreProperties>
</file>