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E8" w:rsidRPr="00504A0A" w:rsidRDefault="00F03BE8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Default="00504A0A" w:rsidP="00504A0A">
      <w:pPr>
        <w:jc w:val="center"/>
      </w:pPr>
    </w:p>
    <w:p w:rsidR="00B43209" w:rsidRDefault="00B43209" w:rsidP="00504A0A">
      <w:pPr>
        <w:jc w:val="center"/>
      </w:pPr>
    </w:p>
    <w:p w:rsidR="00B43209" w:rsidRPr="00504A0A" w:rsidRDefault="00B43209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</w:pPr>
    </w:p>
    <w:p w:rsidR="00504A0A" w:rsidRPr="00504A0A" w:rsidRDefault="00504A0A" w:rsidP="00504A0A">
      <w:pPr>
        <w:jc w:val="center"/>
        <w:rPr>
          <w:b/>
        </w:rPr>
      </w:pPr>
    </w:p>
    <w:p w:rsidR="00F03BE8" w:rsidRPr="00504A0A" w:rsidRDefault="00F03BE8" w:rsidP="00504A0A">
      <w:pPr>
        <w:jc w:val="center"/>
        <w:rPr>
          <w:b/>
        </w:rPr>
      </w:pPr>
      <w:r w:rsidRPr="00504A0A">
        <w:rPr>
          <w:b/>
        </w:rPr>
        <w:t>z</w:t>
      </w:r>
      <w:r w:rsidR="00504A0A" w:rsidRPr="00504A0A">
        <w:rPr>
          <w:b/>
        </w:rPr>
        <w:t> 13. februára</w:t>
      </w:r>
      <w:r w:rsidRPr="00504A0A">
        <w:rPr>
          <w:b/>
        </w:rPr>
        <w:t xml:space="preserve"> 202</w:t>
      </w:r>
      <w:r w:rsidR="00504A0A" w:rsidRPr="00504A0A">
        <w:rPr>
          <w:b/>
        </w:rPr>
        <w:t>4</w:t>
      </w:r>
      <w:r w:rsidRPr="00504A0A">
        <w:rPr>
          <w:b/>
        </w:rPr>
        <w:t>,</w:t>
      </w:r>
    </w:p>
    <w:p w:rsidR="00F03BE8" w:rsidRPr="00504A0A" w:rsidRDefault="00F03BE8" w:rsidP="00504A0A">
      <w:pPr>
        <w:jc w:val="center"/>
      </w:pPr>
    </w:p>
    <w:p w:rsidR="0042791C" w:rsidRPr="00504A0A" w:rsidRDefault="0042791C" w:rsidP="00504A0A">
      <w:pPr>
        <w:adjustRightInd w:val="0"/>
        <w:snapToGrid w:val="0"/>
        <w:jc w:val="center"/>
        <w:rPr>
          <w:rFonts w:eastAsia="Calibri"/>
          <w:b/>
        </w:rPr>
      </w:pPr>
      <w:r w:rsidRPr="00504A0A">
        <w:rPr>
          <w:rFonts w:eastAsia="Calibri"/>
          <w:b/>
        </w:rPr>
        <w:t xml:space="preserve">ktorým sa mení a dopĺňa zákon č. 222/2022 Z. z. o štátnej podpore nájomného bývania a o zmene a doplnení niektorých zákonov v znení </w:t>
      </w:r>
      <w:r w:rsidR="00D65173" w:rsidRPr="00504A0A">
        <w:rPr>
          <w:rFonts w:eastAsia="Calibri"/>
          <w:b/>
        </w:rPr>
        <w:t>neskorších predpisov</w:t>
      </w:r>
      <w:r w:rsidR="00417EB2" w:rsidRPr="00504A0A">
        <w:rPr>
          <w:rFonts w:eastAsia="Calibri"/>
          <w:b/>
        </w:rPr>
        <w:t xml:space="preserve"> a ktorým sa menia a dopĺňajú niektoré zákony</w:t>
      </w:r>
    </w:p>
    <w:p w:rsidR="0042791C" w:rsidRPr="00504A0A" w:rsidRDefault="0042791C" w:rsidP="00504A0A">
      <w:pPr>
        <w:adjustRightInd w:val="0"/>
        <w:snapToGrid w:val="0"/>
        <w:jc w:val="center"/>
        <w:rPr>
          <w:rFonts w:eastAsia="Calibri"/>
        </w:rPr>
      </w:pPr>
    </w:p>
    <w:p w:rsidR="0042791C" w:rsidRPr="00504A0A" w:rsidRDefault="0042791C" w:rsidP="00504A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8"/>
        <w:jc w:val="both"/>
        <w:rPr>
          <w:rFonts w:eastAsia="Calibri"/>
        </w:rPr>
      </w:pPr>
      <w:r w:rsidRPr="00504A0A">
        <w:rPr>
          <w:rFonts w:eastAsia="Calibri"/>
        </w:rPr>
        <w:t>Národná rada Slovenskej republiky sa uzniesla na tomto zákone:</w:t>
      </w:r>
    </w:p>
    <w:p w:rsidR="0042791C" w:rsidRPr="00504A0A" w:rsidRDefault="0042791C" w:rsidP="00504A0A">
      <w:pPr>
        <w:adjustRightInd w:val="0"/>
        <w:snapToGrid w:val="0"/>
        <w:jc w:val="center"/>
        <w:rPr>
          <w:rFonts w:eastAsia="Calibri"/>
        </w:rPr>
      </w:pPr>
    </w:p>
    <w:p w:rsidR="0042791C" w:rsidRPr="00504A0A" w:rsidRDefault="0042791C" w:rsidP="00504A0A">
      <w:pPr>
        <w:adjustRightInd w:val="0"/>
        <w:snapToGrid w:val="0"/>
        <w:jc w:val="center"/>
        <w:rPr>
          <w:rFonts w:eastAsia="Calibri"/>
          <w:b/>
          <w:shd w:val="clear" w:color="auto" w:fill="FFFFFF"/>
        </w:rPr>
      </w:pPr>
      <w:r w:rsidRPr="00504A0A">
        <w:rPr>
          <w:rFonts w:eastAsia="Calibri"/>
          <w:b/>
          <w:shd w:val="clear" w:color="auto" w:fill="FFFFFF"/>
        </w:rPr>
        <w:t>Čl. I</w:t>
      </w:r>
    </w:p>
    <w:p w:rsidR="0042791C" w:rsidRPr="00504A0A" w:rsidRDefault="0042791C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Pr="00504A0A" w:rsidRDefault="0042791C" w:rsidP="00504A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ind w:firstLine="708"/>
        <w:jc w:val="both"/>
        <w:rPr>
          <w:rFonts w:eastAsia="Calibri"/>
        </w:rPr>
      </w:pPr>
      <w:r w:rsidRPr="00504A0A">
        <w:rPr>
          <w:rFonts w:eastAsia="Calibri"/>
        </w:rPr>
        <w:t>Zákon č. 222/2022 Z. z. o štátnej podpore nájomného bývania a o zmene a doplnení niektorých zákonov v znení zákona č. 231/2023 Z. z.</w:t>
      </w:r>
      <w:r w:rsidRPr="00504A0A">
        <w:t xml:space="preserve"> </w:t>
      </w:r>
      <w:r w:rsidR="00D65173" w:rsidRPr="00504A0A">
        <w:t xml:space="preserve">a zákona č. 7/2024  Z. z. </w:t>
      </w:r>
      <w:r w:rsidRPr="00504A0A">
        <w:rPr>
          <w:rFonts w:eastAsia="Calibri"/>
        </w:rPr>
        <w:t>sa mení a dopĺňa takto:</w:t>
      </w:r>
    </w:p>
    <w:p w:rsidR="0042791C" w:rsidRPr="00504A0A" w:rsidRDefault="0042791C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CC329C" w:rsidRPr="00504A0A" w:rsidRDefault="00D65173" w:rsidP="0040356F">
      <w:pPr>
        <w:rPr>
          <w:rFonts w:eastAsia="Calibri"/>
          <w:shd w:val="clear" w:color="auto" w:fill="FFFFFF"/>
        </w:rPr>
      </w:pPr>
      <w:r w:rsidRPr="00504A0A">
        <w:rPr>
          <w:rFonts w:eastAsia="Calibri"/>
          <w:shd w:val="clear" w:color="auto" w:fill="FFFFFF"/>
        </w:rPr>
        <w:t xml:space="preserve">1. </w:t>
      </w:r>
      <w:r w:rsidR="00CC329C" w:rsidRPr="00504A0A">
        <w:t xml:space="preserve">V § 3 ods. 3 sa slová „odseky 4 až 11“ nahrádzajú slovami „odseky 4 až 16“.   </w:t>
      </w:r>
    </w:p>
    <w:p w:rsidR="00504A0A" w:rsidRDefault="00504A0A" w:rsidP="00504A0A"/>
    <w:p w:rsidR="00D65173" w:rsidRPr="00504A0A" w:rsidRDefault="00CC329C" w:rsidP="0040356F">
      <w:r w:rsidRPr="00504A0A">
        <w:t xml:space="preserve">2. </w:t>
      </w:r>
      <w:r w:rsidR="00D65173" w:rsidRPr="00504A0A">
        <w:t xml:space="preserve">V § 3 odsek 4 znie: </w:t>
      </w:r>
    </w:p>
    <w:p w:rsidR="00D65173" w:rsidRPr="00504A0A" w:rsidRDefault="00D65173" w:rsidP="005F1298">
      <w:pPr>
        <w:adjustRightInd w:val="0"/>
        <w:snapToGrid w:val="0"/>
        <w:ind w:left="284"/>
        <w:jc w:val="both"/>
        <w:rPr>
          <w:rFonts w:eastAsia="Calibri"/>
          <w:shd w:val="clear" w:color="auto" w:fill="FFFFFF"/>
        </w:rPr>
      </w:pPr>
      <w:r w:rsidRPr="00504A0A">
        <w:t>„(4) Zakladateľská zmluva agentúry a jej zmeny nenadobudnú účinnosť bez súhlasu vlády.“.</w:t>
      </w:r>
    </w:p>
    <w:p w:rsidR="00D65173" w:rsidRDefault="00D65173" w:rsidP="00504A0A">
      <w:pPr>
        <w:adjustRightInd w:val="0"/>
        <w:snapToGrid w:val="0"/>
        <w:rPr>
          <w:rFonts w:eastAsia="Calibri"/>
          <w:shd w:val="clear" w:color="auto" w:fill="FFFFFF"/>
        </w:rPr>
      </w:pPr>
    </w:p>
    <w:p w:rsidR="0042791C" w:rsidRPr="0040356F" w:rsidRDefault="00CC329C" w:rsidP="0040356F">
      <w:pPr>
        <w:adjustRightInd w:val="0"/>
        <w:snapToGrid w:val="0"/>
        <w:rPr>
          <w:rFonts w:eastAsia="Calibri"/>
          <w:shd w:val="clear" w:color="auto" w:fill="FFFFFF"/>
        </w:rPr>
      </w:pPr>
      <w:r w:rsidRPr="00504A0A">
        <w:rPr>
          <w:rFonts w:eastAsia="Calibri"/>
          <w:shd w:val="clear" w:color="auto" w:fill="FFFFFF"/>
        </w:rPr>
        <w:t>3</w:t>
      </w:r>
      <w:r w:rsidR="00D65173" w:rsidRPr="00504A0A">
        <w:rPr>
          <w:rFonts w:eastAsia="Calibri"/>
          <w:shd w:val="clear" w:color="auto" w:fill="FFFFFF"/>
        </w:rPr>
        <w:t>.</w:t>
      </w:r>
      <w:r w:rsidR="00504A0A">
        <w:rPr>
          <w:rFonts w:eastAsia="Calibri"/>
          <w:shd w:val="clear" w:color="auto" w:fill="FFFFFF"/>
        </w:rPr>
        <w:t xml:space="preserve"> </w:t>
      </w:r>
      <w:r w:rsidR="0042791C" w:rsidRPr="0040356F">
        <w:rPr>
          <w:rFonts w:eastAsia="Calibri"/>
          <w:shd w:val="clear" w:color="auto" w:fill="FFFFFF"/>
        </w:rPr>
        <w:t>V § 3 ods. 6 sa vypúšťa posledná veta.</w:t>
      </w:r>
    </w:p>
    <w:p w:rsidR="0042791C" w:rsidRPr="00504A0A" w:rsidRDefault="0042791C" w:rsidP="00504A0A">
      <w:pPr>
        <w:pStyle w:val="Odsekzoznamu"/>
        <w:rPr>
          <w:rFonts w:ascii="Times New Roman" w:eastAsia="Calibri" w:hAnsi="Times New Roman" w:cs="Times New Roman"/>
          <w:shd w:val="clear" w:color="auto" w:fill="FFFFFF"/>
        </w:rPr>
      </w:pPr>
    </w:p>
    <w:p w:rsidR="0042791C" w:rsidRPr="0040356F" w:rsidRDefault="00CC329C" w:rsidP="0040356F">
      <w:pPr>
        <w:adjustRightInd w:val="0"/>
        <w:snapToGrid w:val="0"/>
        <w:rPr>
          <w:rFonts w:eastAsia="Calibri"/>
          <w:shd w:val="clear" w:color="auto" w:fill="FFFFFF"/>
        </w:rPr>
      </w:pPr>
      <w:r w:rsidRPr="00504A0A">
        <w:rPr>
          <w:rFonts w:eastAsia="Calibri"/>
          <w:shd w:val="clear" w:color="auto" w:fill="FFFFFF"/>
        </w:rPr>
        <w:t>4</w:t>
      </w:r>
      <w:r w:rsidR="00D65173" w:rsidRPr="00504A0A">
        <w:rPr>
          <w:rFonts w:eastAsia="Calibri"/>
          <w:shd w:val="clear" w:color="auto" w:fill="FFFFFF"/>
        </w:rPr>
        <w:t>.</w:t>
      </w:r>
      <w:r w:rsidR="00504A0A">
        <w:rPr>
          <w:rFonts w:eastAsia="Calibri"/>
          <w:shd w:val="clear" w:color="auto" w:fill="FFFFFF"/>
        </w:rPr>
        <w:t xml:space="preserve"> </w:t>
      </w:r>
      <w:r w:rsidR="0042791C" w:rsidRPr="0040356F">
        <w:rPr>
          <w:rFonts w:eastAsia="Calibri"/>
          <w:shd w:val="clear" w:color="auto" w:fill="FFFFFF"/>
        </w:rPr>
        <w:t>V § 3 odsek 7 znie:</w:t>
      </w:r>
    </w:p>
    <w:p w:rsidR="0042791C" w:rsidRPr="00504A0A" w:rsidRDefault="0042791C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2791C" w:rsidRDefault="0042791C" w:rsidP="00504A0A">
      <w:pPr>
        <w:adjustRightInd w:val="0"/>
        <w:snapToGrid w:val="0"/>
        <w:ind w:left="360"/>
        <w:jc w:val="both"/>
        <w:rPr>
          <w:rFonts w:eastAsia="Calibri"/>
          <w:shd w:val="clear" w:color="auto" w:fill="FFFFFF"/>
        </w:rPr>
      </w:pPr>
      <w:r w:rsidRPr="00504A0A">
        <w:rPr>
          <w:rFonts w:eastAsia="Calibri"/>
          <w:shd w:val="clear" w:color="auto" w:fill="FFFFFF"/>
        </w:rPr>
        <w:t xml:space="preserve">„(7) Členov predstavenstva agentúry </w:t>
      </w:r>
      <w:r w:rsidR="00D65173" w:rsidRPr="00504A0A">
        <w:rPr>
          <w:rFonts w:eastAsia="Calibri"/>
          <w:shd w:val="clear" w:color="auto" w:fill="FFFFFF"/>
        </w:rPr>
        <w:t xml:space="preserve">volí </w:t>
      </w:r>
      <w:r w:rsidRPr="00504A0A">
        <w:rPr>
          <w:rFonts w:eastAsia="Calibri"/>
          <w:shd w:val="clear" w:color="auto" w:fill="FFFFFF"/>
        </w:rPr>
        <w:t>a odvoláva členská schôdza agentúry.“.</w:t>
      </w:r>
    </w:p>
    <w:p w:rsidR="00504A0A" w:rsidRPr="00504A0A" w:rsidRDefault="00504A0A" w:rsidP="00B43209">
      <w:pPr>
        <w:adjustRightInd w:val="0"/>
        <w:snapToGrid w:val="0"/>
        <w:ind w:left="360"/>
        <w:jc w:val="both"/>
        <w:rPr>
          <w:rFonts w:eastAsia="Calibri"/>
          <w:shd w:val="clear" w:color="auto" w:fill="FFFFFF"/>
        </w:rPr>
      </w:pPr>
    </w:p>
    <w:p w:rsidR="00D65173" w:rsidRPr="00504A0A" w:rsidRDefault="00504A0A" w:rsidP="0040356F">
      <w:pPr>
        <w:jc w:val="both"/>
      </w:pPr>
      <w:r>
        <w:t>5</w:t>
      </w:r>
      <w:r w:rsidR="00D65173" w:rsidRPr="00504A0A">
        <w:t>. V § 3 sa za odsek 7 vkladajú nové odseky 8 až 12, ktoré znejú:</w:t>
      </w:r>
    </w:p>
    <w:p w:rsidR="00D65173" w:rsidRPr="00504A0A" w:rsidRDefault="00D65173" w:rsidP="00B43209">
      <w:pPr>
        <w:pStyle w:val="Odsekzoznamu"/>
        <w:ind w:left="709" w:hanging="425"/>
        <w:rPr>
          <w:rFonts w:ascii="Times New Roman" w:hAnsi="Times New Roman" w:cs="Times New Roman"/>
        </w:rPr>
      </w:pPr>
      <w:r w:rsidRPr="00504A0A">
        <w:rPr>
          <w:rFonts w:ascii="Times New Roman" w:hAnsi="Times New Roman" w:cs="Times New Roman"/>
        </w:rPr>
        <w:t>„(8)</w:t>
      </w:r>
      <w:r w:rsidRPr="00504A0A">
        <w:rPr>
          <w:rFonts w:ascii="Times New Roman" w:hAnsi="Times New Roman" w:cs="Times New Roman"/>
        </w:rPr>
        <w:tab/>
        <w:t>Členov dozornej rady agentúry volí a odvoláva členská schôdza agentúry. Dozorná rada musí mať minimálne troch členov.</w:t>
      </w:r>
    </w:p>
    <w:p w:rsidR="00D65173" w:rsidRPr="00504A0A" w:rsidRDefault="00D65173" w:rsidP="0040356F">
      <w:pPr>
        <w:jc w:val="both"/>
      </w:pPr>
      <w:r w:rsidRPr="00504A0A">
        <w:t xml:space="preserve">      (9)</w:t>
      </w:r>
      <w:r w:rsidRPr="00504A0A">
        <w:tab/>
        <w:t>Generálneho riaditeľa agentúry volí a odvoláva členská schôdza agentúry.</w:t>
      </w:r>
    </w:p>
    <w:p w:rsidR="00D65173" w:rsidRPr="00504A0A" w:rsidRDefault="00D65173" w:rsidP="0040356F">
      <w:pPr>
        <w:pStyle w:val="Odsekzoznamu"/>
        <w:ind w:left="851" w:hanging="494"/>
        <w:rPr>
          <w:rFonts w:ascii="Times New Roman" w:hAnsi="Times New Roman" w:cs="Times New Roman"/>
        </w:rPr>
      </w:pPr>
      <w:r w:rsidRPr="00504A0A">
        <w:rPr>
          <w:rFonts w:ascii="Times New Roman" w:hAnsi="Times New Roman" w:cs="Times New Roman"/>
        </w:rPr>
        <w:t>(10) Na vzdanie sa funkcie člena predstavenstva, člena dozornej rady a generálneho riaditeľa agentúry sa vzťahujú primerane ustanovenia osobitného predpisu.</w:t>
      </w:r>
      <w:r w:rsidRPr="00504A0A">
        <w:rPr>
          <w:rFonts w:ascii="Times New Roman" w:hAnsi="Times New Roman" w:cs="Times New Roman"/>
          <w:vertAlign w:val="superscript"/>
        </w:rPr>
        <w:t>6a</w:t>
      </w:r>
      <w:r w:rsidRPr="00504A0A">
        <w:rPr>
          <w:rFonts w:ascii="Times New Roman" w:hAnsi="Times New Roman" w:cs="Times New Roman"/>
        </w:rPr>
        <w:t>)</w:t>
      </w:r>
    </w:p>
    <w:p w:rsidR="00D65173" w:rsidRPr="00504A0A" w:rsidRDefault="00D65173" w:rsidP="0040356F">
      <w:pPr>
        <w:pStyle w:val="Odsekzoznamu"/>
        <w:ind w:left="851" w:hanging="494"/>
        <w:rPr>
          <w:rFonts w:ascii="Times New Roman" w:hAnsi="Times New Roman" w:cs="Times New Roman"/>
        </w:rPr>
      </w:pPr>
      <w:r w:rsidRPr="00504A0A">
        <w:rPr>
          <w:rFonts w:ascii="Times New Roman" w:hAnsi="Times New Roman" w:cs="Times New Roman"/>
        </w:rPr>
        <w:lastRenderedPageBreak/>
        <w:t xml:space="preserve">(11) Člen dozornej rady nesmie byť zároveň členom predstavenstva alebo generálnym riaditeľom. </w:t>
      </w:r>
    </w:p>
    <w:p w:rsidR="00D65173" w:rsidRPr="00504A0A" w:rsidRDefault="00D65173" w:rsidP="0040356F">
      <w:r w:rsidRPr="00504A0A">
        <w:t xml:space="preserve">      (12) Stanovy agentúry a ich zmeny schvaľuje členská schôdza agentúry.“.</w:t>
      </w:r>
    </w:p>
    <w:p w:rsidR="00D65173" w:rsidRDefault="00D65173" w:rsidP="00504A0A">
      <w:pPr>
        <w:ind w:left="851" w:hanging="567"/>
        <w:jc w:val="both"/>
      </w:pPr>
    </w:p>
    <w:p w:rsidR="00BE2DB9" w:rsidRPr="00BE2DB9" w:rsidRDefault="00BE2DB9" w:rsidP="00BE2DB9">
      <w:pPr>
        <w:ind w:left="851" w:hanging="567"/>
        <w:jc w:val="both"/>
      </w:pPr>
      <w:r w:rsidRPr="00BE2DB9">
        <w:t>Doterajšie odseky 8 až 13 sa označujú ako odseky 13 až 18.</w:t>
      </w:r>
    </w:p>
    <w:p w:rsidR="00BE2DB9" w:rsidRPr="00504A0A" w:rsidRDefault="00BE2DB9" w:rsidP="00504A0A">
      <w:pPr>
        <w:ind w:left="851" w:hanging="567"/>
        <w:jc w:val="both"/>
      </w:pPr>
    </w:p>
    <w:p w:rsidR="00D65173" w:rsidRPr="00504A0A" w:rsidRDefault="00D65173" w:rsidP="00504A0A">
      <w:pPr>
        <w:ind w:firstLine="284"/>
        <w:jc w:val="both"/>
      </w:pPr>
      <w:r w:rsidRPr="00504A0A">
        <w:t>Poznámka pod čiarou k odkazu 6a znie:</w:t>
      </w:r>
    </w:p>
    <w:p w:rsidR="00D65173" w:rsidRPr="00504A0A" w:rsidRDefault="00D65173" w:rsidP="00504A0A">
      <w:pPr>
        <w:ind w:left="851" w:hanging="567"/>
        <w:jc w:val="both"/>
        <w:rPr>
          <w:rStyle w:val="awspan"/>
        </w:rPr>
      </w:pPr>
      <w:r w:rsidRPr="00504A0A">
        <w:t>„</w:t>
      </w:r>
      <w:r w:rsidRPr="00504A0A">
        <w:rPr>
          <w:vertAlign w:val="superscript"/>
        </w:rPr>
        <w:t>6a</w:t>
      </w:r>
      <w:r w:rsidRPr="00504A0A">
        <w:t xml:space="preserve">) </w:t>
      </w:r>
      <w:r w:rsidRPr="00504A0A">
        <w:rPr>
          <w:rStyle w:val="awspan"/>
        </w:rPr>
        <w:t>§ 66 ods. 2 Obchodného zákonníka.“.</w:t>
      </w:r>
    </w:p>
    <w:p w:rsidR="00504A0A" w:rsidRDefault="00504A0A" w:rsidP="00504A0A">
      <w:pPr>
        <w:ind w:firstLine="284"/>
      </w:pPr>
    </w:p>
    <w:p w:rsidR="00D65173" w:rsidRPr="00504A0A" w:rsidRDefault="00504A0A" w:rsidP="0040356F">
      <w:bookmarkStart w:id="0" w:name="_GoBack"/>
      <w:bookmarkEnd w:id="0"/>
      <w:r>
        <w:t>6</w:t>
      </w:r>
      <w:r w:rsidR="00BE2DB9">
        <w:t xml:space="preserve">. </w:t>
      </w:r>
      <w:r w:rsidR="00D65173" w:rsidRPr="00504A0A">
        <w:t xml:space="preserve"> § 4 </w:t>
      </w:r>
      <w:r w:rsidR="007517C3">
        <w:t xml:space="preserve">sa </w:t>
      </w:r>
      <w:r w:rsidR="00D65173" w:rsidRPr="00504A0A">
        <w:t>dopĺňa odsek</w:t>
      </w:r>
      <w:r w:rsidR="00BE2DB9">
        <w:t>om</w:t>
      </w:r>
      <w:r w:rsidR="00D65173" w:rsidRPr="00504A0A">
        <w:t xml:space="preserve"> 4, ktorý znie:</w:t>
      </w:r>
    </w:p>
    <w:p w:rsidR="00417EB2" w:rsidRPr="00504A0A" w:rsidRDefault="00417EB2" w:rsidP="0040356F">
      <w:pPr>
        <w:adjustRightInd w:val="0"/>
        <w:snapToGrid w:val="0"/>
        <w:jc w:val="both"/>
      </w:pPr>
    </w:p>
    <w:p w:rsidR="00D65173" w:rsidRPr="00504A0A" w:rsidRDefault="00D65173" w:rsidP="0040356F">
      <w:pPr>
        <w:adjustRightInd w:val="0"/>
        <w:snapToGrid w:val="0"/>
        <w:ind w:left="284"/>
        <w:jc w:val="both"/>
        <w:rPr>
          <w:rFonts w:eastAsia="Calibri"/>
          <w:shd w:val="clear" w:color="auto" w:fill="FFFFFF"/>
        </w:rPr>
      </w:pPr>
      <w:r w:rsidRPr="00504A0A">
        <w:t>„(4) Výšku ročného členského poplatku členov agentúry schvaľuje členská schôdza.“.</w:t>
      </w:r>
    </w:p>
    <w:p w:rsidR="00417EB2" w:rsidRPr="00504A0A" w:rsidRDefault="00417EB2" w:rsidP="0040356F">
      <w:pPr>
        <w:adjustRightInd w:val="0"/>
        <w:snapToGrid w:val="0"/>
        <w:ind w:left="284"/>
        <w:rPr>
          <w:rFonts w:eastAsia="Calibri"/>
          <w:shd w:val="clear" w:color="auto" w:fill="FFFFFF"/>
        </w:rPr>
      </w:pPr>
    </w:p>
    <w:p w:rsidR="00417EB2" w:rsidRPr="00504A0A" w:rsidRDefault="00504A0A" w:rsidP="00504A0A">
      <w:pPr>
        <w:jc w:val="both"/>
      </w:pPr>
      <w:r>
        <w:rPr>
          <w:rFonts w:eastAsia="Calibri"/>
          <w:shd w:val="clear" w:color="auto" w:fill="FFFFFF"/>
        </w:rPr>
        <w:t>7</w:t>
      </w:r>
      <w:r w:rsidR="00417EB2" w:rsidRPr="00504A0A">
        <w:rPr>
          <w:rFonts w:eastAsia="Calibri"/>
          <w:shd w:val="clear" w:color="auto" w:fill="FFFFFF"/>
        </w:rPr>
        <w:t xml:space="preserve">. </w:t>
      </w:r>
      <w:r w:rsidR="00417EB2" w:rsidRPr="00504A0A">
        <w:t>Za § 19b sa vkladá § 19c, ktorý vrátane nadpisu znie:</w:t>
      </w:r>
    </w:p>
    <w:p w:rsidR="00417EB2" w:rsidRPr="00504A0A" w:rsidRDefault="00417EB2" w:rsidP="00504A0A">
      <w:pPr>
        <w:pStyle w:val="Odsekzoznamu"/>
        <w:ind w:left="0"/>
        <w:jc w:val="center"/>
        <w:rPr>
          <w:rFonts w:ascii="Times New Roman" w:eastAsiaTheme="minorHAnsi" w:hAnsi="Times New Roman" w:cs="Times New Roman"/>
          <w:b/>
        </w:rPr>
      </w:pPr>
    </w:p>
    <w:p w:rsidR="00417EB2" w:rsidRPr="00504A0A" w:rsidRDefault="00417EB2" w:rsidP="00504A0A">
      <w:pPr>
        <w:jc w:val="center"/>
        <w:rPr>
          <w:rFonts w:eastAsiaTheme="minorHAnsi"/>
          <w:b/>
        </w:rPr>
      </w:pPr>
      <w:r w:rsidRPr="00504A0A">
        <w:rPr>
          <w:rFonts w:eastAsiaTheme="minorHAnsi"/>
          <w:b/>
        </w:rPr>
        <w:t>„§ 19c</w:t>
      </w:r>
    </w:p>
    <w:p w:rsidR="00417EB2" w:rsidRPr="00504A0A" w:rsidRDefault="00417EB2" w:rsidP="00504A0A">
      <w:pPr>
        <w:jc w:val="center"/>
        <w:rPr>
          <w:b/>
        </w:rPr>
      </w:pPr>
      <w:r w:rsidRPr="00504A0A">
        <w:rPr>
          <w:b/>
        </w:rPr>
        <w:t xml:space="preserve">Prechodné ustanovenie k úpravám účinným </w:t>
      </w:r>
      <w:r w:rsidRPr="00504A0A">
        <w:rPr>
          <w:rFonts w:eastAsiaTheme="minorHAnsi"/>
          <w:b/>
        </w:rPr>
        <w:t>dňom vyhlásenia</w:t>
      </w:r>
    </w:p>
    <w:p w:rsidR="00417EB2" w:rsidRPr="00504A0A" w:rsidRDefault="00417EB2" w:rsidP="00504A0A">
      <w:pPr>
        <w:jc w:val="both"/>
        <w:rPr>
          <w:u w:val="single"/>
        </w:rPr>
      </w:pPr>
    </w:p>
    <w:p w:rsidR="00417EB2" w:rsidRPr="00504A0A" w:rsidRDefault="00417EB2" w:rsidP="0040356F">
      <w:pPr>
        <w:adjustRightInd w:val="0"/>
        <w:snapToGrid w:val="0"/>
        <w:ind w:left="284"/>
        <w:jc w:val="both"/>
        <w:rPr>
          <w:rFonts w:eastAsia="Calibri"/>
          <w:shd w:val="clear" w:color="auto" w:fill="FFFFFF"/>
        </w:rPr>
      </w:pPr>
      <w:r w:rsidRPr="00504A0A">
        <w:rPr>
          <w:rFonts w:eastAsia="Calibri"/>
          <w:shd w:val="clear" w:color="auto" w:fill="FFFFFF"/>
        </w:rPr>
        <w:t>Ustanovenia § 3 ods. 6 až 11 v znení účinnom odo dňa nadobudnutia účinnosti tohto zákona sa vzťahujú aj na členov predstavenstva, členov dozornej rady a generálneho riaditeľa agentúry ustanovených do funkcie predo dňom nadobudnutia účinnosti tohto zákona.“.</w:t>
      </w:r>
    </w:p>
    <w:p w:rsidR="00417EB2" w:rsidRPr="00504A0A" w:rsidRDefault="00417EB2" w:rsidP="0040356F">
      <w:pPr>
        <w:adjustRightInd w:val="0"/>
        <w:snapToGrid w:val="0"/>
        <w:rPr>
          <w:rFonts w:eastAsia="Calibri"/>
          <w:shd w:val="clear" w:color="auto" w:fill="FFFFFF"/>
        </w:rPr>
      </w:pPr>
    </w:p>
    <w:p w:rsidR="00417EB2" w:rsidRPr="00504A0A" w:rsidRDefault="00417EB2" w:rsidP="00504A0A">
      <w:pPr>
        <w:jc w:val="center"/>
        <w:rPr>
          <w:rStyle w:val="awspan"/>
          <w:b/>
        </w:rPr>
      </w:pPr>
      <w:r w:rsidRPr="00504A0A">
        <w:rPr>
          <w:rStyle w:val="awspan"/>
          <w:b/>
        </w:rPr>
        <w:t>Čl. II</w:t>
      </w:r>
    </w:p>
    <w:p w:rsidR="00417EB2" w:rsidRPr="00504A0A" w:rsidRDefault="00417EB2" w:rsidP="00504A0A">
      <w:pPr>
        <w:pStyle w:val="Odsekzoznamu"/>
        <w:jc w:val="center"/>
        <w:rPr>
          <w:rStyle w:val="awspan"/>
          <w:rFonts w:ascii="Times New Roman" w:hAnsi="Times New Roman" w:cs="Times New Roman"/>
          <w:b/>
          <w:bCs/>
        </w:rPr>
      </w:pPr>
    </w:p>
    <w:p w:rsidR="00417EB2" w:rsidRPr="00504A0A" w:rsidRDefault="00417EB2" w:rsidP="00504A0A">
      <w:pPr>
        <w:jc w:val="both"/>
        <w:rPr>
          <w:b/>
        </w:rPr>
      </w:pPr>
      <w:r w:rsidRPr="00504A0A">
        <w:rPr>
          <w:rStyle w:val="awspan"/>
          <w:b/>
        </w:rPr>
        <w:t>Zákon Slovenskej národnej rady č. 138/1991 Zb. o majetku obcí v znení zákona Slovenskej národnej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rady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306/1992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Zb.,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Národnej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rady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Slovenskej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republiky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43/1993</w:t>
      </w:r>
      <w:r w:rsidRPr="00504A0A">
        <w:rPr>
          <w:rStyle w:val="awspan"/>
          <w:b/>
          <w:spacing w:val="22"/>
        </w:rPr>
        <w:t xml:space="preserve"> </w:t>
      </w:r>
      <w:r w:rsidRPr="00504A0A">
        <w:rPr>
          <w:rStyle w:val="awspan"/>
          <w:b/>
        </w:rPr>
        <w:t>Z. z., zákona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Národnej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rady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Slovenskej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republiky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278/1993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Národnej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rady</w:t>
      </w:r>
      <w:r w:rsidRPr="00504A0A">
        <w:rPr>
          <w:rStyle w:val="awspan"/>
          <w:b/>
          <w:spacing w:val="-11"/>
        </w:rPr>
        <w:t xml:space="preserve"> </w:t>
      </w:r>
      <w:r w:rsidRPr="00504A0A">
        <w:rPr>
          <w:rStyle w:val="awspan"/>
          <w:b/>
        </w:rPr>
        <w:t>Slovenskej republiky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245/1994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Národnej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rady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Slovenskej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republiky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č. 147/1995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15"/>
        </w:rPr>
        <w:t xml:space="preserve"> </w:t>
      </w:r>
      <w:r w:rsidRPr="00504A0A">
        <w:rPr>
          <w:rStyle w:val="awspan"/>
          <w:b/>
        </w:rPr>
        <w:t>nálezu Ústavného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súdu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Slovenskej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republiky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130/1996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č. 447/2001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30"/>
        </w:rPr>
        <w:t xml:space="preserve"> </w:t>
      </w:r>
      <w:r w:rsidRPr="00504A0A">
        <w:rPr>
          <w:rStyle w:val="awspan"/>
          <w:b/>
        </w:rPr>
        <w:t>č. 522/2003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12/2004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445/2004</w:t>
      </w:r>
      <w:r w:rsidRPr="00504A0A">
        <w:rPr>
          <w:rStyle w:val="awspan"/>
          <w:b/>
          <w:spacing w:val="40"/>
        </w:rPr>
        <w:t> 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40"/>
        </w:rPr>
        <w:t> </w:t>
      </w:r>
      <w:r w:rsidRPr="00504A0A">
        <w:rPr>
          <w:rStyle w:val="awspan"/>
          <w:b/>
        </w:rPr>
        <w:t>535/2008</w:t>
      </w:r>
      <w:r w:rsidRPr="00504A0A">
        <w:rPr>
          <w:rStyle w:val="awspan"/>
          <w:b/>
          <w:spacing w:val="40"/>
        </w:rPr>
        <w:t xml:space="preserve"> </w:t>
      </w:r>
      <w:r w:rsidRPr="00504A0A">
        <w:rPr>
          <w:rStyle w:val="awspan"/>
          <w:b/>
        </w:rPr>
        <w:t>Z. z., zákona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258/2009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507/2010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125/2016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6"/>
        </w:rPr>
        <w:t xml:space="preserve"> </w:t>
      </w:r>
      <w:r w:rsidRPr="00504A0A">
        <w:rPr>
          <w:rStyle w:val="awspan"/>
          <w:b/>
        </w:rPr>
        <w:t>315/2016 Z. z.,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112/2018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4/2019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Z. z.,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zákona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2"/>
        </w:rPr>
        <w:t> </w:t>
      </w:r>
      <w:r w:rsidRPr="00504A0A">
        <w:rPr>
          <w:rStyle w:val="awspan"/>
          <w:b/>
        </w:rPr>
        <w:t>241/2019</w:t>
      </w:r>
      <w:r w:rsidRPr="00504A0A">
        <w:rPr>
          <w:rStyle w:val="awspan"/>
          <w:b/>
          <w:spacing w:val="-2"/>
        </w:rPr>
        <w:t> </w:t>
      </w:r>
      <w:r w:rsidRPr="00504A0A">
        <w:rPr>
          <w:rStyle w:val="awspan"/>
          <w:b/>
        </w:rPr>
        <w:t>Z. z. a zákona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č.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137/2023</w:t>
      </w:r>
      <w:r w:rsidRPr="00504A0A">
        <w:rPr>
          <w:rStyle w:val="awspan"/>
          <w:b/>
          <w:spacing w:val="-2"/>
        </w:rPr>
        <w:t xml:space="preserve"> </w:t>
      </w:r>
      <w:r w:rsidRPr="00504A0A">
        <w:rPr>
          <w:rStyle w:val="awspan"/>
          <w:b/>
        </w:rPr>
        <w:t>Z. z.</w:t>
      </w:r>
      <w:r w:rsidRPr="00504A0A">
        <w:rPr>
          <w:rStyle w:val="awspan"/>
          <w:b/>
          <w:spacing w:val="-2"/>
        </w:rPr>
        <w:t xml:space="preserve">  </w:t>
      </w:r>
      <w:r w:rsidRPr="00504A0A">
        <w:rPr>
          <w:b/>
        </w:rPr>
        <w:t>sa dopĺňa takto:</w:t>
      </w:r>
    </w:p>
    <w:p w:rsidR="00417EB2" w:rsidRPr="00504A0A" w:rsidRDefault="00417EB2" w:rsidP="00504A0A">
      <w:pPr>
        <w:ind w:left="284"/>
        <w:jc w:val="both"/>
        <w:rPr>
          <w:b/>
        </w:rPr>
      </w:pPr>
    </w:p>
    <w:p w:rsidR="00417EB2" w:rsidRPr="00504A0A" w:rsidRDefault="00417EB2" w:rsidP="00504A0A">
      <w:pPr>
        <w:ind w:left="284"/>
        <w:jc w:val="both"/>
      </w:pPr>
      <w:r w:rsidRPr="00504A0A">
        <w:t>V § 7a ods. 4 sa na konci pripája táto veta: „Obmedzenie podľa prvej vety sa neuplatní na zriadenie záložného práva podľa osobitného predpisu</w:t>
      </w:r>
      <w:r w:rsidRPr="00504A0A">
        <w:rPr>
          <w:vertAlign w:val="superscript"/>
        </w:rPr>
        <w:t>21f</w:t>
      </w:r>
      <w:r w:rsidRPr="00504A0A">
        <w:t>) a jeho výkon.“.</w:t>
      </w:r>
    </w:p>
    <w:p w:rsidR="00417EB2" w:rsidRPr="00504A0A" w:rsidRDefault="00417EB2" w:rsidP="00504A0A">
      <w:pPr>
        <w:ind w:firstLine="284"/>
        <w:jc w:val="both"/>
      </w:pPr>
    </w:p>
    <w:p w:rsidR="00417EB2" w:rsidRPr="00504A0A" w:rsidRDefault="00417EB2" w:rsidP="00504A0A">
      <w:pPr>
        <w:ind w:firstLine="284"/>
        <w:jc w:val="both"/>
      </w:pPr>
      <w:r w:rsidRPr="00504A0A">
        <w:t>Poznámka pod čiarou k odkazu 21f znie:</w:t>
      </w:r>
    </w:p>
    <w:p w:rsidR="00417EB2" w:rsidRPr="00504A0A" w:rsidRDefault="00417EB2" w:rsidP="00504A0A">
      <w:pPr>
        <w:ind w:left="851" w:hanging="567"/>
        <w:jc w:val="both"/>
        <w:rPr>
          <w:rStyle w:val="awspan"/>
        </w:rPr>
      </w:pPr>
      <w:r w:rsidRPr="00504A0A">
        <w:t>„</w:t>
      </w:r>
      <w:r w:rsidRPr="00504A0A">
        <w:rPr>
          <w:vertAlign w:val="superscript"/>
        </w:rPr>
        <w:t>21f</w:t>
      </w:r>
      <w:r w:rsidRPr="00504A0A">
        <w:t>)</w:t>
      </w:r>
      <w:r w:rsidRPr="00504A0A">
        <w:tab/>
      </w:r>
      <w:r w:rsidRPr="00504A0A">
        <w:rPr>
          <w:rStyle w:val="awspan"/>
        </w:rPr>
        <w:t>Zákon č. 150/2013 Z. z.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o Štátnom fonde rozvoja bývania v znení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neskorších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predpisov.“.</w:t>
      </w:r>
    </w:p>
    <w:p w:rsidR="00417EB2" w:rsidRPr="00504A0A" w:rsidRDefault="00417EB2" w:rsidP="0040356F">
      <w:pPr>
        <w:adjustRightInd w:val="0"/>
        <w:snapToGrid w:val="0"/>
        <w:rPr>
          <w:rFonts w:eastAsia="Calibri"/>
          <w:shd w:val="clear" w:color="auto" w:fill="FFFFFF"/>
        </w:rPr>
      </w:pPr>
    </w:p>
    <w:p w:rsidR="00417EB2" w:rsidRPr="00504A0A" w:rsidRDefault="00417EB2" w:rsidP="00504A0A">
      <w:pPr>
        <w:jc w:val="center"/>
        <w:rPr>
          <w:rStyle w:val="awspan"/>
          <w:b/>
        </w:rPr>
      </w:pPr>
      <w:r w:rsidRPr="00504A0A">
        <w:rPr>
          <w:rStyle w:val="awspan"/>
          <w:b/>
        </w:rPr>
        <w:t>Čl. III</w:t>
      </w:r>
    </w:p>
    <w:p w:rsidR="00417EB2" w:rsidRPr="00504A0A" w:rsidRDefault="00417EB2" w:rsidP="00504A0A">
      <w:pPr>
        <w:pStyle w:val="Odsekzoznamu"/>
        <w:jc w:val="center"/>
        <w:rPr>
          <w:rStyle w:val="awspan"/>
          <w:rFonts w:ascii="Times New Roman" w:hAnsi="Times New Roman" w:cs="Times New Roman"/>
          <w:b/>
          <w:bCs/>
        </w:rPr>
      </w:pPr>
    </w:p>
    <w:p w:rsidR="00417EB2" w:rsidRPr="00504A0A" w:rsidRDefault="00417EB2" w:rsidP="00504A0A">
      <w:pPr>
        <w:jc w:val="both"/>
        <w:rPr>
          <w:b/>
        </w:rPr>
      </w:pPr>
      <w:r w:rsidRPr="00504A0A">
        <w:rPr>
          <w:b/>
        </w:rPr>
        <w:t>Zákon č. 446/2001 Z. z. o majetku vyšších územných celkov v znení zákona č. 521/2003 Z. z., zákona č. 540/2005 Z. z., zákona č. 279/2006 Z. z., zákona č. 258/2009 Z. z., zákona č. 509/2010 Z. z., zákona č. 125/2016 Z. z., zákona č. 315/2016 Z. z., zákona č. 112/2018 Z. z., zákona č. 4/2019 Z. z. a zákona č. 241/2019 Z. z. sa dopĺňa takto:</w:t>
      </w:r>
    </w:p>
    <w:p w:rsidR="00417EB2" w:rsidRPr="00504A0A" w:rsidRDefault="00417EB2" w:rsidP="00504A0A">
      <w:pPr>
        <w:ind w:left="284"/>
        <w:jc w:val="both"/>
      </w:pPr>
    </w:p>
    <w:p w:rsidR="00417EB2" w:rsidRPr="00504A0A" w:rsidRDefault="00417EB2" w:rsidP="00504A0A">
      <w:pPr>
        <w:ind w:left="284"/>
        <w:jc w:val="both"/>
      </w:pPr>
      <w:r w:rsidRPr="00504A0A">
        <w:t>V § 8 ods. 4 sa na konci pripája táto veta: „Obmedzenie podľa prvej vety sa neuplatní na zriadenie záložného práva podľa osobitného predpisu</w:t>
      </w:r>
      <w:r w:rsidRPr="00504A0A">
        <w:rPr>
          <w:vertAlign w:val="superscript"/>
        </w:rPr>
        <w:t>19aaa</w:t>
      </w:r>
      <w:r w:rsidRPr="00504A0A">
        <w:t>)</w:t>
      </w:r>
      <w:r w:rsidRPr="00504A0A">
        <w:rPr>
          <w:vertAlign w:val="superscript"/>
        </w:rPr>
        <w:t xml:space="preserve"> </w:t>
      </w:r>
      <w:r w:rsidRPr="00504A0A">
        <w:t>a jeho výkon.“.</w:t>
      </w:r>
    </w:p>
    <w:p w:rsidR="00417EB2" w:rsidRPr="00504A0A" w:rsidRDefault="00417EB2" w:rsidP="00504A0A">
      <w:pPr>
        <w:jc w:val="both"/>
      </w:pPr>
    </w:p>
    <w:p w:rsidR="00417EB2" w:rsidRPr="00504A0A" w:rsidRDefault="00417EB2" w:rsidP="00504A0A">
      <w:pPr>
        <w:ind w:firstLine="284"/>
        <w:jc w:val="both"/>
      </w:pPr>
      <w:r w:rsidRPr="00504A0A">
        <w:t>Poznámka pod čiarou k odkazu 19aaa znie:</w:t>
      </w:r>
    </w:p>
    <w:p w:rsidR="00417EB2" w:rsidRPr="00504A0A" w:rsidRDefault="00417EB2" w:rsidP="00504A0A">
      <w:pPr>
        <w:ind w:left="284"/>
        <w:jc w:val="both"/>
        <w:rPr>
          <w:rStyle w:val="awspan"/>
        </w:rPr>
      </w:pPr>
      <w:r w:rsidRPr="00504A0A">
        <w:t>„</w:t>
      </w:r>
      <w:r w:rsidRPr="00504A0A">
        <w:rPr>
          <w:vertAlign w:val="superscript"/>
        </w:rPr>
        <w:t>19aaa</w:t>
      </w:r>
      <w:r w:rsidRPr="00504A0A">
        <w:t xml:space="preserve">) </w:t>
      </w:r>
      <w:r w:rsidRPr="00504A0A">
        <w:rPr>
          <w:rStyle w:val="awspan"/>
        </w:rPr>
        <w:t>Zákon č. 150/2013 Z. z.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o Štátnom fonde rozvoja bývania v znení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neskorších</w:t>
      </w:r>
      <w:r w:rsidRPr="00504A0A">
        <w:rPr>
          <w:rStyle w:val="awspan"/>
          <w:spacing w:val="84"/>
        </w:rPr>
        <w:t xml:space="preserve"> </w:t>
      </w:r>
      <w:r w:rsidRPr="00504A0A">
        <w:rPr>
          <w:rStyle w:val="awspan"/>
        </w:rPr>
        <w:t>predpisov.“.</w:t>
      </w:r>
    </w:p>
    <w:p w:rsidR="00417EB2" w:rsidRPr="00504A0A" w:rsidRDefault="00417EB2" w:rsidP="00504A0A">
      <w:pPr>
        <w:pStyle w:val="Odsekzoznamu"/>
        <w:rPr>
          <w:rStyle w:val="awspan"/>
          <w:rFonts w:ascii="Times New Roman" w:hAnsi="Times New Roman" w:cs="Times New Roman"/>
          <w:b/>
          <w:bCs/>
        </w:rPr>
      </w:pPr>
    </w:p>
    <w:p w:rsidR="00417EB2" w:rsidRPr="00504A0A" w:rsidRDefault="00417EB2" w:rsidP="00504A0A">
      <w:pPr>
        <w:jc w:val="center"/>
        <w:rPr>
          <w:b/>
          <w:bCs/>
        </w:rPr>
      </w:pPr>
      <w:r w:rsidRPr="00504A0A">
        <w:rPr>
          <w:b/>
          <w:bCs/>
        </w:rPr>
        <w:t>Čl. IV</w:t>
      </w:r>
    </w:p>
    <w:p w:rsidR="00417EB2" w:rsidRPr="00504A0A" w:rsidRDefault="00417EB2" w:rsidP="00504A0A">
      <w:pPr>
        <w:pStyle w:val="Odsekzoznamu"/>
        <w:jc w:val="center"/>
        <w:rPr>
          <w:rFonts w:ascii="Times New Roman" w:hAnsi="Times New Roman" w:cs="Times New Roman"/>
          <w:b/>
          <w:bCs/>
        </w:rPr>
      </w:pPr>
    </w:p>
    <w:p w:rsidR="00417EB2" w:rsidRPr="00504A0A" w:rsidRDefault="00417EB2" w:rsidP="00504A0A">
      <w:pPr>
        <w:jc w:val="both"/>
        <w:rPr>
          <w:b/>
          <w:bCs/>
        </w:rPr>
      </w:pPr>
      <w:r w:rsidRPr="00504A0A">
        <w:rPr>
          <w:b/>
          <w:bCs/>
        </w:rPr>
        <w:t>Zákon č. 150/2013 Z. z. o Štátnom fonde rozvoja bývania v znení zákona č. 276/2015  Z. z., zákona č. 244/2017 Z. z., zákona č. 65/2019 Z. z., zákona č. 221/2019 Z. z., zákona č. 230/2019 Z. z., zákona č. 465/2019 Z. z., zákona č. 476/2019 Z. z., zákona č. 90/2020 Z. z., zákona č. 359/2020 Z. z., zákona č. 212/2021 Z. z., zákona č. 506/2021 Z. z. a zákona č. 317/2023 Z. z. sa mení takto:</w:t>
      </w:r>
    </w:p>
    <w:p w:rsidR="00417EB2" w:rsidRPr="00504A0A" w:rsidRDefault="00417EB2" w:rsidP="00504A0A">
      <w:pPr>
        <w:ind w:left="284"/>
        <w:jc w:val="both"/>
        <w:rPr>
          <w:bCs/>
        </w:rPr>
      </w:pPr>
    </w:p>
    <w:p w:rsidR="00417EB2" w:rsidRPr="00504A0A" w:rsidRDefault="00417EB2" w:rsidP="00504A0A">
      <w:pPr>
        <w:ind w:left="284"/>
        <w:jc w:val="both"/>
        <w:rPr>
          <w:rStyle w:val="awspan"/>
        </w:rPr>
      </w:pPr>
      <w:r w:rsidRPr="00504A0A">
        <w:rPr>
          <w:rStyle w:val="awspan"/>
        </w:rPr>
        <w:t>V § 15 odsek 27 znie:</w:t>
      </w:r>
    </w:p>
    <w:p w:rsidR="00417EB2" w:rsidRPr="00504A0A" w:rsidRDefault="00417EB2" w:rsidP="00504A0A">
      <w:pPr>
        <w:ind w:left="284"/>
        <w:jc w:val="both"/>
        <w:rPr>
          <w:rStyle w:val="awspan"/>
          <w:shd w:val="clear" w:color="auto" w:fill="FFFFFF"/>
        </w:rPr>
      </w:pPr>
      <w:r w:rsidRPr="00504A0A">
        <w:rPr>
          <w:shd w:val="clear" w:color="auto" w:fill="FFFFFF"/>
        </w:rPr>
        <w:t>„(27) Na konanie o poskytovaní podpory sa nevzťahuje všeobecný predpis o správnom konaní.“.</w:t>
      </w:r>
    </w:p>
    <w:p w:rsidR="00417EB2" w:rsidRPr="00504A0A" w:rsidRDefault="00417EB2" w:rsidP="0040356F">
      <w:pPr>
        <w:adjustRightInd w:val="0"/>
        <w:snapToGrid w:val="0"/>
        <w:rPr>
          <w:rFonts w:eastAsia="Calibri"/>
          <w:shd w:val="clear" w:color="auto" w:fill="FFFFFF"/>
        </w:rPr>
      </w:pPr>
    </w:p>
    <w:p w:rsidR="0042791C" w:rsidRPr="00504A0A" w:rsidRDefault="0042791C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B6735" w:rsidRPr="00504A0A" w:rsidRDefault="004B6735" w:rsidP="00504A0A">
      <w:pPr>
        <w:widowControl w:val="0"/>
        <w:jc w:val="center"/>
      </w:pPr>
      <w:r w:rsidRPr="00504A0A">
        <w:rPr>
          <w:b/>
        </w:rPr>
        <w:t>Čl. V</w:t>
      </w:r>
    </w:p>
    <w:p w:rsidR="004B6735" w:rsidRPr="00504A0A" w:rsidRDefault="004B6735" w:rsidP="00504A0A">
      <w:pPr>
        <w:widowControl w:val="0"/>
        <w:jc w:val="both"/>
      </w:pPr>
    </w:p>
    <w:p w:rsidR="004B6735" w:rsidRPr="00504A0A" w:rsidRDefault="004B6735" w:rsidP="00504A0A">
      <w:pPr>
        <w:widowControl w:val="0"/>
        <w:jc w:val="both"/>
      </w:pPr>
      <w:r w:rsidRPr="00504A0A">
        <w:rPr>
          <w:b/>
        </w:rPr>
        <w:t>Zákon č. 343/2015 Z. z. 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z., zákona č. 121/2022 Z. z. a zákona č. 151/2022 Z. Z. sa mení a dopĺňa takto:</w:t>
      </w:r>
    </w:p>
    <w:p w:rsidR="004B6735" w:rsidRPr="00504A0A" w:rsidRDefault="004B6735" w:rsidP="00504A0A">
      <w:pPr>
        <w:widowControl w:val="0"/>
        <w:jc w:val="both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182 ods. 2 sa vypúšťa písmeno r).</w:t>
      </w:r>
    </w:p>
    <w:p w:rsidR="00504A0A" w:rsidRDefault="00504A0A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Doterajšie písmeno s) sa označuje ako písmeno r).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182 ods. 2 písm. r) sa slová „a) až r)“ nahrádzajú slovami „a) až q)“.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 xml:space="preserve">V § 184b odsek 1 znie: 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„(1) Verejný obstarávateľ, obstarávateľ a osoba podľa § 8 môžu vykonávať činnosti vo verejnom obstarávaní aj prostredníctvom odborného garanta na verejné obstarávanie (ďalej len „odborný garant“).“.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 xml:space="preserve">V § 184b ods. 2 úvodná veta znie: 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„(2) Ak verejný obstarávateľ, obstarávateľ alebo osoba podľa § 8 vykonáva činnosti vo verejnom obstarávaní prostredníctvom odborného garanta, odborný garant vykonáva vo verejnom obstarávaní tieto činnosti:“.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184b ods. 3 sa vypúšťa prvá veta.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184b ods. 6 písm. b) sa vypúšťajú slová „alebo odborná prax vo verejnom obstarávaní v rozsahu podľa odseku 7“.</w:t>
      </w:r>
    </w:p>
    <w:p w:rsidR="004B6735" w:rsidRPr="00504A0A" w:rsidRDefault="004B6735" w:rsidP="00504A0A">
      <w:pPr>
        <w:pStyle w:val="Odsekzoznamu"/>
        <w:rPr>
          <w:rFonts w:ascii="Times New Roman" w:hAnsi="Times New Roman" w:cs="Times New Roman"/>
        </w:rPr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184b sa vypúšťajú odseky 7 a 10 až 12.</w:t>
      </w:r>
    </w:p>
    <w:p w:rsidR="007517C3" w:rsidRDefault="007517C3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Doterajšie odseky 8 a 9 sa označujú ako odseky 7 a 8 a doterajší odsek 13 sa označuje ako odsek 9.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184j odsek 2 znie: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„(2) Úrad rozhodne o vyčiarknutí zo zoznamu odborných garantov toho, kto bol právoplatne odsúdený za úmyselný trestný čin podľa § 184b ods. 8.“.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184j sa vypúšťajú odseky 3 a 4.</w:t>
      </w:r>
    </w:p>
    <w:p w:rsidR="00504A0A" w:rsidRPr="00504A0A" w:rsidRDefault="00504A0A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184k sa vypúšťajú odseky 2 až 4.</w:t>
      </w:r>
    </w:p>
    <w:p w:rsidR="00B43209" w:rsidRDefault="00B43209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  <w:r w:rsidRPr="00504A0A">
        <w:t>Doterajšie odseky 5 a 6 sa označujú ako odseky 2 a 3.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§ 184l a 184m sa vypúšťajú.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184o ods. 3 písm. a) sa slová „ods. 9“ nahrádzajú slovami „ods. 8“.</w:t>
      </w:r>
    </w:p>
    <w:p w:rsidR="004B6735" w:rsidRPr="00504A0A" w:rsidRDefault="004B6735" w:rsidP="00504A0A">
      <w:pPr>
        <w:pStyle w:val="Odsekzoznamu"/>
        <w:rPr>
          <w:rFonts w:ascii="Times New Roman" w:hAnsi="Times New Roman" w:cs="Times New Roman"/>
        </w:rPr>
      </w:pPr>
    </w:p>
    <w:p w:rsidR="004B6735" w:rsidRPr="00504A0A" w:rsidRDefault="004B6735" w:rsidP="00B43209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 xml:space="preserve">§ 184o sa dopĺňa odsekmi 11 a 12, ktoré znejú: </w:t>
      </w:r>
    </w:p>
    <w:p w:rsidR="004B6735" w:rsidRPr="00504A0A" w:rsidRDefault="004B6735" w:rsidP="00B43209">
      <w:pPr>
        <w:pStyle w:val="paragraph"/>
        <w:ind w:left="720"/>
        <w:jc w:val="both"/>
        <w:textAlignment w:val="baseline"/>
      </w:pPr>
      <w:r w:rsidRPr="00504A0A">
        <w:t>„(11) V zozname registrovaných osôb sa na webovom sídle úradu uverejňujú údaje uvedené v odseku 10 okrem údaja o mieste trvalého pobytu registrovanej osoby.</w:t>
      </w:r>
    </w:p>
    <w:p w:rsidR="004B6735" w:rsidRPr="00504A0A" w:rsidRDefault="004B6735" w:rsidP="00B43209">
      <w:pPr>
        <w:pStyle w:val="paragraph"/>
        <w:ind w:left="720"/>
        <w:jc w:val="both"/>
        <w:textAlignment w:val="baseline"/>
      </w:pPr>
      <w:r w:rsidRPr="00504A0A">
        <w:t xml:space="preserve">(12) Úrad môže registrovanej osobe pozastaviť výkon činnosti z dôvodov podľa </w:t>
      </w:r>
      <w:r w:rsidR="00B43209">
        <w:t xml:space="preserve">                </w:t>
      </w:r>
      <w:r w:rsidRPr="00504A0A">
        <w:t>§ 184n.“.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§ 184p sa vypúšťa.</w:t>
      </w:r>
    </w:p>
    <w:p w:rsidR="004B6735" w:rsidRPr="00504A0A" w:rsidRDefault="004B6735" w:rsidP="00504A0A">
      <w:pPr>
        <w:pStyle w:val="paragraph"/>
        <w:ind w:left="720"/>
        <w:jc w:val="both"/>
        <w:textAlignment w:val="baseline"/>
      </w:pPr>
    </w:p>
    <w:p w:rsidR="004B6735" w:rsidRPr="00504A0A" w:rsidRDefault="004B6735" w:rsidP="00504A0A">
      <w:pPr>
        <w:pStyle w:val="paragraph"/>
        <w:numPr>
          <w:ilvl w:val="0"/>
          <w:numId w:val="28"/>
        </w:numPr>
        <w:jc w:val="both"/>
        <w:textAlignment w:val="baseline"/>
      </w:pPr>
      <w:r w:rsidRPr="00504A0A">
        <w:t>V § 185 ods. 1 sa vypúšťajú slová „§ 184k ods. 2 až 4, § 184l,“ a slová „§ 184p ods. 1,“.</w:t>
      </w:r>
    </w:p>
    <w:p w:rsidR="004B6735" w:rsidRPr="00504A0A" w:rsidRDefault="004B6735" w:rsidP="00504A0A">
      <w:pPr>
        <w:pStyle w:val="Odsekzoznamu"/>
        <w:rPr>
          <w:rFonts w:ascii="Times New Roman" w:hAnsi="Times New Roman" w:cs="Times New Roman"/>
        </w:rPr>
      </w:pPr>
    </w:p>
    <w:p w:rsidR="004B6735" w:rsidRPr="00504A0A" w:rsidRDefault="001405C8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  <w:r w:rsidRPr="00504A0A">
        <w:t xml:space="preserve">      </w:t>
      </w:r>
      <w:r w:rsidR="004B6735" w:rsidRPr="00504A0A">
        <w:t>16. § 187n vrátane nadpisu sa vypúšťa.</w:t>
      </w:r>
    </w:p>
    <w:p w:rsidR="004B6735" w:rsidRPr="00504A0A" w:rsidRDefault="004B6735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17EB2" w:rsidRPr="00504A0A" w:rsidRDefault="00417EB2" w:rsidP="00504A0A">
      <w:pPr>
        <w:widowControl w:val="0"/>
        <w:jc w:val="center"/>
      </w:pPr>
      <w:r w:rsidRPr="00504A0A">
        <w:rPr>
          <w:b/>
        </w:rPr>
        <w:t>Čl. V</w:t>
      </w:r>
      <w:r w:rsidR="004B6735" w:rsidRPr="00504A0A">
        <w:rPr>
          <w:b/>
        </w:rPr>
        <w:t>I</w:t>
      </w:r>
    </w:p>
    <w:p w:rsidR="00417EB2" w:rsidRPr="00504A0A" w:rsidRDefault="00417EB2" w:rsidP="00504A0A">
      <w:pPr>
        <w:widowControl w:val="0"/>
        <w:jc w:val="both"/>
      </w:pPr>
    </w:p>
    <w:p w:rsidR="00417EB2" w:rsidRPr="00504A0A" w:rsidRDefault="00417EB2" w:rsidP="00504A0A">
      <w:pPr>
        <w:widowControl w:val="0"/>
        <w:jc w:val="both"/>
      </w:pPr>
      <w:r w:rsidRPr="00504A0A">
        <w:rPr>
          <w:b/>
        </w:rPr>
        <w:t xml:space="preserve">Zákon č. </w:t>
      </w:r>
      <w:r w:rsidRPr="00504A0A">
        <w:rPr>
          <w:rFonts w:eastAsia="NSimSun"/>
          <w:b/>
        </w:rPr>
        <w:t>400/2015 Z. z.</w:t>
      </w:r>
      <w:r w:rsidRPr="00504A0A">
        <w:rPr>
          <w:b/>
        </w:rPr>
        <w:t xml:space="preserve"> o tvorbe právnych predpisov a o Zbierke zákonov Slovenskej republiky a o zmene a doplnení niektorých zákonov v znení </w:t>
      </w:r>
      <w:r w:rsidRPr="00504A0A">
        <w:rPr>
          <w:b/>
        </w:rPr>
        <w:br/>
        <w:t xml:space="preserve">zákona č. 310/2016 Z. z., zákona č. 217/2018 Z. z., zákona č. 134/2020 Z. z., </w:t>
      </w:r>
      <w:r w:rsidRPr="00504A0A">
        <w:rPr>
          <w:b/>
        </w:rPr>
        <w:br/>
        <w:t>zákona č. 198/2020 Z. z., zákona č. 423/2020 Z. z., zákona č. 133/2023 Z. z. a zákona č. 7/2024 Z. z. sa mení takto:</w:t>
      </w:r>
    </w:p>
    <w:p w:rsidR="00417EB2" w:rsidRPr="00504A0A" w:rsidRDefault="00417EB2" w:rsidP="00504A0A">
      <w:pPr>
        <w:widowControl w:val="0"/>
        <w:jc w:val="both"/>
      </w:pPr>
    </w:p>
    <w:p w:rsidR="00417EB2" w:rsidRPr="00504A0A" w:rsidRDefault="00417EB2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  <w:r w:rsidRPr="00504A0A">
        <w:t>V § 21 ods. 1 písm. b) sa slová „Ministerstvo spravodlivosti Slovenskej republiky“ nahrádzajú slovami „Úrad vlády Slovenskej republiky“.</w:t>
      </w:r>
    </w:p>
    <w:p w:rsidR="00417EB2" w:rsidRPr="00504A0A" w:rsidRDefault="00417EB2" w:rsidP="00504A0A">
      <w:pPr>
        <w:adjustRightInd w:val="0"/>
        <w:snapToGrid w:val="0"/>
        <w:jc w:val="both"/>
        <w:rPr>
          <w:rFonts w:eastAsia="Calibri"/>
          <w:shd w:val="clear" w:color="auto" w:fill="FFFFFF"/>
        </w:rPr>
      </w:pPr>
    </w:p>
    <w:p w:rsidR="004B6735" w:rsidRPr="00504A0A" w:rsidRDefault="004B6735" w:rsidP="00504A0A">
      <w:pPr>
        <w:adjustRightInd w:val="0"/>
        <w:snapToGrid w:val="0"/>
        <w:jc w:val="center"/>
        <w:rPr>
          <w:rFonts w:eastAsia="Calibri"/>
          <w:b/>
        </w:rPr>
      </w:pPr>
    </w:p>
    <w:p w:rsidR="004B6735" w:rsidRPr="00504A0A" w:rsidRDefault="004B6735" w:rsidP="00504A0A">
      <w:pPr>
        <w:adjustRightInd w:val="0"/>
        <w:snapToGrid w:val="0"/>
        <w:jc w:val="center"/>
        <w:rPr>
          <w:rFonts w:eastAsia="Calibri"/>
          <w:b/>
        </w:rPr>
      </w:pPr>
    </w:p>
    <w:p w:rsidR="00504A0A" w:rsidRDefault="00504A0A">
      <w:pPr>
        <w:spacing w:after="160" w:line="259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42791C" w:rsidRPr="00504A0A" w:rsidRDefault="0042791C" w:rsidP="00504A0A">
      <w:pPr>
        <w:adjustRightInd w:val="0"/>
        <w:snapToGrid w:val="0"/>
        <w:jc w:val="center"/>
        <w:rPr>
          <w:rFonts w:eastAsia="Calibri"/>
          <w:b/>
        </w:rPr>
      </w:pPr>
      <w:r w:rsidRPr="00504A0A">
        <w:rPr>
          <w:rFonts w:eastAsia="Calibri"/>
          <w:b/>
        </w:rPr>
        <w:t xml:space="preserve">Čl. </w:t>
      </w:r>
      <w:r w:rsidR="00417EB2" w:rsidRPr="00504A0A">
        <w:rPr>
          <w:rFonts w:eastAsia="Calibri"/>
          <w:b/>
        </w:rPr>
        <w:t>VII</w:t>
      </w:r>
    </w:p>
    <w:p w:rsidR="0042791C" w:rsidRPr="00504A0A" w:rsidRDefault="0042791C" w:rsidP="00504A0A">
      <w:pPr>
        <w:adjustRightInd w:val="0"/>
        <w:snapToGrid w:val="0"/>
        <w:ind w:left="720"/>
        <w:jc w:val="both"/>
        <w:rPr>
          <w:rFonts w:eastAsia="Calibri"/>
        </w:rPr>
      </w:pPr>
    </w:p>
    <w:p w:rsidR="0042791C" w:rsidRPr="00504A0A" w:rsidRDefault="0042791C" w:rsidP="00504A0A">
      <w:pPr>
        <w:adjustRightInd w:val="0"/>
        <w:snapToGrid w:val="0"/>
        <w:jc w:val="both"/>
        <w:rPr>
          <w:rFonts w:eastAsia="Calibri"/>
        </w:rPr>
      </w:pPr>
      <w:r w:rsidRPr="00504A0A">
        <w:rPr>
          <w:rFonts w:eastAsia="Calibri"/>
        </w:rPr>
        <w:t>Tento zákon nadobúda účinnosť dňom vyhlásenia</w:t>
      </w:r>
      <w:r w:rsidR="004B6735" w:rsidRPr="00504A0A">
        <w:rPr>
          <w:rFonts w:eastAsia="Calibri"/>
        </w:rPr>
        <w:t xml:space="preserve"> okrem čl. V, ktorý nadobúda </w:t>
      </w:r>
      <w:r w:rsidR="004B6735" w:rsidRPr="00504A0A">
        <w:t xml:space="preserve">účinnosť </w:t>
      </w:r>
      <w:r w:rsidR="00D36807">
        <w:t xml:space="preserve">          </w:t>
      </w:r>
      <w:r w:rsidR="004B6735" w:rsidRPr="00504A0A">
        <w:t>31. marca 2024</w:t>
      </w:r>
      <w:r w:rsidRPr="00504A0A">
        <w:rPr>
          <w:rFonts w:eastAsia="Calibri"/>
        </w:rPr>
        <w:t>.</w:t>
      </w:r>
    </w:p>
    <w:p w:rsidR="00B43209" w:rsidRPr="004A035D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Default="00B43209" w:rsidP="00B43209"/>
    <w:p w:rsidR="00B43209" w:rsidRPr="004A035D" w:rsidRDefault="00B43209" w:rsidP="00B43209"/>
    <w:p w:rsidR="00B43209" w:rsidRPr="004A035D" w:rsidRDefault="00B43209" w:rsidP="00B43209">
      <w:pPr>
        <w:ind w:firstLine="426"/>
        <w:jc w:val="center"/>
      </w:pPr>
      <w:r w:rsidRPr="004A035D">
        <w:tab/>
        <w:t>prezidentka  Slovenskej republiky</w:t>
      </w: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  <w:r w:rsidRPr="004A035D">
        <w:t>predseda Národnej rady Slovenskej republiky</w:t>
      </w: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</w:p>
    <w:p w:rsidR="00B43209" w:rsidRPr="004A035D" w:rsidRDefault="00B43209" w:rsidP="00B43209">
      <w:pPr>
        <w:ind w:firstLine="426"/>
        <w:jc w:val="center"/>
      </w:pPr>
      <w:r w:rsidRPr="004A035D">
        <w:t xml:space="preserve">    predseda vlády Slovenskej republiky</w:t>
      </w:r>
    </w:p>
    <w:p w:rsidR="00564B9A" w:rsidRPr="00504A0A" w:rsidRDefault="00564B9A" w:rsidP="00504A0A">
      <w:pPr>
        <w:ind w:firstLine="708"/>
      </w:pPr>
    </w:p>
    <w:sectPr w:rsidR="00564B9A" w:rsidRPr="00504A0A" w:rsidSect="00B432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B9" w:rsidRDefault="008B28B9" w:rsidP="00E935CB">
      <w:r>
        <w:separator/>
      </w:r>
    </w:p>
  </w:endnote>
  <w:endnote w:type="continuationSeparator" w:id="0">
    <w:p w:rsidR="008B28B9" w:rsidRDefault="008B28B9" w:rsidP="00E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51498"/>
      <w:docPartObj>
        <w:docPartGallery w:val="Page Numbers (Bottom of Page)"/>
        <w:docPartUnique/>
      </w:docPartObj>
    </w:sdtPr>
    <w:sdtEndPr/>
    <w:sdtContent>
      <w:p w:rsidR="00B43209" w:rsidRDefault="00B432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DB9">
          <w:rPr>
            <w:noProof/>
          </w:rPr>
          <w:t>2</w:t>
        </w:r>
        <w:r>
          <w:fldChar w:fldCharType="end"/>
        </w:r>
      </w:p>
    </w:sdtContent>
  </w:sdt>
  <w:p w:rsidR="00B43209" w:rsidRDefault="00B432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B9" w:rsidRDefault="008B28B9" w:rsidP="00E935CB">
      <w:r>
        <w:separator/>
      </w:r>
    </w:p>
  </w:footnote>
  <w:footnote w:type="continuationSeparator" w:id="0">
    <w:p w:rsidR="008B28B9" w:rsidRDefault="008B28B9" w:rsidP="00E9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FAB"/>
    <w:multiLevelType w:val="multilevel"/>
    <w:tmpl w:val="9F38A0EA"/>
    <w:lvl w:ilvl="0">
      <w:start w:val="1"/>
      <w:numFmt w:val="decimal"/>
      <w:lvlText w:val="%1."/>
      <w:lvlJc w:val="left"/>
      <w:pPr>
        <w:ind w:left="502" w:hanging="360"/>
      </w:pPr>
      <w:rPr>
        <w:b/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6001"/>
    <w:multiLevelType w:val="hybridMultilevel"/>
    <w:tmpl w:val="070A80DE"/>
    <w:lvl w:ilvl="0" w:tplc="53DCA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72C3"/>
    <w:multiLevelType w:val="hybridMultilevel"/>
    <w:tmpl w:val="988C9E76"/>
    <w:lvl w:ilvl="0" w:tplc="B6CAD8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77B7"/>
    <w:multiLevelType w:val="hybridMultilevel"/>
    <w:tmpl w:val="11C62F7E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A428C"/>
    <w:multiLevelType w:val="hybridMultilevel"/>
    <w:tmpl w:val="18A4B8F4"/>
    <w:lvl w:ilvl="0" w:tplc="0F242E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349"/>
    <w:multiLevelType w:val="hybridMultilevel"/>
    <w:tmpl w:val="FF249A8C"/>
    <w:lvl w:ilvl="0" w:tplc="72BC35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5A6245"/>
    <w:multiLevelType w:val="hybridMultilevel"/>
    <w:tmpl w:val="879498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93935"/>
    <w:multiLevelType w:val="hybridMultilevel"/>
    <w:tmpl w:val="E5A6B178"/>
    <w:lvl w:ilvl="0" w:tplc="E8F0D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82D6C"/>
    <w:multiLevelType w:val="hybridMultilevel"/>
    <w:tmpl w:val="124C3C74"/>
    <w:lvl w:ilvl="0" w:tplc="BEB259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17E9B"/>
    <w:multiLevelType w:val="hybridMultilevel"/>
    <w:tmpl w:val="31C83E7C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626DF7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17D0A"/>
    <w:multiLevelType w:val="hybridMultilevel"/>
    <w:tmpl w:val="079C5FD8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C768BF"/>
    <w:multiLevelType w:val="hybridMultilevel"/>
    <w:tmpl w:val="46082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7166D"/>
    <w:multiLevelType w:val="hybridMultilevel"/>
    <w:tmpl w:val="AF1439A6"/>
    <w:lvl w:ilvl="0" w:tplc="1F1CF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9457E"/>
    <w:multiLevelType w:val="hybridMultilevel"/>
    <w:tmpl w:val="C21C4F00"/>
    <w:lvl w:ilvl="0" w:tplc="2216FB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676"/>
    <w:multiLevelType w:val="hybridMultilevel"/>
    <w:tmpl w:val="F79A99C8"/>
    <w:lvl w:ilvl="0" w:tplc="064C0A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62" w:hanging="360"/>
      </w:pPr>
    </w:lvl>
    <w:lvl w:ilvl="2" w:tplc="041B001B" w:tentative="1">
      <w:start w:val="1"/>
      <w:numFmt w:val="lowerRoman"/>
      <w:lvlText w:val="%3."/>
      <w:lvlJc w:val="right"/>
      <w:pPr>
        <w:ind w:left="1882" w:hanging="180"/>
      </w:pPr>
    </w:lvl>
    <w:lvl w:ilvl="3" w:tplc="041B000F" w:tentative="1">
      <w:start w:val="1"/>
      <w:numFmt w:val="decimal"/>
      <w:lvlText w:val="%4."/>
      <w:lvlJc w:val="left"/>
      <w:pPr>
        <w:ind w:left="2602" w:hanging="360"/>
      </w:pPr>
    </w:lvl>
    <w:lvl w:ilvl="4" w:tplc="041B0019" w:tentative="1">
      <w:start w:val="1"/>
      <w:numFmt w:val="lowerLetter"/>
      <w:lvlText w:val="%5."/>
      <w:lvlJc w:val="left"/>
      <w:pPr>
        <w:ind w:left="3322" w:hanging="360"/>
      </w:pPr>
    </w:lvl>
    <w:lvl w:ilvl="5" w:tplc="041B001B" w:tentative="1">
      <w:start w:val="1"/>
      <w:numFmt w:val="lowerRoman"/>
      <w:lvlText w:val="%6."/>
      <w:lvlJc w:val="right"/>
      <w:pPr>
        <w:ind w:left="4042" w:hanging="180"/>
      </w:pPr>
    </w:lvl>
    <w:lvl w:ilvl="6" w:tplc="041B000F" w:tentative="1">
      <w:start w:val="1"/>
      <w:numFmt w:val="decimal"/>
      <w:lvlText w:val="%7."/>
      <w:lvlJc w:val="left"/>
      <w:pPr>
        <w:ind w:left="4762" w:hanging="360"/>
      </w:pPr>
    </w:lvl>
    <w:lvl w:ilvl="7" w:tplc="041B0019" w:tentative="1">
      <w:start w:val="1"/>
      <w:numFmt w:val="lowerLetter"/>
      <w:lvlText w:val="%8."/>
      <w:lvlJc w:val="left"/>
      <w:pPr>
        <w:ind w:left="5482" w:hanging="360"/>
      </w:pPr>
    </w:lvl>
    <w:lvl w:ilvl="8" w:tplc="041B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5" w15:restartNumberingAfterBreak="0">
    <w:nsid w:val="50F45C90"/>
    <w:multiLevelType w:val="hybridMultilevel"/>
    <w:tmpl w:val="6F1C0214"/>
    <w:lvl w:ilvl="0" w:tplc="14D0E4F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907DB"/>
    <w:multiLevelType w:val="hybridMultilevel"/>
    <w:tmpl w:val="8794C1F2"/>
    <w:lvl w:ilvl="0" w:tplc="03A65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211B3"/>
    <w:multiLevelType w:val="hybridMultilevel"/>
    <w:tmpl w:val="62CE16A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7113F7"/>
    <w:multiLevelType w:val="hybridMultilevel"/>
    <w:tmpl w:val="E3D61BA2"/>
    <w:lvl w:ilvl="0" w:tplc="8544E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B43E1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C3470"/>
    <w:multiLevelType w:val="hybridMultilevel"/>
    <w:tmpl w:val="776A932A"/>
    <w:lvl w:ilvl="0" w:tplc="3BE2A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8615B"/>
    <w:multiLevelType w:val="hybridMultilevel"/>
    <w:tmpl w:val="548620AE"/>
    <w:lvl w:ilvl="0" w:tplc="31CE08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56A48"/>
    <w:multiLevelType w:val="hybridMultilevel"/>
    <w:tmpl w:val="E3D61BA2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90A22"/>
    <w:multiLevelType w:val="hybridMultilevel"/>
    <w:tmpl w:val="C4743F98"/>
    <w:lvl w:ilvl="0" w:tplc="F9503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E704A"/>
    <w:multiLevelType w:val="hybridMultilevel"/>
    <w:tmpl w:val="837C94E0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0CCB"/>
    <w:multiLevelType w:val="hybridMultilevel"/>
    <w:tmpl w:val="15A241B8"/>
    <w:lvl w:ilvl="0" w:tplc="AA1442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74DE1"/>
    <w:multiLevelType w:val="hybridMultilevel"/>
    <w:tmpl w:val="4A563788"/>
    <w:lvl w:ilvl="0" w:tplc="DA4E861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6E04B5"/>
    <w:multiLevelType w:val="hybridMultilevel"/>
    <w:tmpl w:val="8AD48FE8"/>
    <w:lvl w:ilvl="0" w:tplc="34BC9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21"/>
  </w:num>
  <w:num w:numId="5">
    <w:abstractNumId w:val="25"/>
  </w:num>
  <w:num w:numId="6">
    <w:abstractNumId w:val="17"/>
  </w:num>
  <w:num w:numId="7">
    <w:abstractNumId w:val="9"/>
  </w:num>
  <w:num w:numId="8">
    <w:abstractNumId w:val="15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12"/>
  </w:num>
  <w:num w:numId="14">
    <w:abstractNumId w:val="4"/>
  </w:num>
  <w:num w:numId="15">
    <w:abstractNumId w:val="16"/>
  </w:num>
  <w:num w:numId="16">
    <w:abstractNumId w:val="8"/>
  </w:num>
  <w:num w:numId="17">
    <w:abstractNumId w:val="20"/>
  </w:num>
  <w:num w:numId="18">
    <w:abstractNumId w:val="13"/>
  </w:num>
  <w:num w:numId="19">
    <w:abstractNumId w:val="19"/>
  </w:num>
  <w:num w:numId="20">
    <w:abstractNumId w:val="24"/>
  </w:num>
  <w:num w:numId="21">
    <w:abstractNumId w:val="6"/>
  </w:num>
  <w:num w:numId="22">
    <w:abstractNumId w:val="10"/>
  </w:num>
  <w:num w:numId="23">
    <w:abstractNumId w:val="18"/>
  </w:num>
  <w:num w:numId="24">
    <w:abstractNumId w:val="5"/>
  </w:num>
  <w:num w:numId="25">
    <w:abstractNumId w:val="14"/>
  </w:num>
  <w:num w:numId="26">
    <w:abstractNumId w:val="22"/>
  </w:num>
  <w:num w:numId="27">
    <w:abstractNumId w:val="7"/>
  </w:num>
  <w:num w:numId="2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E8"/>
    <w:rsid w:val="00004DEA"/>
    <w:rsid w:val="00012E19"/>
    <w:rsid w:val="00013CDC"/>
    <w:rsid w:val="00030D4B"/>
    <w:rsid w:val="000320F8"/>
    <w:rsid w:val="00032D5E"/>
    <w:rsid w:val="000426BF"/>
    <w:rsid w:val="00050EE7"/>
    <w:rsid w:val="000528C2"/>
    <w:rsid w:val="000533AC"/>
    <w:rsid w:val="00056143"/>
    <w:rsid w:val="00064B91"/>
    <w:rsid w:val="00066B02"/>
    <w:rsid w:val="000878FD"/>
    <w:rsid w:val="000A06A5"/>
    <w:rsid w:val="000A1724"/>
    <w:rsid w:val="000A2559"/>
    <w:rsid w:val="000A3BB2"/>
    <w:rsid w:val="000A4AB6"/>
    <w:rsid w:val="000B5263"/>
    <w:rsid w:val="000B568D"/>
    <w:rsid w:val="000B6F0D"/>
    <w:rsid w:val="000D163A"/>
    <w:rsid w:val="000D166A"/>
    <w:rsid w:val="000E6290"/>
    <w:rsid w:val="000E71D1"/>
    <w:rsid w:val="000F1514"/>
    <w:rsid w:val="000F53C7"/>
    <w:rsid w:val="000F6532"/>
    <w:rsid w:val="001151AA"/>
    <w:rsid w:val="00123403"/>
    <w:rsid w:val="00123C63"/>
    <w:rsid w:val="001272D5"/>
    <w:rsid w:val="001277D2"/>
    <w:rsid w:val="00127E9D"/>
    <w:rsid w:val="00136638"/>
    <w:rsid w:val="00136EA0"/>
    <w:rsid w:val="001405C8"/>
    <w:rsid w:val="00143983"/>
    <w:rsid w:val="00151316"/>
    <w:rsid w:val="00152B41"/>
    <w:rsid w:val="001536D6"/>
    <w:rsid w:val="001572D8"/>
    <w:rsid w:val="00165586"/>
    <w:rsid w:val="001804B9"/>
    <w:rsid w:val="001838C5"/>
    <w:rsid w:val="00186253"/>
    <w:rsid w:val="00196C22"/>
    <w:rsid w:val="001A0F63"/>
    <w:rsid w:val="001A1AD8"/>
    <w:rsid w:val="001B0795"/>
    <w:rsid w:val="001B5FFE"/>
    <w:rsid w:val="001B754E"/>
    <w:rsid w:val="001C4BA6"/>
    <w:rsid w:val="001C54C7"/>
    <w:rsid w:val="001D59E0"/>
    <w:rsid w:val="001E100D"/>
    <w:rsid w:val="001E33F3"/>
    <w:rsid w:val="001E6E73"/>
    <w:rsid w:val="001E79EB"/>
    <w:rsid w:val="0021248D"/>
    <w:rsid w:val="002125BD"/>
    <w:rsid w:val="00215DC7"/>
    <w:rsid w:val="002174A8"/>
    <w:rsid w:val="00225485"/>
    <w:rsid w:val="0023442A"/>
    <w:rsid w:val="00236B30"/>
    <w:rsid w:val="002437AA"/>
    <w:rsid w:val="002469E9"/>
    <w:rsid w:val="00247223"/>
    <w:rsid w:val="00252D2A"/>
    <w:rsid w:val="00260599"/>
    <w:rsid w:val="00263D9E"/>
    <w:rsid w:val="002640DD"/>
    <w:rsid w:val="00270596"/>
    <w:rsid w:val="002748E2"/>
    <w:rsid w:val="00274B6A"/>
    <w:rsid w:val="00274C22"/>
    <w:rsid w:val="0028615A"/>
    <w:rsid w:val="002863D9"/>
    <w:rsid w:val="0029594C"/>
    <w:rsid w:val="002B466D"/>
    <w:rsid w:val="002D24E4"/>
    <w:rsid w:val="002D2F98"/>
    <w:rsid w:val="002D77BA"/>
    <w:rsid w:val="002E3BB7"/>
    <w:rsid w:val="002E5028"/>
    <w:rsid w:val="002E645C"/>
    <w:rsid w:val="002F08C7"/>
    <w:rsid w:val="002F3320"/>
    <w:rsid w:val="002F532A"/>
    <w:rsid w:val="002F7605"/>
    <w:rsid w:val="0030231C"/>
    <w:rsid w:val="00303384"/>
    <w:rsid w:val="00311B47"/>
    <w:rsid w:val="00313284"/>
    <w:rsid w:val="003145A9"/>
    <w:rsid w:val="00323096"/>
    <w:rsid w:val="00324C99"/>
    <w:rsid w:val="003260D4"/>
    <w:rsid w:val="0033153C"/>
    <w:rsid w:val="003376B3"/>
    <w:rsid w:val="003410AF"/>
    <w:rsid w:val="00343D33"/>
    <w:rsid w:val="00345E75"/>
    <w:rsid w:val="00350B9F"/>
    <w:rsid w:val="00352491"/>
    <w:rsid w:val="00364985"/>
    <w:rsid w:val="003739B2"/>
    <w:rsid w:val="00375ACB"/>
    <w:rsid w:val="00376EF4"/>
    <w:rsid w:val="00382D30"/>
    <w:rsid w:val="0038467E"/>
    <w:rsid w:val="003A146A"/>
    <w:rsid w:val="003B4A6F"/>
    <w:rsid w:val="003B7B86"/>
    <w:rsid w:val="003C109D"/>
    <w:rsid w:val="003C3347"/>
    <w:rsid w:val="003C3CC6"/>
    <w:rsid w:val="003D514B"/>
    <w:rsid w:val="003D659F"/>
    <w:rsid w:val="003E569E"/>
    <w:rsid w:val="00400163"/>
    <w:rsid w:val="00400242"/>
    <w:rsid w:val="00401CC8"/>
    <w:rsid w:val="0040356F"/>
    <w:rsid w:val="00406B87"/>
    <w:rsid w:val="00411152"/>
    <w:rsid w:val="004167A0"/>
    <w:rsid w:val="00416AA3"/>
    <w:rsid w:val="004174B6"/>
    <w:rsid w:val="00417EB2"/>
    <w:rsid w:val="0042791C"/>
    <w:rsid w:val="00431C45"/>
    <w:rsid w:val="00434C96"/>
    <w:rsid w:val="00443C58"/>
    <w:rsid w:val="004458E8"/>
    <w:rsid w:val="00473C03"/>
    <w:rsid w:val="004756AD"/>
    <w:rsid w:val="004809E7"/>
    <w:rsid w:val="004873F7"/>
    <w:rsid w:val="004B0AB3"/>
    <w:rsid w:val="004B1AC2"/>
    <w:rsid w:val="004B4EF4"/>
    <w:rsid w:val="004B6735"/>
    <w:rsid w:val="004C0193"/>
    <w:rsid w:val="004C0F71"/>
    <w:rsid w:val="004D12D6"/>
    <w:rsid w:val="004E09AF"/>
    <w:rsid w:val="004E138E"/>
    <w:rsid w:val="004E6620"/>
    <w:rsid w:val="004F0878"/>
    <w:rsid w:val="00500724"/>
    <w:rsid w:val="00500984"/>
    <w:rsid w:val="00502A40"/>
    <w:rsid w:val="00504A0A"/>
    <w:rsid w:val="0051021A"/>
    <w:rsid w:val="00511B60"/>
    <w:rsid w:val="005218FC"/>
    <w:rsid w:val="005220EA"/>
    <w:rsid w:val="0052745B"/>
    <w:rsid w:val="005310B6"/>
    <w:rsid w:val="00531AC5"/>
    <w:rsid w:val="00533FE3"/>
    <w:rsid w:val="005409CB"/>
    <w:rsid w:val="00541371"/>
    <w:rsid w:val="005421D7"/>
    <w:rsid w:val="00545858"/>
    <w:rsid w:val="00552249"/>
    <w:rsid w:val="005534E1"/>
    <w:rsid w:val="00555417"/>
    <w:rsid w:val="00555713"/>
    <w:rsid w:val="005569B2"/>
    <w:rsid w:val="00563C65"/>
    <w:rsid w:val="005644FC"/>
    <w:rsid w:val="00564B9A"/>
    <w:rsid w:val="00570381"/>
    <w:rsid w:val="005717F2"/>
    <w:rsid w:val="00573032"/>
    <w:rsid w:val="0057572C"/>
    <w:rsid w:val="0057609B"/>
    <w:rsid w:val="00591FEC"/>
    <w:rsid w:val="005940BE"/>
    <w:rsid w:val="00594EB0"/>
    <w:rsid w:val="005A30FE"/>
    <w:rsid w:val="005A6183"/>
    <w:rsid w:val="005A6D10"/>
    <w:rsid w:val="005A7619"/>
    <w:rsid w:val="005B268F"/>
    <w:rsid w:val="005C2DE7"/>
    <w:rsid w:val="005D1388"/>
    <w:rsid w:val="005D238E"/>
    <w:rsid w:val="005D7CA9"/>
    <w:rsid w:val="005E597E"/>
    <w:rsid w:val="005E6D55"/>
    <w:rsid w:val="005E7DA5"/>
    <w:rsid w:val="005F1298"/>
    <w:rsid w:val="005F6E80"/>
    <w:rsid w:val="0060008E"/>
    <w:rsid w:val="00601A29"/>
    <w:rsid w:val="0061298B"/>
    <w:rsid w:val="00614A6A"/>
    <w:rsid w:val="00616463"/>
    <w:rsid w:val="006177C4"/>
    <w:rsid w:val="00624656"/>
    <w:rsid w:val="006278FF"/>
    <w:rsid w:val="0063146F"/>
    <w:rsid w:val="0063635E"/>
    <w:rsid w:val="006450BB"/>
    <w:rsid w:val="0065033E"/>
    <w:rsid w:val="0066209F"/>
    <w:rsid w:val="0066433E"/>
    <w:rsid w:val="00673E14"/>
    <w:rsid w:val="00682AFA"/>
    <w:rsid w:val="00684EB6"/>
    <w:rsid w:val="00687A7B"/>
    <w:rsid w:val="0069635E"/>
    <w:rsid w:val="006A7103"/>
    <w:rsid w:val="006A73D8"/>
    <w:rsid w:val="006B1FBD"/>
    <w:rsid w:val="006B2692"/>
    <w:rsid w:val="006B39BF"/>
    <w:rsid w:val="006B61D4"/>
    <w:rsid w:val="006C4CF7"/>
    <w:rsid w:val="006C515E"/>
    <w:rsid w:val="006C5C51"/>
    <w:rsid w:val="006D40CC"/>
    <w:rsid w:val="006D5F33"/>
    <w:rsid w:val="006E2FC7"/>
    <w:rsid w:val="007079E8"/>
    <w:rsid w:val="00721126"/>
    <w:rsid w:val="00725810"/>
    <w:rsid w:val="00726722"/>
    <w:rsid w:val="00726965"/>
    <w:rsid w:val="007329F9"/>
    <w:rsid w:val="00733308"/>
    <w:rsid w:val="0074323F"/>
    <w:rsid w:val="007517C3"/>
    <w:rsid w:val="00766A71"/>
    <w:rsid w:val="00777BB5"/>
    <w:rsid w:val="00780157"/>
    <w:rsid w:val="00796F65"/>
    <w:rsid w:val="007A13BB"/>
    <w:rsid w:val="007A3156"/>
    <w:rsid w:val="007A7665"/>
    <w:rsid w:val="007B1649"/>
    <w:rsid w:val="007B27AE"/>
    <w:rsid w:val="007C6376"/>
    <w:rsid w:val="007C69D5"/>
    <w:rsid w:val="007D1C42"/>
    <w:rsid w:val="007D4B11"/>
    <w:rsid w:val="007D6C8E"/>
    <w:rsid w:val="007D6FA2"/>
    <w:rsid w:val="007E2196"/>
    <w:rsid w:val="007E24A3"/>
    <w:rsid w:val="007E3574"/>
    <w:rsid w:val="007E7B0C"/>
    <w:rsid w:val="007F490F"/>
    <w:rsid w:val="00801C42"/>
    <w:rsid w:val="00803BDA"/>
    <w:rsid w:val="00806742"/>
    <w:rsid w:val="0081196C"/>
    <w:rsid w:val="00832323"/>
    <w:rsid w:val="008354D7"/>
    <w:rsid w:val="00835AA9"/>
    <w:rsid w:val="0085183D"/>
    <w:rsid w:val="00863C31"/>
    <w:rsid w:val="00864790"/>
    <w:rsid w:val="008730B5"/>
    <w:rsid w:val="00875CE3"/>
    <w:rsid w:val="00881326"/>
    <w:rsid w:val="00887A8B"/>
    <w:rsid w:val="00893F82"/>
    <w:rsid w:val="00895173"/>
    <w:rsid w:val="008A0551"/>
    <w:rsid w:val="008A0D21"/>
    <w:rsid w:val="008A63B4"/>
    <w:rsid w:val="008B28B9"/>
    <w:rsid w:val="008B3AA7"/>
    <w:rsid w:val="008B4F19"/>
    <w:rsid w:val="008C2B48"/>
    <w:rsid w:val="008C2F4E"/>
    <w:rsid w:val="008C39B5"/>
    <w:rsid w:val="008D178C"/>
    <w:rsid w:val="008D6618"/>
    <w:rsid w:val="008E5571"/>
    <w:rsid w:val="008E75FC"/>
    <w:rsid w:val="008F35DF"/>
    <w:rsid w:val="00902365"/>
    <w:rsid w:val="009151E6"/>
    <w:rsid w:val="009213D7"/>
    <w:rsid w:val="0093260F"/>
    <w:rsid w:val="009328BD"/>
    <w:rsid w:val="00933D9B"/>
    <w:rsid w:val="00934CFD"/>
    <w:rsid w:val="009561DA"/>
    <w:rsid w:val="00966787"/>
    <w:rsid w:val="00974B95"/>
    <w:rsid w:val="009822A4"/>
    <w:rsid w:val="00994B65"/>
    <w:rsid w:val="009969DA"/>
    <w:rsid w:val="009A1DC5"/>
    <w:rsid w:val="009A2773"/>
    <w:rsid w:val="009A41FD"/>
    <w:rsid w:val="009A7494"/>
    <w:rsid w:val="009B2791"/>
    <w:rsid w:val="009B3ACD"/>
    <w:rsid w:val="009B4638"/>
    <w:rsid w:val="009C068F"/>
    <w:rsid w:val="009C4F33"/>
    <w:rsid w:val="009C61CD"/>
    <w:rsid w:val="009D14BA"/>
    <w:rsid w:val="009D159A"/>
    <w:rsid w:val="009D2893"/>
    <w:rsid w:val="009D7EB6"/>
    <w:rsid w:val="009E047B"/>
    <w:rsid w:val="009E5808"/>
    <w:rsid w:val="009F46AB"/>
    <w:rsid w:val="00A03A71"/>
    <w:rsid w:val="00A04922"/>
    <w:rsid w:val="00A04BDE"/>
    <w:rsid w:val="00A077B7"/>
    <w:rsid w:val="00A14745"/>
    <w:rsid w:val="00A16644"/>
    <w:rsid w:val="00A22DA8"/>
    <w:rsid w:val="00A23C86"/>
    <w:rsid w:val="00A2510C"/>
    <w:rsid w:val="00A324CF"/>
    <w:rsid w:val="00A4385F"/>
    <w:rsid w:val="00A51496"/>
    <w:rsid w:val="00A517E3"/>
    <w:rsid w:val="00A55F32"/>
    <w:rsid w:val="00A62595"/>
    <w:rsid w:val="00A65D51"/>
    <w:rsid w:val="00A761DB"/>
    <w:rsid w:val="00A77F8B"/>
    <w:rsid w:val="00A86836"/>
    <w:rsid w:val="00A90508"/>
    <w:rsid w:val="00A95ED9"/>
    <w:rsid w:val="00A964DB"/>
    <w:rsid w:val="00AA58CA"/>
    <w:rsid w:val="00AB25A2"/>
    <w:rsid w:val="00AB27BC"/>
    <w:rsid w:val="00AB4E53"/>
    <w:rsid w:val="00AB4EDF"/>
    <w:rsid w:val="00AC1F8F"/>
    <w:rsid w:val="00AD4BAD"/>
    <w:rsid w:val="00AE106C"/>
    <w:rsid w:val="00AF0F30"/>
    <w:rsid w:val="00AF5A7D"/>
    <w:rsid w:val="00B021A2"/>
    <w:rsid w:val="00B10591"/>
    <w:rsid w:val="00B109B9"/>
    <w:rsid w:val="00B12306"/>
    <w:rsid w:val="00B1565F"/>
    <w:rsid w:val="00B22FB1"/>
    <w:rsid w:val="00B24A4A"/>
    <w:rsid w:val="00B24C7F"/>
    <w:rsid w:val="00B25C1C"/>
    <w:rsid w:val="00B26E12"/>
    <w:rsid w:val="00B2742F"/>
    <w:rsid w:val="00B336F8"/>
    <w:rsid w:val="00B35DDC"/>
    <w:rsid w:val="00B362CC"/>
    <w:rsid w:val="00B36691"/>
    <w:rsid w:val="00B41C98"/>
    <w:rsid w:val="00B43209"/>
    <w:rsid w:val="00B559E4"/>
    <w:rsid w:val="00B55E2E"/>
    <w:rsid w:val="00B60347"/>
    <w:rsid w:val="00B63817"/>
    <w:rsid w:val="00B70C7C"/>
    <w:rsid w:val="00B741D3"/>
    <w:rsid w:val="00B74278"/>
    <w:rsid w:val="00B7668A"/>
    <w:rsid w:val="00B76F86"/>
    <w:rsid w:val="00B772FD"/>
    <w:rsid w:val="00B77AD2"/>
    <w:rsid w:val="00B83233"/>
    <w:rsid w:val="00B96697"/>
    <w:rsid w:val="00BA5532"/>
    <w:rsid w:val="00BB3446"/>
    <w:rsid w:val="00BB59D4"/>
    <w:rsid w:val="00BC13E7"/>
    <w:rsid w:val="00BD789A"/>
    <w:rsid w:val="00BE2DB9"/>
    <w:rsid w:val="00BE56DA"/>
    <w:rsid w:val="00BE581F"/>
    <w:rsid w:val="00BF33A5"/>
    <w:rsid w:val="00BF3C14"/>
    <w:rsid w:val="00C00813"/>
    <w:rsid w:val="00C01B41"/>
    <w:rsid w:val="00C0542A"/>
    <w:rsid w:val="00C10442"/>
    <w:rsid w:val="00C11332"/>
    <w:rsid w:val="00C11CF3"/>
    <w:rsid w:val="00C27AEC"/>
    <w:rsid w:val="00C33F68"/>
    <w:rsid w:val="00C373D6"/>
    <w:rsid w:val="00C4209D"/>
    <w:rsid w:val="00C44AD6"/>
    <w:rsid w:val="00C5104B"/>
    <w:rsid w:val="00C5180D"/>
    <w:rsid w:val="00C632B5"/>
    <w:rsid w:val="00C637BB"/>
    <w:rsid w:val="00C702AA"/>
    <w:rsid w:val="00C70C91"/>
    <w:rsid w:val="00C710A6"/>
    <w:rsid w:val="00C71F7C"/>
    <w:rsid w:val="00C77242"/>
    <w:rsid w:val="00C853CB"/>
    <w:rsid w:val="00C87ADA"/>
    <w:rsid w:val="00CA3CB7"/>
    <w:rsid w:val="00CA5216"/>
    <w:rsid w:val="00CA5BCF"/>
    <w:rsid w:val="00CC0BC9"/>
    <w:rsid w:val="00CC1B03"/>
    <w:rsid w:val="00CC329C"/>
    <w:rsid w:val="00CD16A0"/>
    <w:rsid w:val="00CD5397"/>
    <w:rsid w:val="00CD6AB2"/>
    <w:rsid w:val="00CD78B1"/>
    <w:rsid w:val="00CE313D"/>
    <w:rsid w:val="00CE75B6"/>
    <w:rsid w:val="00CF4242"/>
    <w:rsid w:val="00D001AB"/>
    <w:rsid w:val="00D001CD"/>
    <w:rsid w:val="00D00D98"/>
    <w:rsid w:val="00D010F6"/>
    <w:rsid w:val="00D02F7C"/>
    <w:rsid w:val="00D103E3"/>
    <w:rsid w:val="00D10448"/>
    <w:rsid w:val="00D1286A"/>
    <w:rsid w:val="00D17ADE"/>
    <w:rsid w:val="00D17C47"/>
    <w:rsid w:val="00D22119"/>
    <w:rsid w:val="00D27923"/>
    <w:rsid w:val="00D36807"/>
    <w:rsid w:val="00D40BAF"/>
    <w:rsid w:val="00D641A5"/>
    <w:rsid w:val="00D65173"/>
    <w:rsid w:val="00D76D7E"/>
    <w:rsid w:val="00D8659A"/>
    <w:rsid w:val="00D873ED"/>
    <w:rsid w:val="00D91B28"/>
    <w:rsid w:val="00DA59CB"/>
    <w:rsid w:val="00DA6716"/>
    <w:rsid w:val="00DB4DEE"/>
    <w:rsid w:val="00DB746B"/>
    <w:rsid w:val="00DC446A"/>
    <w:rsid w:val="00DD2A3A"/>
    <w:rsid w:val="00DD4627"/>
    <w:rsid w:val="00DD6E9D"/>
    <w:rsid w:val="00DD7DE9"/>
    <w:rsid w:val="00DE413C"/>
    <w:rsid w:val="00DE4736"/>
    <w:rsid w:val="00DE603B"/>
    <w:rsid w:val="00DF4A59"/>
    <w:rsid w:val="00E0005F"/>
    <w:rsid w:val="00E048CA"/>
    <w:rsid w:val="00E053EC"/>
    <w:rsid w:val="00E13760"/>
    <w:rsid w:val="00E14695"/>
    <w:rsid w:val="00E16BFC"/>
    <w:rsid w:val="00E258AC"/>
    <w:rsid w:val="00E270E1"/>
    <w:rsid w:val="00E47C47"/>
    <w:rsid w:val="00E535B1"/>
    <w:rsid w:val="00E61EA8"/>
    <w:rsid w:val="00E62A1F"/>
    <w:rsid w:val="00E6676C"/>
    <w:rsid w:val="00E67C9F"/>
    <w:rsid w:val="00E72714"/>
    <w:rsid w:val="00E72F81"/>
    <w:rsid w:val="00E80FA6"/>
    <w:rsid w:val="00E863AA"/>
    <w:rsid w:val="00E90BCD"/>
    <w:rsid w:val="00E935CB"/>
    <w:rsid w:val="00EA2E78"/>
    <w:rsid w:val="00EA78AC"/>
    <w:rsid w:val="00EB1151"/>
    <w:rsid w:val="00EB4A01"/>
    <w:rsid w:val="00EB718E"/>
    <w:rsid w:val="00EC431D"/>
    <w:rsid w:val="00ED51DD"/>
    <w:rsid w:val="00EE1536"/>
    <w:rsid w:val="00EE58F8"/>
    <w:rsid w:val="00EE70A9"/>
    <w:rsid w:val="00EF11A4"/>
    <w:rsid w:val="00F0167D"/>
    <w:rsid w:val="00F03BE8"/>
    <w:rsid w:val="00F048FB"/>
    <w:rsid w:val="00F04A3F"/>
    <w:rsid w:val="00F10A0B"/>
    <w:rsid w:val="00F209CC"/>
    <w:rsid w:val="00F239B0"/>
    <w:rsid w:val="00F31CEA"/>
    <w:rsid w:val="00F40AB3"/>
    <w:rsid w:val="00F45DFC"/>
    <w:rsid w:val="00F51FCC"/>
    <w:rsid w:val="00F52283"/>
    <w:rsid w:val="00F549C1"/>
    <w:rsid w:val="00F56D11"/>
    <w:rsid w:val="00F64833"/>
    <w:rsid w:val="00F6655E"/>
    <w:rsid w:val="00F77A42"/>
    <w:rsid w:val="00F82486"/>
    <w:rsid w:val="00F8265E"/>
    <w:rsid w:val="00F82839"/>
    <w:rsid w:val="00F834F3"/>
    <w:rsid w:val="00F85D42"/>
    <w:rsid w:val="00F903F0"/>
    <w:rsid w:val="00FB7DAE"/>
    <w:rsid w:val="00FC7B10"/>
    <w:rsid w:val="00FD1C1A"/>
    <w:rsid w:val="00FE0BF3"/>
    <w:rsid w:val="00FE1414"/>
    <w:rsid w:val="00FE1E00"/>
    <w:rsid w:val="00FE1E7C"/>
    <w:rsid w:val="00FE60F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10EF"/>
  <w15:chartTrackingRefBased/>
  <w15:docId w15:val="{E1C95104-B5F5-4CFF-A04F-486794BC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9561DA"/>
    <w:pPr>
      <w:ind w:left="269" w:right="269"/>
      <w:jc w:val="center"/>
      <w:outlineLvl w:val="0"/>
    </w:pPr>
    <w:rPr>
      <w:b/>
      <w:bCs/>
      <w:lang w:val="en-US"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0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"/>
    <w:basedOn w:val="Normlny"/>
    <w:link w:val="OdsekzoznamuChar"/>
    <w:uiPriority w:val="34"/>
    <w:qFormat/>
    <w:rsid w:val="00F03BE8"/>
    <w:pPr>
      <w:suppressAutoHyphens/>
      <w:autoSpaceDN w:val="0"/>
      <w:ind w:left="708" w:firstLine="284"/>
      <w:jc w:val="both"/>
      <w:textAlignment w:val="baseline"/>
    </w:pPr>
    <w:rPr>
      <w:rFonts w:ascii="Liberation Serif" w:eastAsia="NSimSun" w:hAnsi="Liberation Serif" w:cs="Arial"/>
      <w:kern w:val="3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1 Char"/>
    <w:link w:val="Odsekzoznamu"/>
    <w:uiPriority w:val="34"/>
    <w:qFormat/>
    <w:locked/>
    <w:rsid w:val="00F03BE8"/>
    <w:rPr>
      <w:rFonts w:ascii="Liberation Serif" w:eastAsia="NSimSun" w:hAnsi="Liberation Serif" w:cs="Arial"/>
      <w:kern w:val="3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03BE8"/>
    <w:pPr>
      <w:spacing w:before="144" w:after="14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7AD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7AD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A964DB"/>
    <w:rPr>
      <w:color w:val="0000FF"/>
      <w:u w:val="single"/>
    </w:rPr>
  </w:style>
  <w:style w:type="character" w:customStyle="1" w:styleId="markedcontent">
    <w:name w:val="markedcontent"/>
    <w:basedOn w:val="Predvolenpsmoodseku"/>
    <w:rsid w:val="005F6E80"/>
  </w:style>
  <w:style w:type="character" w:customStyle="1" w:styleId="highlight">
    <w:name w:val="highlight"/>
    <w:basedOn w:val="Predvolenpsmoodseku"/>
    <w:rsid w:val="005F6E80"/>
  </w:style>
  <w:style w:type="character" w:customStyle="1" w:styleId="apple-converted-space">
    <w:name w:val="apple-converted-space"/>
    <w:basedOn w:val="Predvolenpsmoodseku"/>
    <w:rsid w:val="004E09AF"/>
  </w:style>
  <w:style w:type="character" w:styleId="Odkaznakomentr">
    <w:name w:val="annotation reference"/>
    <w:basedOn w:val="Predvolenpsmoodseku"/>
    <w:uiPriority w:val="99"/>
    <w:semiHidden/>
    <w:unhideWhenUsed/>
    <w:rsid w:val="00B55E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55E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55E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5E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5E2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35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35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561D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9561DA"/>
    <w:rPr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9561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F5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E5028"/>
    <w:rPr>
      <w:i/>
      <w:iCs/>
    </w:rPr>
  </w:style>
  <w:style w:type="paragraph" w:styleId="Bezriadkovania">
    <w:name w:val="No Spacing"/>
    <w:uiPriority w:val="1"/>
    <w:qFormat/>
    <w:rsid w:val="00564B9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Mriekatabuky">
    <w:name w:val="Table Grid"/>
    <w:basedOn w:val="Normlnatabuka"/>
    <w:uiPriority w:val="39"/>
    <w:rsid w:val="00B10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73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73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873ED"/>
    <w:rPr>
      <w:vertAlign w:val="superscript"/>
    </w:rPr>
  </w:style>
  <w:style w:type="character" w:customStyle="1" w:styleId="normaltextrun">
    <w:name w:val="normaltextrun"/>
    <w:basedOn w:val="Predvolenpsmoodseku"/>
    <w:rsid w:val="00A90508"/>
  </w:style>
  <w:style w:type="character" w:customStyle="1" w:styleId="Nadpis3Char">
    <w:name w:val="Nadpis 3 Char"/>
    <w:basedOn w:val="Predvolenpsmoodseku"/>
    <w:link w:val="Nadpis3"/>
    <w:uiPriority w:val="9"/>
    <w:rsid w:val="00EE70A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customStyle="1" w:styleId="p4">
    <w:name w:val="p4"/>
    <w:basedOn w:val="Normlny"/>
    <w:rsid w:val="000F6532"/>
    <w:pPr>
      <w:jc w:val="center"/>
    </w:pPr>
    <w:rPr>
      <w:sz w:val="18"/>
      <w:szCs w:val="18"/>
    </w:rPr>
  </w:style>
  <w:style w:type="character" w:customStyle="1" w:styleId="s1">
    <w:name w:val="s1"/>
    <w:basedOn w:val="Predvolenpsmoodseku"/>
    <w:rsid w:val="000F6532"/>
    <w:rPr>
      <w:rFonts w:cs="Times New Roman"/>
      <w:spacing w:val="23"/>
    </w:rPr>
  </w:style>
  <w:style w:type="character" w:customStyle="1" w:styleId="awspan">
    <w:name w:val="awspan"/>
    <w:basedOn w:val="Predvolenpsmoodseku"/>
    <w:rsid w:val="00D65173"/>
  </w:style>
  <w:style w:type="paragraph" w:customStyle="1" w:styleId="paragraph">
    <w:name w:val="paragraph"/>
    <w:basedOn w:val="Normlny"/>
    <w:uiPriority w:val="99"/>
    <w:rsid w:val="004B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0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2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9674">
              <w:marLeft w:val="8775"/>
              <w:marRight w:val="0"/>
              <w:marTop w:val="12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4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5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6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7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3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1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C6E9-667A-472D-BE63-CC2702D8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Novysedláková, Mária, Mgr.</dc:creator>
  <cp:keywords/>
  <dc:description/>
  <cp:lastModifiedBy>Durgalová, Veronika</cp:lastModifiedBy>
  <cp:revision>4</cp:revision>
  <cp:lastPrinted>2024-02-14T07:40:00Z</cp:lastPrinted>
  <dcterms:created xsi:type="dcterms:W3CDTF">2024-02-14T07:35:00Z</dcterms:created>
  <dcterms:modified xsi:type="dcterms:W3CDTF">2024-02-14T11:30:00Z</dcterms:modified>
</cp:coreProperties>
</file>