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keepNext/>
        <w:framePr w:wrap="auto"/>
        <w:widowControl/>
        <w:autoSpaceDE/>
        <w:autoSpaceDN/>
        <w:bidi w:val="0"/>
        <w:adjustRightInd/>
        <w:ind w:left="0" w:right="0" w:firstLine="540"/>
        <w:jc w:val="both"/>
        <w:textAlignment w:val="auto"/>
        <w:outlineLvl w:val="0"/>
        <w:rPr>
          <w:rFonts w:ascii="Times New Roman" w:eastAsia="Times New Roman" w:hAnsi="Times New Roman" w:cs="Times New Roman" w:hint="cs"/>
          <w:b w:val="0"/>
          <w:bCs/>
          <w:i/>
          <w:iCs/>
          <w:rtl w:val="0"/>
          <w:cs w:val="0"/>
          <w:lang w:val="sk-SK" w:eastAsia="sk-SK" w:bidi="ar-SA"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EA0A4F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093987" w:rsidRPr="00F95756" w:rsidP="003F75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</w:p>
    <w:p w:rsidR="00EA5DC2" w:rsidRPr="00A312E3" w:rsidP="00255451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057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="00752B1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A312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</w:p>
    <w:p w:rsidR="009A3C1A" w:rsidRPr="0066606D" w:rsidP="0066606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 w:rsidRPr="00A312E3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A312E3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Pr="00A312E3"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A312E3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</w:t>
      </w:r>
      <w:r w:rsidRPr="000A4C7E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- </w:t>
      </w:r>
      <w:r w:rsidRPr="000A4C7E" w:rsidR="000A4C7E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2534</w:t>
      </w:r>
      <w:r w:rsidRPr="000A4C7E" w:rsidR="00752B1F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/2023</w:t>
      </w:r>
      <w:r w:rsidRPr="000A4C7E" w:rsidR="0066606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</w:t>
      </w:r>
    </w:p>
    <w:p w:rsidR="00CB156B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</w:p>
    <w:p w:rsidR="00EA5DC2" w:rsidRPr="0030577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</w:pPr>
      <w:r w:rsidRPr="00305777" w:rsidR="00305777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26</w:t>
      </w:r>
    </w:p>
    <w:p w:rsidR="00EA5DC2" w:rsidRPr="00305777" w:rsidP="003F758D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</w:pPr>
      <w:r w:rsidRPr="00305777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30577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0577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305777" w:rsidP="003F758D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30577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E477B6" w:rsidRPr="00F95756" w:rsidP="00A31275">
      <w:pPr>
        <w:framePr w:wrap="auto"/>
        <w:widowControl/>
        <w:autoSpaceDE/>
        <w:autoSpaceDN/>
        <w:bidi w:val="0"/>
        <w:adjustRightInd/>
        <w:spacing w:after="12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05777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05777" w:rsidR="00065B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5777" w:rsidR="003057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305777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3F53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</w:t>
      </w:r>
      <w:r w:rsidRPr="00305777" w:rsidR="0063517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2024</w:t>
      </w:r>
    </w:p>
    <w:p w:rsidR="00850C30" w:rsidP="00A31275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E45A48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7A1DC6" w:rsidR="00063297">
        <w:rPr>
          <w:rFonts w:ascii="Times New Roman" w:eastAsia="Times New Roman" w:hAnsi="Times New Roman" w:cs="Times New Roman" w:hint="cs"/>
          <w:noProof/>
          <w:color w:val="333333"/>
          <w:sz w:val="24"/>
          <w:szCs w:val="24"/>
          <w:rtl w:val="0"/>
          <w:cs w:val="0"/>
          <w:lang w:val="sk-SK" w:eastAsia="sk-SK" w:bidi="ar-SA"/>
        </w:rPr>
        <w:t xml:space="preserve">zákona, </w:t>
      </w:r>
      <w:r w:rsidRPr="00635173" w:rsidR="0063517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mení a dopĺňa zákon č. 222/2022 Z. z. o štátnej podpore nájomného bývania a o zmene a doplnení niektorých zákonov v znení zákona </w:t>
      </w:r>
      <w:r w:rsidR="00DD326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Pr="00635173" w:rsidR="0063517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č. 231/2023 Z. z. </w:t>
      </w:r>
      <w:r w:rsidRPr="00635173" w:rsidR="00635173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109)</w:t>
      </w:r>
    </w:p>
    <w:p w:rsidR="00850C30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</w:p>
    <w:p w:rsidR="005242C8" w:rsidRPr="00F95756" w:rsidP="00850C30">
      <w:pPr>
        <w:framePr w:wrap="auto"/>
        <w:widowControl/>
        <w:autoSpaceDE/>
        <w:autoSpaceDN/>
        <w:bidi w:val="0"/>
        <w:adjustRightInd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Times New Roman" w:hint="cs"/>
          <w:b/>
          <w:bCs/>
          <w:noProof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</w:p>
    <w:p w:rsidR="00A1790A" w:rsidRPr="00A1790A" w:rsidP="00A1790A">
      <w:pPr>
        <w:framePr w:wrap="auto"/>
        <w:widowControl/>
        <w:numPr>
          <w:numId w:val="5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0E112E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auto"/>
          <w:szCs w:val="20"/>
          <w:rtl w:val="0"/>
          <w:cs w:val="0"/>
          <w:lang w:val="sk-SK" w:eastAsia="sk-SK" w:bidi="ar-SA"/>
        </w:rPr>
      </w:pPr>
    </w:p>
    <w:p w:rsidR="005242C8" w:rsidRPr="007A4361" w:rsidP="002B1F59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AT*Toronto" w:eastAsia="Times New Roman" w:hAnsi="AT*Toronto" w:cs="Arial" w:hint="cs"/>
          <w:color w:val="auto"/>
          <w:szCs w:val="20"/>
          <w:rtl w:val="0"/>
          <w:cs w:val="0"/>
          <w:lang w:val="cs-CZ" w:eastAsia="sk-SK" w:bidi="ar-SA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E477B6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7A1DC6" w:rsidR="00063297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zákona, </w:t>
      </w:r>
      <w:r w:rsidRPr="00635173" w:rsidR="00635173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ktorým sa mení a dopĺňa zákon č. 222/2022 Z. z. o štátnej podpore nájomného bývania a o zmene a doplnení niektorých zákonov v znení zákona č. 231/2023 Z. z. </w:t>
      </w:r>
      <w:r w:rsidRPr="00635173" w:rsidR="00635173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cs-CZ" w:eastAsia="sk-SK" w:bidi="ar-SA"/>
        </w:rPr>
        <w:t>(tlač 109)</w:t>
      </w:r>
      <w:r w:rsidRPr="00635173" w:rsidR="00F9575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F95756" w:rsidP="00F95756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color w:val="0000FF"/>
          <w:szCs w:val="20"/>
          <w:rtl w:val="0"/>
          <w:cs w:val="0"/>
          <w:lang w:val="cs-CZ" w:eastAsia="sk-SK" w:bidi="ar-SA"/>
        </w:rPr>
      </w:pPr>
    </w:p>
    <w:p w:rsidR="005242C8" w:rsidRPr="00E35A92" w:rsidP="005A06D8">
      <w:pPr>
        <w:keepNext/>
        <w:framePr w:wrap="auto"/>
        <w:widowControl/>
        <w:numPr>
          <w:numId w:val="4"/>
        </w:numPr>
        <w:autoSpaceDE/>
        <w:autoSpaceDN/>
        <w:bidi w:val="0"/>
        <w:adjustRightInd/>
        <w:ind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E35A9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E35A92" w:rsidP="00A1790A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1790A" w:rsidRPr="00E35A92" w:rsidP="00A1790A">
      <w:pPr>
        <w:keepNext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35A92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92690B" w:rsidRPr="00E35A92" w:rsidP="0092690B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242C8" w:rsidRPr="008742A0" w:rsidP="00A1790A">
      <w:pPr>
        <w:framePr w:wrap="auto"/>
        <w:widowControl/>
        <w:autoSpaceDE/>
        <w:autoSpaceDN/>
        <w:bidi w:val="0"/>
        <w:adjustRightInd/>
        <w:ind w:left="0" w:right="0" w:firstLine="709"/>
        <w:jc w:val="both"/>
        <w:textAlignment w:val="auto"/>
        <w:rPr>
          <w:rFonts w:ascii="Times New Roman" w:eastAsia="Times New Roman" w:hAnsi="Times New Roman" w:cs="Times New Roman" w:hint="cs"/>
          <w:color w:val="000000"/>
          <w:szCs w:val="20"/>
          <w:rtl w:val="0"/>
          <w:cs w:val="0"/>
          <w:lang w:val="sk-SK" w:eastAsia="sk-SK" w:bidi="ar-SA"/>
        </w:rPr>
      </w:pPr>
      <w:r w:rsidRPr="00E35A92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E35A92" w:rsidR="00063297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zákona, </w:t>
      </w:r>
      <w:r w:rsidRPr="00E35A92" w:rsidR="00635173">
        <w:rPr>
          <w:rFonts w:ascii="Times New Roman" w:eastAsia="Times New Roman" w:hAnsi="Times New Roman" w:cs="Times New Roman" w:hint="cs"/>
          <w:color w:val="333333"/>
          <w:sz w:val="24"/>
          <w:szCs w:val="24"/>
          <w:rtl w:val="0"/>
          <w:cs w:val="0"/>
          <w:lang w:val="cs-CZ" w:eastAsia="sk-SK" w:bidi="ar-SA"/>
        </w:rPr>
        <w:t xml:space="preserve">ktorým sa mení a dopĺňa zákon č. 222/2022 Z. z. o štátnej podpore nájomného bývania a o zmene a doplnení niektorých zákonov v znení zákona č. 231/2023 Z. z. </w:t>
      </w:r>
      <w:r w:rsidRPr="00E35A92" w:rsidR="00635173">
        <w:rPr>
          <w:rFonts w:ascii="Times New Roman" w:eastAsia="Times New Roman" w:hAnsi="Times New Roman" w:cs="Times New Roman" w:hint="cs"/>
          <w:b/>
          <w:color w:val="333333"/>
          <w:sz w:val="24"/>
          <w:szCs w:val="24"/>
          <w:rtl w:val="0"/>
          <w:cs w:val="0"/>
          <w:lang w:val="cs-CZ" w:eastAsia="sk-SK" w:bidi="ar-SA"/>
        </w:rPr>
        <w:t>(tlač 109)</w:t>
      </w:r>
      <w:r w:rsidRPr="00E35A92" w:rsidR="00063297">
        <w:rPr>
          <w:rFonts w:ascii="Times New Roman" w:eastAsia="Times New Roman" w:hAnsi="Times New Roman" w:cs="Times New Roman" w:hint="cs"/>
          <w:color w:val="0000FF"/>
          <w:sz w:val="24"/>
          <w:szCs w:val="24"/>
          <w:rtl w:val="0"/>
          <w:cs w:val="0"/>
          <w:lang w:val="cs-CZ" w:eastAsia="sk-SK" w:bidi="ar-SA"/>
        </w:rPr>
        <w:t xml:space="preserve"> </w:t>
      </w:r>
      <w:r w:rsidRPr="00E35A92" w:rsidR="00A1644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Pr="00E35A92" w:rsidR="00D3040C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>chváliť</w:t>
      </w:r>
      <w:r w:rsidRPr="00E35A92" w:rsidR="00786D42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 xml:space="preserve"> v znení pozmeňujúcich a doplňujúcich návrhov uvedených v prílohe;</w:t>
      </w:r>
    </w:p>
    <w:p w:rsidR="005242C8" w:rsidRPr="00F95756" w:rsidP="003F758D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9E21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242C8" w:rsidRPr="00F95756" w:rsidP="005A06D8">
      <w:pPr>
        <w:keepNext/>
        <w:framePr w:wrap="auto"/>
        <w:widowControl/>
        <w:numPr>
          <w:numId w:val="3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outlineLvl w:val="3"/>
        <w:rPr>
          <w:rFonts w:ascii="Times New Roman" w:eastAsia="Times New Roman" w:hAnsi="Times New Roman" w:cs="Times New Roman" w:hint="cs"/>
          <w:b/>
          <w:color w:val="auto"/>
          <w:szCs w:val="20"/>
          <w:rtl w:val="0"/>
          <w:cs w:val="0"/>
          <w:lang w:val="sk-SK" w:eastAsia="sk-SK" w:bidi="ar-SA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RPr="00F95756" w:rsidP="005A06D8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</w:t>
      </w:r>
      <w:r w:rsidR="00850C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redsedu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8925E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                 </w:t>
      </w:r>
      <w:r w:rsidR="00C71D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05777" w:rsidR="003057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305777" w:rsidR="005B631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05777" w:rsidR="003057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305777" w:rsidR="00EC1F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2024</w:t>
      </w:r>
      <w:r w:rsidRPr="00305777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 do písomnej spoločnej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 ju na schválenie gestorskému výboru,</w:t>
      </w:r>
    </w:p>
    <w:p w:rsidR="007E4DBE" w:rsidRPr="005E69E3" w:rsidP="00B5287E">
      <w:pPr>
        <w:framePr w:wrap="auto"/>
        <w:widowControl/>
        <w:numPr>
          <w:numId w:val="2"/>
        </w:numPr>
        <w:autoSpaceDE/>
        <w:autoSpaceDN/>
        <w:bidi w:val="0"/>
        <w:adjustRightInd/>
        <w:spacing w:after="12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DC3B48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DC3B48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Pr="00B5287E" w:rsidR="00B528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</w:t>
      </w:r>
      <w:r w:rsidR="00B528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EC1FC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Mega</w:t>
      </w:r>
      <w:r w:rsidR="00850C3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aby v súlade s § 80 ods. 2 </w:t>
      </w:r>
      <w:r w:rsidRPr="00DC3B48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C3B48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DC3B48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</w:t>
      </w:r>
      <w:r w:rsidR="005E69E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</w:t>
      </w:r>
    </w:p>
    <w:p w:rsidR="00CB156B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50C30" w:rsidRPr="00A00DCE" w:rsidP="00850C30">
      <w:pPr>
        <w:framePr w:wrap="auto"/>
        <w:widowControl/>
        <w:autoSpaceDE/>
        <w:autoSpaceDN/>
        <w:bidi w:val="0"/>
        <w:adjustRightInd/>
        <w:spacing w:line="240" w:lineRule="atLeast"/>
        <w:ind w:left="0" w:right="0" w:firstLine="612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DC3B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      </w:t>
      </w:r>
    </w:p>
    <w:p w:rsidR="00AE22F0" w:rsidRPr="00B5287E" w:rsidP="00063297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</w:t>
      </w:r>
      <w:r w:rsidRPr="00B5287E" w:rsidR="0006329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2220F6" w:rsidR="00B528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Róbert</w:t>
      </w:r>
      <w:r w:rsidRPr="00B5287E" w:rsid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 u c i, v.r. </w:t>
      </w:r>
      <w:r w:rsidRPr="00B5287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</w:p>
    <w:p w:rsidR="00AE22F0" w:rsidRPr="00A00DCE" w:rsidP="00AE22F0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A00DC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8460E4" w:rsidRPr="00BC127D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Justín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e d l á k</w:t>
      </w:r>
    </w:p>
    <w:p w:rsidR="008460E4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127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Michal </w:t>
      </w:r>
      <w:r w:rsidRPr="00C259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T r u b a n</w:t>
      </w:r>
    </w:p>
    <w:p w:rsidR="00F93F93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7F3CEC" w:rsidR="008460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výboru</w:t>
      </w:r>
    </w:p>
    <w:p w:rsidR="008742A0" w:rsidP="008742A0">
      <w:pPr>
        <w:framePr w:wrap="auto"/>
        <w:widowControl/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i/>
          <w:i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Cs/>
          <w:i/>
          <w:iCs/>
          <w:sz w:val="24"/>
          <w:szCs w:val="24"/>
          <w:rtl w:val="0"/>
          <w:cs w:val="0"/>
          <w:lang w:val="sk-SK" w:eastAsia="sk-SK" w:bidi="ar-SA"/>
        </w:rPr>
        <w:tab/>
        <w:t xml:space="preserve">            Výbor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</w:t>
        <w:tab/>
        <w:tab/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8742A0" w:rsidRPr="00613CF6" w:rsidP="008742A0">
      <w:pPr>
        <w:framePr w:wrap="auto"/>
        <w:widowControl/>
        <w:autoSpaceDE/>
        <w:autoSpaceDN/>
        <w:bidi w:val="0"/>
        <w:adjustRightInd/>
        <w:ind w:left="5672" w:right="0" w:firstLine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BC2C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12</w:t>
      </w:r>
      <w:r w:rsidRPr="00613C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613CF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  <w:t xml:space="preserve"> </w:t>
      </w:r>
      <w:r w:rsidRPr="00613CF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Príloha k </w:t>
      </w:r>
      <w:r w:rsidRPr="000A4C7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uzneseniu č. </w:t>
      </w:r>
      <w:r w:rsidR="00BC2C8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26</w:t>
      </w:r>
    </w:p>
    <w:p w:rsidR="008742A0" w:rsidP="008742A0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iCs/>
          <w:color w:val="auto"/>
          <w:szCs w:val="20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8742A0" w:rsidP="008742A0">
      <w:pPr>
        <w:keepNext/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outlineLvl w:val="4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8742A0" w:rsidRPr="000D5089" w:rsidP="008742A0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742A0" w:rsidP="008742A0">
      <w:pPr>
        <w:framePr w:wrap="auto"/>
        <w:widowControl/>
        <w:autoSpaceDE/>
        <w:autoSpaceDN/>
        <w:bidi w:val="0"/>
        <w:adjustRightInd/>
        <w:spacing w:after="120"/>
        <w:ind w:left="0" w:right="0" w:firstLine="360"/>
        <w:contextualSpacing/>
        <w:jc w:val="both"/>
        <w:textAlignment w:val="auto"/>
        <w:rPr>
          <w:rFonts w:ascii="Times New Roman" w:eastAsia="Times New Roman" w:hAnsi="Times New Roman" w:cs="Arial" w:hint="cs"/>
          <w:noProof/>
          <w:rtl w:val="0"/>
          <w:cs w:val="0"/>
          <w:lang w:val="sk-SK" w:eastAsia="sk-SK" w:bidi="ar-SA"/>
        </w:rPr>
      </w:pPr>
      <w:r w:rsidRPr="000D508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 vládnemu návrhu zákona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</w:t>
      </w:r>
      <w:r w:rsidRPr="000D5089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3265" w:rsidR="00DD326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ktorým sa mení a dopĺňa zákon č. 222/2022 Z. z. o štátnej podpore nájomného bývania a o zmene a doplnení niektorých zákonov v znení zákona </w:t>
      </w:r>
      <w:r w:rsidR="00B77A8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Pr="00DD3265" w:rsidR="00DD3265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č. 231/2023 Z. z. </w:t>
      </w:r>
      <w:r w:rsidRPr="00DD3265" w:rsidR="00DD3265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(tlač 109)</w:t>
      </w:r>
    </w:p>
    <w:p w:rsidR="008742A0" w:rsidP="008742A0">
      <w:pPr>
        <w:framePr w:wrap="auto"/>
        <w:widowControl/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742A0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RPr="003E2D6B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E0C3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Za článok I sa vkladá nový článok II, ktorý znie:</w:t>
      </w: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</w:t>
      </w:r>
      <w:r w:rsidRPr="006D196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Čl. II</w:t>
      </w: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9D14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Zákon č. </w:t>
      </w:r>
      <w:r w:rsidRPr="009D14BA">
        <w:rPr>
          <w:rFonts w:ascii="Times New Roman" w:eastAsia="NSimSun" w:hAnsi="Times New Roman" w:cs="Times New Roman" w:hint="default"/>
          <w:b/>
          <w:sz w:val="24"/>
          <w:szCs w:val="24"/>
          <w:rtl w:val="0"/>
          <w:cs w:val="0"/>
          <w:lang w:val="sk-SK" w:eastAsia="sk-SK" w:bidi="ar-SA"/>
        </w:rPr>
        <w:t>400/2015 Z. z.</w:t>
      </w:r>
      <w:r w:rsidRPr="009D14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o tvorbe právnych predpisov a o Zbierke zákonov Slovenskej republiky a o zmene a doplnení niektorých zákonov v znení </w:t>
        <w:br/>
        <w:t xml:space="preserve">zákona č. 310/2016 Z. z., zákona č. 217/2018 Z. z., zákona č. 134/2020 Z. z., </w:t>
        <w:br/>
        <w:t>zákona č. 198/2020 Z.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z., zákona č. 423/2020 Z. z., </w:t>
      </w:r>
      <w:r w:rsidRPr="009D14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zákona č. 133/2023 Z. z. </w:t>
      </w:r>
      <w:r w:rsidRPr="00481E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 zákona č. 7/2024 Z. z.</w:t>
      </w:r>
      <w:r w:rsidRPr="006D196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D14B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sa mení takto:</w:t>
      </w: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§ 21 ods. 1 písm. b) sa slová „Ministerstvo spravodlivosti Slovenskej republiky“ nahrádzajú slovami „</w:t>
      </w:r>
      <w:r w:rsidRPr="00F138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Úrad vlády Slovenskej republiky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“.“.</w:t>
      </w: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Tento bod nadobúda účinnosť dňom vyhlásenia, čo sa premietne aj do ustanovenia o nadobudnutí účinnosti zákona.</w:t>
      </w: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Doterajší článok II sa primerane prečísluje.</w:t>
      </w:r>
    </w:p>
    <w:p w:rsidR="00C62A6E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RPr="003E2D6B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Vložením nového článku sa primerane upraví názov návrhu zákona.</w:t>
      </w:r>
    </w:p>
    <w:p w:rsidR="00C62A6E" w:rsidRPr="003E2D6B" w:rsidP="00C62A6E">
      <w:pPr>
        <w:framePr w:wrap="auto"/>
        <w:widowControl w:val="0"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P="00C62A6E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62A6E" w:rsidRPr="001813A1" w:rsidP="00C62A6E">
      <w:pPr>
        <w:framePr w:wrap="auto"/>
        <w:widowControl/>
        <w:autoSpaceDE/>
        <w:autoSpaceDN/>
        <w:bidi w:val="0"/>
        <w:adjustRightInd/>
        <w:ind w:left="0" w:right="0" w:hanging="5"/>
        <w:jc w:val="both"/>
        <w:textAlignment w:val="auto"/>
        <w:rPr>
          <w:rFonts w:ascii="Times New Roman" w:eastAsia="Times New Roman" w:hAnsi="Times New Roman" w:cs="Times New Roman" w:hint="cs"/>
          <w:i/>
          <w:color w:val="000000"/>
          <w:u w:val="single"/>
          <w:rtl w:val="0"/>
          <w:cs w:val="0"/>
          <w:lang w:val="sk-SK" w:eastAsia="sk-SK" w:bidi="ar-SA"/>
        </w:rPr>
      </w:pPr>
      <w:r w:rsidRPr="001813A1">
        <w:rPr>
          <w:rFonts w:ascii="Times New Roman" w:eastAsia="Times New Roman" w:hAnsi="Times New Roman" w:cs="Times New Roman" w:hint="cs"/>
          <w:i/>
          <w:color w:val="000000"/>
          <w:sz w:val="24"/>
          <w:szCs w:val="24"/>
          <w:u w:val="single"/>
          <w:rtl w:val="0"/>
          <w:cs w:val="0"/>
          <w:lang w:val="sk-SK" w:eastAsia="sk-SK" w:bidi="ar-SA"/>
        </w:rPr>
        <w:t>Odôvodnenie:</w:t>
      </w:r>
    </w:p>
    <w:p w:rsidR="00C62A6E" w:rsidP="00C62A6E">
      <w:pPr>
        <w:framePr w:wrap="auto"/>
        <w:widowControl/>
        <w:autoSpaceDE/>
        <w:autoSpaceDN/>
        <w:bidi w:val="0"/>
        <w:adjustRightInd/>
        <w:ind w:left="0" w:right="0" w:hanging="5"/>
        <w:jc w:val="both"/>
        <w:textAlignment w:val="auto"/>
        <w:rPr>
          <w:rFonts w:ascii="Times New Roman" w:eastAsia="Times New Roman" w:hAnsi="Times New Roman" w:cs="Times New Roman" w:hint="cs"/>
          <w:i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Ide o úpravu reagujúcu na novelizáciu zákona č. 400/2015 Z. z. zákonom č. 7/2024 Z. z., ktorým došlo k presunu tejto kompetencie z Úradu vlády Slovenskej republiky na Ministerstvo spravodlivosti Slovenskej republiky.</w:t>
      </w:r>
      <w:r w:rsidRPr="00496E1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Navrhuje sa ustanoviť, aby Úrad vlády Slovenskej republiky naďalej zodpovedal za podávanie žiadostí o vyhlásenie nariadení vlády </w:t>
      </w:r>
      <w:r w:rsidRPr="006B299B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>a rozhodnutí a uznesení podľa § 13 písm. e)</w:t>
      </w: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zákona č. 400/2015 Z. z.</w:t>
      </w:r>
    </w:p>
    <w:p w:rsidR="00C62A6E" w:rsidP="008460E4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A31275">
      <w:footerReference w:type="even" r:id="rId4"/>
      <w:footerReference w:type="default" r:id="rId5"/>
      <w:pgSz w:w="11906" w:h="16838"/>
      <w:pgMar w:top="1134" w:right="1418" w:bottom="1134" w:left="1418" w:header="709" w:footer="709" w:gutter="0"/>
      <w:lnNumType w:distance="0"/>
      <w:cols w:space="708"/>
      <w:noEndnote w:val="0"/>
      <w:titlePg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00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Arial Unicode MS">
    <w:panose1 w:val="020B0604020202020204"/>
    <w:charset w:val="00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@MS Gothic">
    <w:panose1 w:val="020B0609070205080204"/>
    <w:charset w:val="80"/>
    <w:family w:val="modern"/>
    <w:pitch w:val="fixed"/>
  </w:font>
  <w:font w:name="@SimSun">
    <w:panose1 w:val="02010600030101010101"/>
    <w:charset w:val="86"/>
    <w:family w:val="auto"/>
    <w:pitch w:val="variable"/>
  </w:font>
  <w:font w:name="NSimSun">
    <w:panose1 w:val="02010609030101010101"/>
    <w:charset w:val="86"/>
    <w:family w:val="modern"/>
    <w:pitch w:val="fixed"/>
  </w:font>
  <w:font w:name="@NSimSun">
    <w:charset w:val="86"/>
    <w:family w:val="modern"/>
    <w:pitch w:val="fixed"/>
  </w:font>
  <w:font w:name="Lucida Sans">
    <w:panose1 w:val="020B0602030504020204"/>
    <w:charset w:val="00"/>
    <w:family w:val="swiss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E">
    <w:charset w:val="EE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  <w:font w:name="@SimSun Western">
    <w:charset w:val="00"/>
    <w:family w:val="auto"/>
    <w:pitch w:val="variable"/>
  </w:font>
  <w:font w:name="NSimSun Western">
    <w:charset w:val="00"/>
    <w:family w:val="modern"/>
    <w:pitch w:val="fixed"/>
  </w:font>
  <w:font w:name="@NSimSun Western">
    <w:charset w:val="0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separate"/>
    </w:r>
    <w:r w:rsidR="00C62A6E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cs-CZ" w:bidi="ar-SA"/>
      </w:rPr>
      <w:t>2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cs-CZ" w:bidi="ar-SA"/>
      </w:rPr>
      <w:fldChar w:fldCharType="end"/>
    </w:r>
  </w:p>
  <w:p w:rsidR="001C2601" w:rsidP="00B12DA5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cs-CZ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41A6C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53D91"/>
    <w:multiLevelType w:val="multilevel"/>
    <w:tmpl w:val="53822F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80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6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20" w:hanging="300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4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6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8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9">
    <w:nsid w:val="22FF3D05"/>
    <w:multiLevelType w:val="hybridMultilevel"/>
    <w:tmpl w:val="C4F0AC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DB7E74"/>
    <w:multiLevelType w:val="singleLevel"/>
    <w:tmpl w:val="39F038C2"/>
    <w:lvl w:ilvl="0">
      <w:start w:val="1"/>
      <w:numFmt w:val="upperLetter"/>
      <w:pStyle w:val="Nor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11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12">
    <w:nsid w:val="293B030C"/>
    <w:multiLevelType w:val="hybridMultilevel"/>
    <w:tmpl w:val="24B23B7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8C768BF"/>
    <w:multiLevelType w:val="hybridMultilevel"/>
    <w:tmpl w:val="46082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A255E59"/>
    <w:multiLevelType w:val="hybridMultilevel"/>
    <w:tmpl w:val="CD6406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FF96B49"/>
    <w:multiLevelType w:val="multilevel"/>
    <w:tmpl w:val="1C703C2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19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0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22">
    <w:nsid w:val="529315F8"/>
    <w:multiLevelType w:val="hybridMultilevel"/>
    <w:tmpl w:val="284AEC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3">
    <w:nsid w:val="57146A31"/>
    <w:multiLevelType w:val="multilevel"/>
    <w:tmpl w:val="43DE28F8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2">
      <w:start w:val="1"/>
      <w:numFmt w:val="lowerRoman"/>
      <w:lvlText w:val="%3."/>
      <w:lvlJc w:val="left"/>
      <w:pPr>
        <w:ind w:left="179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51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23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5">
      <w:start w:val="1"/>
      <w:numFmt w:val="lowerRoman"/>
      <w:lvlText w:val="%6."/>
      <w:lvlJc w:val="left"/>
      <w:pPr>
        <w:ind w:left="3957" w:hanging="299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4677" w:hanging="357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397" w:hanging="356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  <w:lvl w:ilvl="8">
      <w:start w:val="1"/>
      <w:numFmt w:val="lowerRoman"/>
      <w:lvlText w:val="%9."/>
      <w:lvlJc w:val="left"/>
      <w:pPr>
        <w:ind w:left="6117" w:hanging="298"/>
      </w:pPr>
      <w:rPr>
        <w:rFonts w:ascii="Times New Roman" w:eastAsia="Times New Roman" w:hAnsi="Times New Roman" w:cs="Times New Roman" w:hint="eastAsia"/>
        <w:b w:val="0"/>
        <w:i w:val="0"/>
        <w:smallCaps w:val="0"/>
        <w:strike w:val="0"/>
        <w:vertAlign w:val="baseline"/>
        <w:rtl w:val="0"/>
        <w:cs w:val="0"/>
      </w:rPr>
    </w:lvl>
  </w:abstractNum>
  <w:abstractNum w:abstractNumId="24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C752EEB"/>
    <w:multiLevelType w:val="hybridMultilevel"/>
    <w:tmpl w:val="330EE5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7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10"/>
  </w:num>
  <w:num w:numId="2">
    <w:abstractNumId w:val="1"/>
  </w:num>
  <w:num w:numId="3">
    <w:abstractNumId w:val="29"/>
  </w:num>
  <w:num w:numId="4">
    <w:abstractNumId w:val="28"/>
  </w:num>
  <w:num w:numId="5">
    <w:abstractNumId w:val="20"/>
  </w:num>
  <w:num w:numId="6">
    <w:abstractNumId w:val="2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0"/>
  </w:num>
  <w:num w:numId="10">
    <w:abstractNumId w:val="2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0"/>
  </w:num>
  <w:num w:numId="16">
    <w:abstractNumId w:val="5"/>
  </w:num>
  <w:num w:numId="17">
    <w:abstractNumId w:val="21"/>
  </w:num>
  <w:num w:numId="18">
    <w:abstractNumId w:val="19"/>
  </w:num>
  <w:num w:numId="19">
    <w:abstractNumId w:val="9"/>
  </w:num>
  <w:num w:numId="20">
    <w:abstractNumId w:val="31"/>
  </w:num>
  <w:num w:numId="21">
    <w:abstractNumId w:val="6"/>
  </w:num>
  <w:num w:numId="22">
    <w:abstractNumId w:val="13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"/>
  </w:num>
  <w:num w:numId="28">
    <w:abstractNumId w:val="18"/>
  </w:num>
  <w:num w:numId="29">
    <w:abstractNumId w:val="26"/>
  </w:num>
  <w:num w:numId="30">
    <w:abstractNumId w:val="22"/>
  </w:num>
  <w:num w:numId="31">
    <w:abstractNumId w:val="15"/>
  </w:num>
  <w:num w:numId="32">
    <w:abstractNumId w:val="16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253</TotalTime>
  <Pages>2</Pages>
  <Words>586</Words>
  <Characters>3343</Characters>
  <Application>Microsoft Office Word</Application>
  <DocSecurity>0</DocSecurity>
  <Lines>0</Lines>
  <Paragraphs>0</Paragraphs>
  <ScaleCrop>false</ScaleCrop>
  <Company>Kancelaria NR SR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100</cp:revision>
  <cp:lastPrinted>2024-02-13T08:35:00Z</cp:lastPrinted>
  <dcterms:created xsi:type="dcterms:W3CDTF">2018-05-23T14:46:00Z</dcterms:created>
  <dcterms:modified xsi:type="dcterms:W3CDTF">2024-02-13T14:48:00Z</dcterms:modified>
</cp:coreProperties>
</file>