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78057E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78057E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E3946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E3946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4E3946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4E394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D0B8B" w:rsidRPr="004E394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E3946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2F6E1D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2F6E1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D148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E56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111</w:t>
      </w:r>
      <w:r w:rsidRPr="002F6E1D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="00D148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78057E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D148F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134</w:t>
      </w:r>
      <w:r w:rsidRPr="0078057E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78057E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78057E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AD0B8B" w:rsidRPr="0078057E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713761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13761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713761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713761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713761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13761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D148F2" w:rsidR="00D148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57/2018 Z. z. o regionálnej investičnej pomoci a o zmene a doplnení niektorých zákonov v znení neskorších predpisov </w:t>
      </w:r>
      <w:r w:rsidRPr="00D148F2" w:rsidR="00D148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134</w:t>
      </w:r>
      <w:r w:rsidRPr="00D148F2" w:rsidR="0050137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501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137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78057E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78057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78057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713761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7137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713761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7137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713761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713761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13761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13761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D148F2" w:rsidR="00D148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57/2018 Z. z. o regionálnej investičnej pomoci a o zmene a doplnení niektorých zákonov v znení neskorších predpisov </w:t>
      </w:r>
      <w:r w:rsidRPr="00D148F2" w:rsidR="00D148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134)</w:t>
      </w:r>
      <w:r w:rsidRPr="00D148F2" w:rsidR="0005490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13761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7137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713761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7137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713761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7137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713761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7137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713761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</w:t>
      </w:r>
      <w:r w:rsidRP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uznesením</w:t>
      </w:r>
      <w:r w:rsidRPr="002F6E1D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F6E1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757D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133</w:t>
      </w:r>
      <w:r w:rsidRPr="002F6E1D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F6E1D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757D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15</w:t>
      </w:r>
      <w:r w:rsidRPr="002F6E1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2F6E1D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57D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2F6E1D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F6E1D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2F6E1D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757D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D00C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D00C35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0C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D00C35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78057E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D00C35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D00C35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57D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F6E1D" w:rsidRPr="0078057E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00C35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D00C35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D00C35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757D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3B1512" w:rsidRPr="0078057E" w:rsidP="00757DA8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65871" w:rsidRPr="0078057E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DB1796" w:rsidP="00757DA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B17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863E1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980F1B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BB1361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B13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78057E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BB1361" w:rsidP="00825E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B1361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BB1361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BB1361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BB1361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2E67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48</w:t>
      </w:r>
      <w:r w:rsidR="00757D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83A0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F83A07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F83A07" w:rsidR="00F83A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F83A07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83A07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83A07" w:rsidR="008E561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februára</w:t>
      </w:r>
      <w:r w:rsidRPr="00F83A07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83A07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F83A07" w:rsidR="00757D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  <w:r w:rsidR="00757D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65794" w:rsidRPr="002F6E1D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B1361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E5613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8E5613" w:rsidR="008E561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28</w:t>
      </w:r>
      <w:r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8E5613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8E5613" w:rsidR="004E394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E5613" w:rsidR="008E561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8E5613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E5613" w:rsidR="00757D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februára</w:t>
      </w:r>
      <w:r w:rsidRPr="008E5613" w:rsidR="00C417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E5613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8E5613" w:rsidR="00757D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4.</w:t>
      </w:r>
    </w:p>
    <w:p w:rsidR="009B36E7" w:rsidP="00D85CB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757DA8" w:rsidRPr="0078057E" w:rsidP="00D85CB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05B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305B2F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 bodom III tejto</w:t>
      </w:r>
      <w:r w:rsidR="001655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spoločnej</w:t>
      </w:r>
      <w:r w:rsidRP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14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správy </w:t>
      </w:r>
      <w:r w:rsidRPr="004714FD" w:rsidR="004714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4714FD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4714FD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14FD" w:rsidR="004714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žiadne </w:t>
      </w:r>
      <w:r w:rsidRPr="004714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4714FD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714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4714FD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714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4714FD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4714FD" w:rsidR="004714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B0C34" w:rsidRPr="00CE799F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Arial" w:hint="cs"/>
          <w:color w:val="000000"/>
          <w:rtl w:val="0"/>
          <w:cs w:val="0"/>
          <w:lang w:val="sk-SK" w:eastAsia="sk-SK" w:bidi="ar-SA"/>
        </w:rPr>
      </w:pPr>
    </w:p>
    <w:p w:rsidR="00E269DC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D0B8B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5B0C34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966078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78057E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7A1DC6" w:rsidR="00D85CBA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757DA8" w:rsidR="00757DA8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ktorým sa mení a dopĺňa zákon č. 57/2018 Z. z. o regionálnej investičnej pomoci a o zmene a doplnení niektorých zákonov v znení neskorších predpisov </w:t>
      </w:r>
      <w:r w:rsidRPr="00757DA8" w:rsidR="00757DA8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(tlač 134)</w:t>
      </w:r>
      <w:r w:rsidRPr="00757DA8" w:rsidR="002F6E1D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023D5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="004714F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5023D5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="004714F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023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78057E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</w:t>
      </w:r>
      <w:r w:rsidRPr="00AD0B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druhom čítaní bola schválená uznesením Výboru Národnej rady Slovenskej republiky pre hospodárske záležitosti č</w:t>
      </w:r>
      <w:r w:rsidRPr="00AD0B8B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AD0B8B" w:rsidR="00AD0B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31</w:t>
      </w:r>
      <w:r w:rsidRPr="00AD0B8B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D0B8B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AD0B8B" w:rsidR="00AD0B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AD0B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AD0B8B" w:rsidR="00757D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februára</w:t>
      </w:r>
      <w:r w:rsidRPr="00AD0B8B" w:rsid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AD0B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78057E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757DA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Igora Šimka</w:t>
      </w:r>
      <w:r w:rsidRPr="00964B90" w:rsidR="00964B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46E15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D0B8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AD0B8B" w:rsidR="00AD0B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AD0B8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023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</w:t>
      </w:r>
      <w:r w:rsidRPr="00AD0B8B" w:rsidR="002F6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9500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500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964B9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964B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78057E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78057E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78057E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78057E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165567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6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1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4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5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6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7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8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1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2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5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8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22"/>
  </w:num>
  <w:num w:numId="3">
    <w:abstractNumId w:val="35"/>
  </w:num>
  <w:num w:numId="4">
    <w:abstractNumId w:val="13"/>
  </w:num>
  <w:num w:numId="5">
    <w:abstractNumId w:val="24"/>
  </w:num>
  <w:num w:numId="6">
    <w:abstractNumId w:val="2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0"/>
  </w:num>
  <w:num w:numId="11">
    <w:abstractNumId w:val="25"/>
  </w:num>
  <w:num w:numId="12">
    <w:abstractNumId w:val="1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7"/>
  </w:num>
  <w:num w:numId="16">
    <w:abstractNumId w:val="11"/>
  </w:num>
  <w:num w:numId="17">
    <w:abstractNumId w:val="17"/>
  </w:num>
  <w:num w:numId="18">
    <w:abstractNumId w:val="2"/>
  </w:num>
  <w:num w:numId="19">
    <w:abstractNumId w:val="19"/>
  </w:num>
  <w:num w:numId="20">
    <w:abstractNumId w:val="41"/>
  </w:num>
  <w:num w:numId="21">
    <w:abstractNumId w:val="6"/>
  </w:num>
  <w:num w:numId="22">
    <w:abstractNumId w:val="28"/>
  </w:num>
  <w:num w:numId="23">
    <w:abstractNumId w:val="5"/>
  </w:num>
  <w:num w:numId="24">
    <w:abstractNumId w:val="37"/>
  </w:num>
  <w:num w:numId="25">
    <w:abstractNumId w:val="3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"/>
  </w:num>
  <w:num w:numId="30">
    <w:abstractNumId w:val="8"/>
  </w:num>
  <w:num w:numId="31">
    <w:abstractNumId w:val="26"/>
  </w:num>
  <w:num w:numId="32">
    <w:abstractNumId w:val="20"/>
  </w:num>
  <w:num w:numId="33">
    <w:abstractNumId w:val="36"/>
  </w:num>
  <w:num w:numId="34">
    <w:abstractNumId w:val="21"/>
  </w:num>
  <w:num w:numId="35">
    <w:abstractNumId w:val="10"/>
  </w:num>
  <w:num w:numId="36">
    <w:abstractNumId w:val="40"/>
  </w:num>
  <w:num w:numId="37">
    <w:abstractNumId w:val="39"/>
  </w:num>
  <w:num w:numId="38">
    <w:abstractNumId w:val="9"/>
  </w:num>
  <w:num w:numId="39">
    <w:abstractNumId w:val="14"/>
  </w:num>
  <w:num w:numId="40">
    <w:abstractNumId w:val="18"/>
  </w:num>
  <w:num w:numId="41">
    <w:abstractNumId w:val="32"/>
  </w:num>
  <w:num w:numId="42">
    <w:abstractNumId w:val="4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2</Pages>
  <Words>458</Words>
  <Characters>2614</Characters>
  <Application>Microsoft Office Word</Application>
  <DocSecurity>0</DocSecurity>
  <Lines>0</Lines>
  <Paragraphs>0</Paragraphs>
  <ScaleCrop>false</ScaleCrop>
  <Company>Kancelária NR SR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47</cp:revision>
  <cp:lastPrinted>2020-05-20T15:53:00Z</cp:lastPrinted>
  <dcterms:created xsi:type="dcterms:W3CDTF">2021-10-19T14:12:00Z</dcterms:created>
  <dcterms:modified xsi:type="dcterms:W3CDTF">2024-02-13T14:08:00Z</dcterms:modified>
</cp:coreProperties>
</file>