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352F8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E352F8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E352F8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352F8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E352F8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E352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352F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352F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2534</w:t>
      </w:r>
      <w:r w:rsidRPr="00E352F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E352F8" w:rsidR="007B1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E352F8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E352F8" w:rsidR="0050137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109</w:t>
      </w:r>
      <w:r w:rsidRPr="00E352F8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352F8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352F8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352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352F8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E352F8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352F8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E352F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E352F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E352F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E352F8" w:rsidR="00501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222/2022 Z. z. o štátnej podpore nájomného bývania a o zmene a doplnení niektorých zákonov v znení zákona č. 231/2023 Z. z. </w:t>
      </w:r>
      <w:r w:rsidRPr="00E352F8" w:rsidR="0050137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109)</w:t>
      </w:r>
      <w:r w:rsidRPr="00E352F8" w:rsidR="00501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352F8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E352F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E352F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352F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352F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E352F8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E352F8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E352F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E352F8" w:rsidR="00333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222/2022 Z. z. o štátnej podpore nájomného bývania a o zmene a doplnení niektorých zákonov v znení zákona č. 231/2023 Z. z. </w:t>
      </w:r>
      <w:r w:rsidRPr="00E352F8" w:rsidR="00333C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109)</w:t>
      </w:r>
      <w:r w:rsidRPr="00E352F8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352F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352F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E352F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352F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352F8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352F8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108</w:t>
      </w:r>
      <w:r w:rsidRPr="00E352F8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E352F8" w:rsidR="00177D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E352F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E352F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352F8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177D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decembra</w:t>
      </w:r>
      <w:r w:rsidRPr="00E352F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E352F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E352F8" w:rsid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352F8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352F8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352F8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352F8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E352F8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352F8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15148" w:rsidRPr="00E352F8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</w:t>
      </w:r>
      <w:r w:rsidRPr="00E352F8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financie a rozpočet,</w:t>
      </w:r>
    </w:p>
    <w:p w:rsidR="009B36E7" w:rsidRPr="00E352F8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352F8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a </w:t>
      </w:r>
    </w:p>
    <w:p w:rsidR="002F6E1D" w:rsidRPr="00E352F8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verejnú správu a regionálny rozvoj.</w:t>
      </w:r>
    </w:p>
    <w:p w:rsidR="00D445D9" w:rsidRPr="00E352F8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B1512" w:rsidRPr="00E352F8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E352F8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644EC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B1796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B1796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E352F8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980F1B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E352F8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352F8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E352F8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E352F8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E352F8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E352F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C83E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46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352F8" w:rsid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13.</w:t>
      </w:r>
      <w:r w:rsidRPr="00E352F8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februára</w:t>
      </w:r>
      <w:r w:rsidRPr="00E352F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2F6E1D" w:rsidRPr="00E352F8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B16F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48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16F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352F8" w:rsid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13.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februára 2024</w:t>
      </w:r>
    </w:p>
    <w:p w:rsidR="00765794" w:rsidRPr="00E352F8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352F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352F8" w:rsidR="0032000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5067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 13.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februára 2024</w:t>
      </w:r>
    </w:p>
    <w:p w:rsidR="002F6E1D" w:rsidRPr="00E352F8" w:rsidP="002F6E1D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verejnú správu a regionálny rozvoj</w:t>
      </w: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uznesením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4751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15 </w:t>
      </w:r>
      <w:r w:rsidRPr="00E352F8" w:rsidR="005067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352F8" w:rsid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13. </w:t>
      </w:r>
      <w:r w:rsidRPr="00E352F8" w:rsidR="0085658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februára 2024</w:t>
      </w:r>
    </w:p>
    <w:p w:rsidR="002F6E1D" w:rsidRPr="00E352F8" w:rsidP="002F6E1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B1361" w:rsidRPr="00E352F8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E352F8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352F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Pr="00C83E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Pr="00C83EE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C83EE1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83EE1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C83E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C83EE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83E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C83EE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83E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83EE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83EE1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numPr>
          <w:numId w:val="4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názve návrhu zákona sa slová „zákona č. 231/2023 Z. z.“ nahrádzajú slovami „neskorších predpisov“.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Zároveň sa v čl. I v úvodnej vete za slová „č. 231/2023 Z. z.“ vkladajú slová „a zákona č. 7/2024  Z. z.“.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u w:val="single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u w:val="single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Legislatívnotechnická úprava, vzhľadom na skutočnosť, že predmetný zákon bol novelizovaný viackrát.</w:t>
      </w:r>
    </w:p>
    <w:p w:rsid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 w:rsidR="00A17D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20"/>
        <w:ind w:left="357" w:right="0" w:hanging="35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I sa pred bod 1 vkladá nový bod 1, ktorý znie: 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after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„1. V § 3 ods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ek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4 znie: </w:t>
      </w:r>
    </w:p>
    <w:p w:rsidR="00A17D45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„(4) Zakladateľská zmluva agentúry a jej zmeny nenadobudnú účinnosť bez súhlasu vlády.“.“.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P="00A17D45">
      <w:pPr>
        <w:framePr w:wrap="auto"/>
        <w:widowControl/>
        <w:autoSpaceDE/>
        <w:autoSpaceDN/>
        <w:bidi w:val="0"/>
        <w:adjustRightInd/>
        <w:ind w:left="0" w:right="0" w:firstLine="360"/>
        <w:jc w:val="left"/>
        <w:textAlignment w:val="auto"/>
        <w:rPr>
          <w:rFonts w:ascii="Times New Roman" w:eastAsia="Times New Roman" w:hAnsi="Times New Roman" w:cs="Times New Roman" w:hint="cs"/>
          <w:i/>
          <w:noProof/>
          <w:rtl w:val="0"/>
          <w:cs w:val="0"/>
          <w:lang w:val="sk-SK" w:eastAsia="sk-SK" w:bidi="ar-SA"/>
        </w:rPr>
      </w:pPr>
      <w:r w:rsidRPr="00260402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Tento bod na</w:t>
      </w:r>
      <w:r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dobúda účinnosť dňom vyhlásenia, čo sa primerane premietne aj do ustanovenia o nadobudnutí účinnosti zákona.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A17D45" w:rsidRPr="00A17D45" w:rsidP="00A17D45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en-US" w:bidi="ar-SA"/>
        </w:rPr>
      </w:pPr>
      <w:r w:rsidRPr="00A17D4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 xml:space="preserve">Obdobne ako v obchodných spoločnostiach (akciové spoločnosti), pri ktorých je valné zhromaždenie oprávnené schvaľovať zmeny stanov, by mala predmetná právomoc patriť do pôsobnosti členskej schôdze ako orgánu agentúry.  </w:t>
      </w:r>
    </w:p>
    <w:p w:rsid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/>
        <w:numPr>
          <w:numId w:val="4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V čl. I bode 2 sa slovo „vymenúva“ nahrádza slovom „volí“.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E352F8" w:rsidRPr="00E352F8" w:rsidP="00E352F8">
      <w:pPr>
        <w:framePr w:wrap="auto"/>
        <w:widowControl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Úprava terminológie podľa stanov </w:t>
      </w:r>
      <w:r w:rsidRPr="00E352F8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Agentúry štátom podporovaného nájomného bývania</w:t>
      </w:r>
      <w:r w:rsidRPr="00E352F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</w:t>
      </w:r>
    </w:p>
    <w:p w:rsid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numPr>
          <w:numId w:val="4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 sa za bod 2 vkladajú nové body 3 a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ž 5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ktoré znejú:</w:t>
      </w:r>
    </w:p>
    <w:p w:rsidR="00A17D45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„3.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§ 3 ods. 3 sa slová „odseky 4 až 11“ nahrádzajú slovami „odseky 4 až 16“.   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4. 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 sa za odsek 7 vkladajú nové odseky 8 až 12, ktoré znejú: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709" w:right="0" w:hanging="425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„(8)</w:t>
        <w:tab/>
        <w:t xml:space="preserve">Členov dozornej rady agentúry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volí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a odvoláva členská schôdza agentúry. Dozorná rada musí mať minimálne troch členov.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(9)</w:t>
        <w:tab/>
        <w:t>Generálneho riaditeľa agentúry 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olí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a odvoláva členská schôdza agentúry.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(10) Na vzdanie sa funkcie člena predstavenstva, člena dozornej rady a generálneho riaditeľa agentúry sa vzťahujú primerane ustanovenia osobitného predpisu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6a</w:t>
      </w:r>
      <w:r w:rsidRPr="0074264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(11) Člen dozornej rady nesmie byť zároveň členom predstavenstva alebo generálnym riaditeľom. 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(12) Stanovy agentúry a ich zmeny schvaľuje členská schôdza agentúry.“.“.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851" w:right="0" w:hanging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 čiarou k odkazu 6a znie: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851" w:right="0" w:hanging="567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6a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 66 ods. 2 Obchodného zákonníka.“</w:t>
      </w:r>
      <w:r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Doterajšie odseky 8 až 1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sa označujú ako odseky 13 až 18.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</w:t>
      </w: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 V § 4 za odsek 3 sa dopĺňa odsekom 4, ktorý znie: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spacing w:before="120"/>
        <w:ind w:left="357" w:right="0" w:firstLine="21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„(4) Výšku ročného členského poplatku členov agentúry schvaľuje členská schôdza.“.“.</w:t>
      </w:r>
    </w:p>
    <w:p w:rsidR="00A17D45" w:rsidP="00A17D4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A17D45" w:rsidRPr="00260402" w:rsidP="00A17D45">
      <w:pPr>
        <w:framePr w:wrap="auto"/>
        <w:widowControl w:val="0"/>
        <w:autoSpaceDE w:val="0"/>
        <w:autoSpaceDN w:val="0"/>
        <w:bidi w:val="0"/>
        <w:adjustRightInd w:val="0"/>
        <w:ind w:left="0" w:right="0" w:firstLine="357"/>
        <w:jc w:val="left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26040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Nasledujúci bod sa primerane prečísluje.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Tento bod na</w:t>
      </w:r>
      <w:r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dobúda účinnosť dňom vyhlásenia, čo sa primerane premietne aj do ustanovenia o nadobudnutí účinnosti zákona.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A17D45" w:rsidRPr="00A37D3C" w:rsidP="00A17D45">
      <w:pPr>
        <w:framePr w:wrap="auto"/>
        <w:widowControl/>
        <w:autoSpaceDE/>
        <w:autoSpaceDN/>
        <w:bidi w:val="0"/>
        <w:adjustRightInd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zákone absentuje úprava, ktorý orgán agentúry je oprávnený vymenovať a odvolávať členov dozornej rady a generálneho riaditeľa. Taktiež zákonná úprava predpokladá len ukončenie funkcie odvolaním, preto navrhujeme rozšíriť spôsob ukončenia funkcie vzdaním sa. Navrhujeme doplniť nezlučiteľnosť funkcií člena dozornej rady s členom predstavenstva a generálnym riaditeľom. Zároveň absentuje úprava, ktorý orgán agentúry je oprávnený schvaľovať ročný členský poplatok.</w:t>
      </w:r>
    </w:p>
    <w:p w:rsid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A17D45" w:rsidRP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/>
        <w:numPr>
          <w:numId w:val="4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 3 znie: </w:t>
      </w:r>
    </w:p>
    <w:p w:rsidR="00A17D45" w:rsidP="00A17D45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Za § 19b sa vkladá § 19c, ktorý vrátane nadpisu znie: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D45" w:rsidRPr="00A17D45" w:rsidP="00A17D4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en-US" w:bidi="ar-SA"/>
        </w:rPr>
      </w:pPr>
      <w:r w:rsidRPr="00A17D4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>„§ 19c</w:t>
      </w:r>
    </w:p>
    <w:p w:rsidR="00A17D45" w:rsidRPr="0074264B" w:rsidP="00A17D45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74264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Prechodné ustanovenie k úpravám účinným </w:t>
      </w:r>
      <w:r w:rsidRPr="00A17D4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>dňom vyhlásenia</w:t>
      </w:r>
    </w:p>
    <w:p w:rsidR="00A17D45" w:rsidRPr="0074264B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4264B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Ustanovenia § 3 ods. 6</w:t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až</w:t>
      </w:r>
      <w:r w:rsidRPr="0074264B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11 v znení účinnom odo dňa nadobudnutia účinnosti tohto zákona sa vzťahujú aj na členov predstavenstva, členov dozornej rady a generálneho riaditeľa agentúry ustanovených do funkcie predo dňom nadobudnutia účinnosti tohto zákona.“.“.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Tento bod na</w:t>
      </w:r>
      <w:r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dobúda účinnosť dňom vyhlásenia, čo sa primerane premietne aj do ustanovenia o nadobudnutí účinnosti zákona.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A17D45" w:rsidRPr="00A37D3C" w:rsidP="00A17D45">
      <w:pPr>
        <w:framePr w:wrap="auto"/>
        <w:widowControl w:val="0"/>
        <w:autoSpaceDE w:val="0"/>
        <w:autoSpaceDN w:val="0"/>
        <w:bidi w:val="0"/>
        <w:adjustRightInd w:val="0"/>
        <w:ind w:left="282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Legislatívnotechnická úprava súvisiaca s čl. XXI bodom 2 zákona č. 7/2024 Z. z., ktorým sa </w:t>
      </w:r>
      <w:r w:rsidRPr="00A37D3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mení a dopĺňa z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ákon</w:t>
        <w:br/>
        <w:t>č. 575/2001 Z. z. o organizácii činnosti vlády a organizácii ústrednej štátnej správy v znení neskorších predpisov a </w:t>
      </w:r>
      <w:r w:rsidRPr="00A37D3C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ktorým sa menia a dopĺňajú niektoré zákony, ktorým sa za § 19a vložil </w:t>
        <w:br/>
        <w:t>§ 19b, v dôsledku čoho je potrebné vykonať legislatívne zmeny v čl. I bode 3 tlače 109 a zároveň zosúladenie s doplneným § 3.</w:t>
      </w:r>
    </w:p>
    <w:p w:rsid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A17D45" w:rsidRPr="00E352F8" w:rsidP="00A17D45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A17D45" w:rsidRPr="00A17D45" w:rsidP="00A17D45">
      <w:pPr>
        <w:framePr w:wrap="auto"/>
        <w:widowControl/>
        <w:autoSpaceDE/>
        <w:autoSpaceDN/>
        <w:bidi w:val="0"/>
        <w:adjustRightInd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/>
        <w:numPr>
          <w:numId w:val="4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Za doterajší čl. I sa vkladajú nové čl. II až IV, ktoré znejú: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Čl. II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 Slovenskej národnej rady č. 138/1991 Zb. o majetku obcí v znení zákona Slovenskej národnej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306/1992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Zb.,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Slovenskej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republiky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43/1993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 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Slovenskej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republiky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278/1993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Slovenskej republiky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245/1994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Slovenskej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republiky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 147/1995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nálezu Ústavného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súdu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Slovenskej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republiky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130/1996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 447/2001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 522/2003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12/2004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445/2004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 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 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535/2008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 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258/2009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507/2010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125/2016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315/2016 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112/2018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4/2019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z.,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> 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241/2019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> 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 a zákona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137/2023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Z. z.</w:t>
      </w:r>
      <w:r w:rsidRPr="00A37D3C">
        <w:rPr>
          <w:rStyle w:val="DefaultParagraphFont"/>
          <w:rFonts w:ascii="Times New Roman" w:eastAsia="Times New Roman" w:hAnsi="Times New Roman" w:cs="Times New Roman" w:hint="cs"/>
          <w:b/>
          <w:spacing w:val="-2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A37D3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sa dopĺňa takto: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§ 7a ods. 4 sa na konci pripája táto veta: „Obmedzenie podľa prvej vety sa neuplatní na zriadenie záložného práva podľa osobitného predpisu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21f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a jeho výkon.“.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851" w:right="0" w:hanging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851" w:right="0" w:hanging="567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21f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  <w:tab/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 č. 150/2013 Z. z.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Štátnom fonde rozvoja bývania v znení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neskorších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predpisov.“.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Čl. III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Style w:val="DefaultParagraphFont"/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 č. 446/2001 Z. z. o majetku vyšších územných celkov v znení zákona č. 521/2003 Z. z., zákona č. 540/2005 Z. z., zákona č. 279/2006 Z. z., zákona č. 258/2009 Z. z., zákona č. 509/2010 Z. z., zákona č. 125/2016 Z. z., zákona č. 315/2016 Z. z., zákona č. 112/2018 Z. z., zákona č. 4/2019 Z. z. a zákona č. 241/2019 Z. z. sa dopĺňa takto: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§ 8 ods. 4 sa na konci pripája táto veta: „Obmedzenie podľa prvej vety sa neuplatní na zriadenie záložného práva podľa osobitného predpisu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19aaa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 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 jeho výkon.“.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 čiarou k odkazu 19aaa znie: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1134" w:right="0" w:hanging="56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19aaa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 č. 150/2013 Z. z.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Štátnom fonde rozvoja bývania v znení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neskorších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predpisov.“.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>Čl. IV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708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Zákon č. 150/2013 Z. z. o Štátnom fonde rozvoja bývania v znení zákona č. 276/2015  Z. z., zákona č. 244/2017 Z. z., zákona č. 65/2019 Z. z., zákona č. 221/2019 Z. z., zákona č. 230/2019 Z. z., zákona č. 465/2019 Z. z., zákona č. 476/2019 Z. z., zákona č. 90/2020 Z. z., zákona č. 359/2020 Z. z., zákona č. 212/2021 Z. z., zákona č. 506/2021 Z. z. a zákona č. 317/2023 Z. z. sa mení takto: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§ 15 odsek 27 znie: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„(27) Na konanie o poskytovaní podpory sa nevzťahuje všeobecný predpis o správnom konaní.“.“.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Nasledujúci článok sa primerane prečísluje.</w:t>
      </w:r>
    </w:p>
    <w:p w:rsidR="008550AD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Tento bod na</w:t>
      </w:r>
      <w:r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dobúda účinnosť dňom vyhlásenia, čo sa primerane premietne aj do ustanovenia o nadobudnutí účinnosti zákona.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E922C0" w:rsidP="008550AD">
      <w:pPr>
        <w:framePr w:wrap="auto"/>
        <w:widowControl w:val="0"/>
        <w:autoSpaceDE w:val="0"/>
        <w:autoSpaceDN w:val="0"/>
        <w:bidi w:val="0"/>
        <w:adjustRightInd w:val="0"/>
        <w:ind w:left="0" w:right="0" w:firstLine="284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E922C0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Vložením nových článkov sa primerane upraví názov návrhu zákona.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shd w:val="clear" w:color="auto" w:fill="FFFFFF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u w:val="single"/>
          <w:shd w:val="clear" w:color="auto" w:fill="FFFFFF"/>
          <w:rtl w:val="0"/>
          <w:cs w:val="0"/>
          <w:lang w:val="sk-SK" w:eastAsia="sk-SK" w:bidi="ar-SA"/>
        </w:rPr>
        <w:t>Odôvodnenie: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Vloženie čl. II až IV vychádza z potreby uľahčenia prístupu pre orgány územnej samosprávy k podpore zo Štátneho fondu rozvoja bývania. Podľa § 7 ods. 1 zákona č. 150/2013 Z. z.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Štátnom fonde rozvoja bývania v znení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neskorších</w:t>
      </w:r>
      <w:r w:rsidRPr="00A37D3C">
        <w:rPr>
          <w:rStyle w:val="DefaultParagraphFont"/>
          <w:rFonts w:ascii="Times New Roman" w:eastAsia="Times New Roman" w:hAnsi="Times New Roman" w:cs="Times New Roman" w:hint="cs"/>
          <w:spacing w:val="8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7D3C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predpisov sú samosprávne kraje a obce oprávneným žiadateľom o podporu z fondu. Na zabezpečenie záväzku fond vyžaduje zabezpečenie, a to buď </w:t>
      </w: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určením nehnuteľného majetku, ktorý bude predmetom záložného práva u žiadateľa alebo označenie bankovej záruky u žiadateľa alebo označenie účtu zriadeného v banke, na ktorom je vedený fond prevádzky, údržby a opráv u žiadateľa.</w:t>
      </w:r>
    </w:p>
    <w:p w:rsidR="008550AD" w:rsidRPr="00A37D3C" w:rsidP="008550AD">
      <w:pPr>
        <w:framePr w:wrap="auto"/>
        <w:widowControl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Bankovou zárukou však v prípade vyšších územných celkov nie je možné ručiť, nakoľko všetky vyššie územné celky v zmysle zákona č. 291/2002 Z. z. o Štátnej pokladnici a o zmene a doplnení niektorých zákonov v znení neskorších predpisov sú povinné viesť svoje účty v Štátnej pokladnici, a taktiež niektoré obce a mestá vedú svoje účty v Štátnej pokladnici.  Štátna pokladnica však bankové záruky na požadovanú dobu neposkytuje a v prípade poskytovania bankovej záruky pre vyššie územné celky, mestá a obce komerčnou bankou sú podmienky pre územné samosprávy, ktoré nevedú alebo nesmú viesť účty v danej komerčnej banke značne nevýhodné (napr. vinkulovanie fin. prostriedkov na bankovom účte). </w:t>
      </w:r>
    </w:p>
    <w:p w:rsidR="008550AD" w:rsidRPr="00A37D3C" w:rsidP="008550AD">
      <w:pPr>
        <w:framePr w:wrap="auto"/>
        <w:widowControl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Rovnako tak územné samosprávy, ktoré nespravujú bytový fond, nevedú účty, na ktorých by bol vedený fond prevádzky, údržby a opráv.</w:t>
      </w:r>
    </w:p>
    <w:p w:rsidR="008550AD" w:rsidRPr="00A37D3C" w:rsidP="008550AD">
      <w:pPr>
        <w:framePr w:wrap="auto"/>
        <w:widowControl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Jediným hospodárnym a efektívnym spôsobom zabezpečenia záväzku je tak určenie nehnuteľného majetku vo vlastníctve územných samospráv. Podľa ustanovenia § 7a ods. 4 zákona č. 138/1991 Zb. o majetku obcí v znení neskorších predpisov a  § 8 ods. 4 zákona č. 446/2001 Z. z. o majetku vyšších územných celkov v znení neskorších predpisov na majetok vo vlastníctve územných samospráv, ktoré nadobudli  prechodom majetku štátu do vlastníctva územných samospráv a ktoré </w:t>
      </w: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slúžili na výchovno-vzdelávací proces v oblasti vzdelávania a výchovy a činnosti s nimi bezprostredne súvisiace a na zabezpečenie sociálnej pomoci a zdravotnej starostlivosti (v prípade vyšších územných celkov aj na zabezpečenie kultúrnej činnosti)</w:t>
      </w: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, nemožno zriadiť záložné právo ani zabezpečovací prevod práva, uskutočniť výkon rozhodnutia, konkurzné konanie a vyrovnacie konanie podľa osobitných predpisov.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Nakoľko veľká väčšina budov, ktoré sú vo vlastníctve vyšších územných celkov, bola prevedená od štátu delimitáciou a na vyššie uvedené účelové určenie majetku, nie je možné využiť financovanie zo Štátneho fondu rozvoja bývania pre rekonštrukciu viacerých budov vo vlastníctve územných samospráv, pričom sa z podpory Štátneho fondu rozvoja bývania majú rekonštruovať práve predmetné budovy, na ktorých dlhodobo viazne investičný dlh.</w:t>
      </w:r>
    </w:p>
    <w:p w:rsidR="008550AD" w:rsidRPr="00A37D3C" w:rsidP="008550AD">
      <w:pPr>
        <w:framePr w:wrap="auto"/>
        <w:widowControl/>
        <w:autoSpaceDE/>
        <w:autoSpaceDN/>
        <w:bidi w:val="0"/>
        <w:adjustRightInd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Z uvedeného dôvodu je predkladaný návrh úpravy § 7a ods. 4 zákona č. 138/1991 Zb. o majetku obcí v znení neskorších predpisov a § 8 ods. 4 zákona č. 446/2001 Z. z. o majetku vyšších územných celkov v znení neskorších predpisov. Predmetom úpravy oboch zákonov je umožnenie zriadenia záložného práva k</w:t>
      </w: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 majetku slúžiacemu na výchovno-vzdelávací proces v oblasti vzdelávania a výchovy a činnosti s nimi bezprostredne súvisiace a na zabezpečenie sociálnej pomoci a zdravotnej starostlivosti</w:t>
      </w:r>
      <w:r w:rsidRPr="00A37D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 predmetnému majetku avšak výlučne pre účely získania podpory zo Štátneho fondu rozvoja bývania.</w:t>
      </w:r>
    </w:p>
    <w:p w:rsidR="008550AD" w:rsidRPr="00A37D3C" w:rsidP="008550AD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37D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Súčasne sa navrhuje  upraviť duplicitu v platnom znení zákona č. 150/2013 Z. z. v určení lehoty pre zaslanie návrhu zmluvy, ktorá je rozdielne nastavená  § 15 ods. 27  a § 16 ods. 1. Ďalej sa navrhuje precizovať právnu úpravu procesu rozhodovania o žiadostiach o poskytnutie podpory výslovným vylúčením použitia správneho poriadku.</w:t>
      </w:r>
    </w:p>
    <w:p w:rsidR="008550AD" w:rsidP="008550AD">
      <w:pPr>
        <w:framePr w:wrap="auto"/>
        <w:widowControl/>
        <w:autoSpaceDE/>
        <w:autoSpaceDN/>
        <w:bidi w:val="0"/>
        <w:adjustRightInd/>
        <w:ind w:left="3316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550AD" w:rsidRPr="00E352F8" w:rsidP="008550AD">
      <w:pPr>
        <w:framePr w:wrap="auto"/>
        <w:widowControl/>
        <w:autoSpaceDE/>
        <w:autoSpaceDN/>
        <w:bidi w:val="0"/>
        <w:adjustRightInd/>
        <w:ind w:left="3066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verejnú správu a regionálny rozvoj </w:t>
      </w:r>
    </w:p>
    <w:p w:rsidR="008550AD" w:rsidRPr="00E352F8" w:rsidP="008550AD">
      <w:pPr>
        <w:framePr w:wrap="auto"/>
        <w:widowControl/>
        <w:autoSpaceDE/>
        <w:autoSpaceDN/>
        <w:bidi w:val="0"/>
        <w:adjustRightInd/>
        <w:ind w:left="2346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8550AD" w:rsidP="008550AD">
      <w:pPr>
        <w:framePr w:wrap="auto"/>
        <w:widowControl/>
        <w:autoSpaceDE/>
        <w:autoSpaceDN/>
        <w:bidi w:val="0"/>
        <w:adjustRightInd/>
        <w:ind w:left="2346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550AD" w:rsidP="008550AD">
      <w:pPr>
        <w:framePr w:wrap="auto"/>
        <w:widowControl/>
        <w:autoSpaceDE/>
        <w:autoSpaceDN/>
        <w:bidi w:val="0"/>
        <w:adjustRightInd/>
        <w:ind w:left="2346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numPr>
          <w:numId w:val="44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Za článok I sa vkladá nový článok II, ktorý znie:</w:t>
      </w:r>
    </w:p>
    <w:p w:rsidR="008550AD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Čl. II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Zákon č. </w:t>
      </w:r>
      <w:r w:rsidRPr="00E352F8">
        <w:rPr>
          <w:rFonts w:ascii="Times New Roman" w:eastAsia="NSimSun" w:hAnsi="Times New Roman" w:cs="Times New Roman" w:hint="default"/>
          <w:b/>
          <w:sz w:val="24"/>
          <w:szCs w:val="24"/>
          <w:rtl w:val="0"/>
          <w:cs w:val="0"/>
          <w:lang w:val="sk-SK" w:eastAsia="sk-SK" w:bidi="ar-SA"/>
        </w:rPr>
        <w:t>400/2015 Z. z.</w:t>
      </w: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o tvorbe právnych predpisov a o Zbierke zákonov Slovenskej republiky a o zmene a doplnení niektorých zákonov v znení </w:t>
        <w:br/>
        <w:t xml:space="preserve">zákona č. 310/2016 Z. z., zákona č. 217/2018 Z. z., zákona č. 134/2020 Z. z., </w:t>
        <w:br/>
        <w:t>zákona č. 198/2020 Z. z., zákona č. 423/2020 Z. z., zákona č. 133/2023 Z. z. a zákona č. 7/2024 Z. z. sa mení takto: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§ 21 ods. 1 písm. b) sa slová „Ministerstvo spravodlivosti Slovenskej republiky“ nahrádzajú slovami „Úrad vlády Slovenskej republiky“.“.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Tento bod nadobúda účinnosť dňom vyhlásenia, čo sa premietne aj do ustanovenia o nadobudnutí účinnosti zákona.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článok II sa primerane prečísluje.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Vložením nového článku sa primerane upraví názov návrhu zákona.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u w:val="single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E352F8" w:rsidRPr="00E352F8" w:rsidP="00E352F8">
      <w:pPr>
        <w:framePr w:wrap="auto"/>
        <w:widowControl w:val="0"/>
        <w:autoSpaceDE w:val="0"/>
        <w:autoSpaceDN w:val="0"/>
        <w:bidi w:val="0"/>
        <w:adjustRightInd w:val="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úpravu reagujúcu na novelizáciu zákona č. 400/2015 Z. z. zákonom č. 7/2024 Z. z., ktorým došlo k presunu tejto kompetencie z Úradu vlády Slovenskej republiky na Ministerstvo spravodlivosti Slovenskej republiky. Navrhuje sa ustanoviť, aby Úrad vlády Slovenskej republiky naďalej zodpovedal za podávanie žiadostí o vyhlásenie nariadení vlády a rozhodnutí a uznesení podľa § 13 písm. e) zákona č. 400/2015 Z. z.</w:t>
      </w:r>
    </w:p>
    <w:p w:rsidR="00E352F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75F01" w:rsidRPr="00E352F8" w:rsidP="00575F01">
      <w:pPr>
        <w:framePr w:wrap="auto"/>
        <w:widowControl/>
        <w:autoSpaceDE/>
        <w:autoSpaceDN/>
        <w:bidi w:val="0"/>
        <w:adjustRightInd/>
        <w:ind w:left="373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75F01" w:rsidRPr="00E352F8" w:rsidP="00575F01">
      <w:pPr>
        <w:framePr w:wrap="auto"/>
        <w:widowControl/>
        <w:autoSpaceDE/>
        <w:autoSpaceDN/>
        <w:bidi w:val="0"/>
        <w:adjustRightInd/>
        <w:ind w:left="3018" w:right="0" w:hanging="90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575F01" w:rsidP="00575F01">
      <w:pPr>
        <w:framePr w:wrap="auto"/>
        <w:widowControl/>
        <w:autoSpaceDE/>
        <w:autoSpaceDN/>
        <w:bidi w:val="0"/>
        <w:adjustRightInd/>
        <w:ind w:left="3018" w:right="0" w:hanging="186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75F01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10E48" w:rsidP="00E352F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E352F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2F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575F01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hlasovať o bodoch </w:t>
      </w:r>
      <w:r w:rsidRPr="00575F01" w:rsidR="00575F0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Pr="00575F01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 </w:t>
      </w:r>
      <w:r w:rsidR="00D079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575F01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575F01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</w:t>
      </w:r>
      <w:r w:rsidRPr="00E352F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odporúčaním </w:t>
      </w:r>
      <w:r w:rsidRPr="00E352F8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2D4107" w:rsidRPr="00E352F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5B0C34" w:rsidRPr="00E352F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5B0C34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E352F8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352F8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E352F8" w:rsidR="00D85CB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E352F8" w:rsidR="002F6E1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222/2022 Z. z. o štátnej podpore nájomného bývania </w:t>
      </w:r>
      <w:r w:rsidRPr="00677B71" w:rsidR="002F6E1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a o zmene a doplnení niektorých zákonov v znení zákona č. 231/2023 Z. z. </w:t>
      </w:r>
      <w:r w:rsidRPr="00677B71" w:rsidR="002F6E1D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(tlač 109)</w:t>
      </w:r>
      <w:r w:rsidRPr="00677B71" w:rsidR="002F6E1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7B71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677B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677B71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677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677B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7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352F8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352F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352F8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352F8" w:rsidR="00A87C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E352F8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E352F8" w:rsidR="00A87C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13. februára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352F8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E352F8" w:rsidR="002F6E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</w:t>
      </w:r>
      <w:r w:rsidRPr="00E352F8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 w:rsidR="002F6E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Mega</w:t>
      </w:r>
      <w:r w:rsidRPr="00E352F8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352F8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352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352F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E352F8" w:rsidR="00842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E352F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77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</w:t>
      </w:r>
      <w:r w:rsidRPr="00E352F8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95006A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E352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E352F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E352F8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352F8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352F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352F8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352F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352F8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352F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NSimSun">
    <w:panose1 w:val="02010609030101010101"/>
    <w:charset w:val="86"/>
    <w:family w:val="modern"/>
    <w:pitch w:val="fixed"/>
  </w:font>
  <w:font w:name="@NSimSun">
    <w:charset w:val="86"/>
    <w:family w:val="modern"/>
    <w:pitch w:val="fixed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NSimSun Western">
    <w:charset w:val="00"/>
    <w:family w:val="modern"/>
    <w:pitch w:val="fixed"/>
  </w:font>
  <w:font w:name="@NSimSun Western">
    <w:charset w:val="00"/>
    <w:family w:val="modern"/>
    <w:pitch w:val="fixed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D079E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8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8C768BF"/>
    <w:multiLevelType w:val="hybridMultilevel"/>
    <w:tmpl w:val="46082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7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9">
    <w:nsid w:val="529315F8"/>
    <w:multiLevelType w:val="hybridMultilevel"/>
    <w:tmpl w:val="284AEC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13"/>
  </w:num>
  <w:num w:numId="5">
    <w:abstractNumId w:val="25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6"/>
  </w:num>
  <w:num w:numId="12">
    <w:abstractNumId w:val="1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7"/>
  </w:num>
  <w:num w:numId="16">
    <w:abstractNumId w:val="11"/>
  </w:num>
  <w:num w:numId="17">
    <w:abstractNumId w:val="18"/>
  </w:num>
  <w:num w:numId="18">
    <w:abstractNumId w:val="2"/>
  </w:num>
  <w:num w:numId="19">
    <w:abstractNumId w:val="20"/>
  </w:num>
  <w:num w:numId="20">
    <w:abstractNumId w:val="43"/>
  </w:num>
  <w:num w:numId="21">
    <w:abstractNumId w:val="6"/>
  </w:num>
  <w:num w:numId="22">
    <w:abstractNumId w:val="30"/>
  </w:num>
  <w:num w:numId="23">
    <w:abstractNumId w:val="5"/>
  </w:num>
  <w:num w:numId="24">
    <w:abstractNumId w:val="39"/>
  </w:num>
  <w:num w:numId="25">
    <w:abstractNumId w:val="3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"/>
  </w:num>
  <w:num w:numId="30">
    <w:abstractNumId w:val="8"/>
  </w:num>
  <w:num w:numId="31">
    <w:abstractNumId w:val="27"/>
  </w:num>
  <w:num w:numId="32">
    <w:abstractNumId w:val="21"/>
  </w:num>
  <w:num w:numId="33">
    <w:abstractNumId w:val="38"/>
  </w:num>
  <w:num w:numId="34">
    <w:abstractNumId w:val="22"/>
  </w:num>
  <w:num w:numId="35">
    <w:abstractNumId w:val="10"/>
  </w:num>
  <w:num w:numId="36">
    <w:abstractNumId w:val="42"/>
  </w:num>
  <w:num w:numId="37">
    <w:abstractNumId w:val="41"/>
  </w:num>
  <w:num w:numId="38">
    <w:abstractNumId w:val="9"/>
  </w:num>
  <w:num w:numId="39">
    <w:abstractNumId w:val="14"/>
  </w:num>
  <w:num w:numId="40">
    <w:abstractNumId w:val="19"/>
  </w:num>
  <w:num w:numId="41">
    <w:abstractNumId w:val="34"/>
  </w:num>
  <w:num w:numId="42">
    <w:abstractNumId w:val="4"/>
  </w:num>
  <w:num w:numId="43">
    <w:abstractNumId w:val="33"/>
  </w:num>
  <w:num w:numId="44">
    <w:abstractNumId w:val="29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8</Pages>
  <Words>2285</Words>
  <Characters>13030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56</cp:revision>
  <cp:lastPrinted>2024-02-13T14:14:00Z</cp:lastPrinted>
  <dcterms:created xsi:type="dcterms:W3CDTF">2021-10-19T14:12:00Z</dcterms:created>
  <dcterms:modified xsi:type="dcterms:W3CDTF">2024-02-13T14:22:00Z</dcterms:modified>
</cp:coreProperties>
</file>