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7C029" w14:textId="77777777"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6B67C02A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6B67C02C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B67C02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6B67C02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B67C02D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6B67C030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6B67C02F" w14:textId="2AB5221E" w:rsidR="001B23B7" w:rsidRPr="00B043B4" w:rsidRDefault="003372E0" w:rsidP="003372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2E0">
              <w:rPr>
                <w:rFonts w:ascii="Times New Roman" w:hAnsi="Times New Roman"/>
                <w:sz w:val="20"/>
                <w:szCs w:val="20"/>
                <w:lang w:eastAsia="sk-SK"/>
              </w:rPr>
              <w:t>Návrh na vyslovenie súhlasu Národnej rady Slovenskej republiky so zmenami Dohody o založení Európskej banky pre obnovu</w:t>
            </w:r>
            <w:r w:rsidR="00AC7CF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 rozvoj</w:t>
            </w:r>
            <w:bookmarkStart w:id="0" w:name="_GoBack"/>
            <w:bookmarkEnd w:id="0"/>
          </w:p>
        </w:tc>
      </w:tr>
      <w:tr w:rsidR="001B23B7" w:rsidRPr="00B043B4" w14:paraId="6B67C03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B67C031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6B67C03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7C033" w14:textId="0596B3EB" w:rsidR="00EA351E" w:rsidRDefault="00B53AFD" w:rsidP="00EA351E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Predkladateľ: </w:t>
            </w:r>
            <w:r w:rsidR="00EA351E" w:rsidRPr="00C77B20">
              <w:rPr>
                <w:rFonts w:ascii="Times New Roman" w:hAnsi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14:paraId="6B67C034" w14:textId="37F419AD" w:rsidR="00B53AFD" w:rsidRPr="00B53AFD" w:rsidRDefault="00B53AFD" w:rsidP="00B53AFD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B67C039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6B67C036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B67C037" w14:textId="53F6CD58" w:rsidR="001B23B7" w:rsidRPr="00B043B4" w:rsidRDefault="00B53AFD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03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6B67C03D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B67C03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B67C03B" w14:textId="00E59CEC" w:rsidR="001B23B7" w:rsidRPr="00B043B4" w:rsidRDefault="00B53AFD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B67C03C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6B67C041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B67C03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B67C03F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B67C040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6B67C04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6B67C043" w14:textId="0C388BC0" w:rsidR="001B23B7" w:rsidRPr="007925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</w:tc>
      </w:tr>
      <w:tr w:rsidR="001B23B7" w:rsidRPr="00B043B4" w14:paraId="6B67C047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45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046" w14:textId="4CF19879" w:rsidR="001B23B7" w:rsidRPr="00B043B4" w:rsidRDefault="00BA7E5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nie je predmetom PPK</w:t>
            </w:r>
          </w:p>
        </w:tc>
      </w:tr>
      <w:tr w:rsidR="001B23B7" w:rsidRPr="00B043B4" w14:paraId="6B67C04A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48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049" w14:textId="2E05F3B3" w:rsidR="001B23B7" w:rsidRPr="00EA351E" w:rsidRDefault="00BA301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september</w:t>
            </w:r>
            <w:r w:rsidR="00EA351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2023</w:t>
            </w:r>
          </w:p>
        </w:tc>
      </w:tr>
      <w:tr w:rsidR="001B23B7" w:rsidRPr="00B043B4" w14:paraId="6B67C04D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4B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04C" w14:textId="143BAC46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6B67C050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4E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04F" w14:textId="24E7368B" w:rsidR="001B23B7" w:rsidRPr="00B043B4" w:rsidRDefault="00D3405A" w:rsidP="00D3405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január</w:t>
            </w:r>
            <w:r w:rsidR="00BA301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A7E5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3B7" w:rsidRPr="00B043B4" w14:paraId="6B67C05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67C05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B67C05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5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6B67C057" w14:textId="77777777" w:rsidTr="0040767E">
        <w:trPr>
          <w:trHeight w:val="1484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056" w14:textId="2459E7D9" w:rsidR="00BB5423" w:rsidRPr="00F6267B" w:rsidRDefault="00422B7A" w:rsidP="00F6267B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Ide o</w:t>
            </w:r>
            <w:r w:rsidR="00F626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zmenu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článku 1 a článku 12.1 Dohody o založení Euró</w:t>
            </w:r>
            <w:r w:rsidR="0040767E">
              <w:rPr>
                <w:rFonts w:ascii="Times New Roman" w:hAnsi="Times New Roman"/>
                <w:sz w:val="20"/>
                <w:szCs w:val="20"/>
                <w:lang w:eastAsia="sk-SK"/>
              </w:rPr>
              <w:t>pskej banky pre obnovu a rozvoj (Dohoda o založení EBOR) na základe rezolúcií č. 259 a 260, ktoré prijala Rada guvernérov EBOR 18. mája 2023</w:t>
            </w:r>
            <w:r w:rsidR="00F1369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Samarkande (</w:t>
            </w:r>
            <w:r w:rsidR="00F6267B">
              <w:rPr>
                <w:rFonts w:ascii="Times New Roman" w:hAnsi="Times New Roman"/>
                <w:sz w:val="20"/>
                <w:szCs w:val="20"/>
                <w:lang w:eastAsia="sk-SK"/>
              </w:rPr>
              <w:t>Uzbekistan</w:t>
            </w:r>
            <w:r w:rsidR="00F13691">
              <w:rPr>
                <w:rFonts w:ascii="Times New Roman" w:hAnsi="Times New Roman"/>
                <w:sz w:val="20"/>
                <w:szCs w:val="20"/>
                <w:lang w:eastAsia="sk-SK"/>
              </w:rPr>
              <w:t>)</w:t>
            </w:r>
            <w:r w:rsidR="00F626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  <w:r w:rsidR="00F6267B" w:rsidRPr="00F6267B">
              <w:rPr>
                <w:rFonts w:ascii="Times New Roman" w:hAnsi="Times New Roman"/>
                <w:sz w:val="20"/>
                <w:szCs w:val="20"/>
                <w:lang w:eastAsia="sk-SK"/>
              </w:rPr>
              <w:t>Vnútroštátny schvaľovací proces bude v Slovenskej republike zavŕšený ratifikáciou tzv. vyhlásením o prijatí</w:t>
            </w:r>
            <w:r w:rsidR="00F626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F6267B" w:rsidRPr="00F6267B">
              <w:rPr>
                <w:rFonts w:ascii="Times New Roman" w:hAnsi="Times New Roman"/>
                <w:sz w:val="20"/>
                <w:szCs w:val="20"/>
                <w:lang w:eastAsia="sk-SK"/>
              </w:rPr>
              <w:t>zo strany prezidentky Slovenskej republiky. Ratifikačná listina (vyhlásenie o prijatí) bude uložená u depozitára, ktorým je EBOR. Po skončení ratifikačného procesu budú zmeny Dohody o založení EBOR vyhlásené v Zbierke zákonov Slovenskej republiky.</w:t>
            </w:r>
            <w:r w:rsidR="00F6267B" w:rsidRPr="00F6267B">
              <w:rPr>
                <w:sz w:val="20"/>
                <w:szCs w:val="20"/>
              </w:rPr>
              <w:t xml:space="preserve"> </w:t>
            </w:r>
          </w:p>
        </w:tc>
      </w:tr>
      <w:tr w:rsidR="001B23B7" w:rsidRPr="00B043B4" w14:paraId="6B67C05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58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6B67C05B" w14:textId="77777777" w:rsidTr="00BB5423">
        <w:trPr>
          <w:trHeight w:val="573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05A" w14:textId="7627B54C" w:rsidR="001B23B7" w:rsidRPr="00F6267B" w:rsidRDefault="00F6267B" w:rsidP="00B23B00">
            <w:pPr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Cieľom zmeny Dohody o založení EBOR</w:t>
            </w:r>
            <w:r w:rsidRPr="0040767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je úprava článku 1, ktorá </w:t>
            </w:r>
            <w:r w:rsidRPr="0040767E">
              <w:rPr>
                <w:rFonts w:ascii="Times New Roman" w:hAnsi="Times New Roman"/>
                <w:sz w:val="20"/>
                <w:szCs w:val="20"/>
                <w:lang w:eastAsia="sk-SK"/>
              </w:rPr>
              <w:t>umožní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banke</w:t>
            </w:r>
            <w:r w:rsidRPr="0040767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obmedzené a postupné rozšírenie geografického ma</w:t>
            </w:r>
            <w:r w:rsidR="003918E2">
              <w:rPr>
                <w:rFonts w:ascii="Times New Roman" w:hAnsi="Times New Roman"/>
                <w:sz w:val="20"/>
                <w:szCs w:val="20"/>
                <w:lang w:eastAsia="sk-SK"/>
              </w:rPr>
              <w:t>ndátu operácií EBOR na región s</w:t>
            </w:r>
            <w:r w:rsidRPr="0040767E">
              <w:rPr>
                <w:rFonts w:ascii="Times New Roman" w:hAnsi="Times New Roman"/>
                <w:sz w:val="20"/>
                <w:szCs w:val="20"/>
                <w:lang w:eastAsia="sk-SK"/>
              </w:rPr>
              <w:t>ubsaharskej Afriky 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40767E">
              <w:rPr>
                <w:rFonts w:ascii="Times New Roman" w:hAnsi="Times New Roman"/>
                <w:sz w:val="20"/>
                <w:szCs w:val="20"/>
                <w:lang w:eastAsia="sk-SK"/>
              </w:rPr>
              <w:t>Irak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; a článku 12.1, ktorou </w:t>
            </w:r>
            <w:r w:rsidRPr="0040767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sa odstraňujú obmedzenia prístupu ku kapitálu banky na bežné operácie a Rada riaditeľov EBOR je oprávnená stanoviť a zachovať limity kapitálu banky s prihliadnutím na ukazovatele kapitálovej primeranosti. </w:t>
            </w:r>
          </w:p>
        </w:tc>
      </w:tr>
      <w:tr w:rsidR="001B23B7" w:rsidRPr="00B043B4" w14:paraId="6B67C05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5C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6B67C05F" w14:textId="77777777" w:rsidTr="006D71ED">
        <w:trPr>
          <w:trHeight w:val="33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05E" w14:textId="00737331" w:rsidR="001B23B7" w:rsidRPr="006D71ED" w:rsidRDefault="006D71ED" w:rsidP="00B23B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71E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N/A</w:t>
            </w:r>
          </w:p>
        </w:tc>
      </w:tr>
      <w:tr w:rsidR="001B23B7" w:rsidRPr="00B043B4" w14:paraId="6B67C06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60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6B67C064" w14:textId="77777777" w:rsidTr="006D71ED">
        <w:trPr>
          <w:trHeight w:val="73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E268" w14:textId="77777777" w:rsidR="00B23B00" w:rsidRDefault="006D71ED" w:rsidP="005C27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7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Alternatívnym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riešením je nulový variant, t. j. neschválenie zmien Dohody o založení Európskej banky pre obnovu a rozvoj. Uplatnenie nulového variantu by v praxi znamenalo nesplnenie záväzku SR ako riadneho člena Európskej banky pre obnovu a rozvoj. </w:t>
            </w:r>
          </w:p>
          <w:p w14:paraId="6B67C063" w14:textId="35F67CDC" w:rsidR="006D71ED" w:rsidRPr="006D71ED" w:rsidRDefault="006D71ED" w:rsidP="005C27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23B7" w:rsidRPr="00B043B4" w14:paraId="6B67C06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6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14:paraId="6B67C06A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67C06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B67C068" w14:textId="77777777" w:rsidR="001B23B7" w:rsidRPr="00B043B4" w:rsidRDefault="00BA7B38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B67C069" w14:textId="77777777" w:rsidR="001B23B7" w:rsidRPr="00B043B4" w:rsidRDefault="00BA7B3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0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6B67C06D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06C" w14:textId="2457E3D4" w:rsidR="001B23B7" w:rsidRPr="00F6267B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1B23B7" w:rsidRPr="00B043B4" w14:paraId="6B67C06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6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6B67C079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 w14:paraId="6B67C071" w14:textId="77777777">
              <w:trPr>
                <w:trHeight w:val="90"/>
              </w:trPr>
              <w:tc>
                <w:tcPr>
                  <w:tcW w:w="8643" w:type="dxa"/>
                </w:tcPr>
                <w:p w14:paraId="6B67C070" w14:textId="77777777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zhody. </w:t>
                  </w:r>
                </w:p>
              </w:tc>
            </w:tr>
            <w:tr w:rsidR="00A7788F" w14:paraId="6B67C075" w14:textId="77777777">
              <w:trPr>
                <w:trHeight w:val="296"/>
              </w:trPr>
              <w:tc>
                <w:tcPr>
                  <w:tcW w:w="8643" w:type="dxa"/>
                </w:tcPr>
                <w:p w14:paraId="6B67C073" w14:textId="238E880F" w:rsidR="00A7788F" w:rsidRPr="00F6267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3B00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6B67C074" w14:textId="77777777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A7788F" w14:paraId="6B67C077" w14:textId="77777777">
              <w:trPr>
                <w:trHeight w:val="296"/>
              </w:trPr>
              <w:tc>
                <w:tcPr>
                  <w:tcW w:w="8643" w:type="dxa"/>
                </w:tcPr>
                <w:p w14:paraId="6B67C076" w14:textId="77777777" w:rsidR="00A7788F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6B67C078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6B67C07B" w14:textId="77777777" w:rsidTr="0040767E">
        <w:trPr>
          <w:trHeight w:val="64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C07A" w14:textId="77777777" w:rsidR="001B23B7" w:rsidRPr="00B043B4" w:rsidRDefault="001B23B7" w:rsidP="00641C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B67C07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07C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6B67C07F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07E" w14:textId="4845F41C" w:rsidR="007D0F33" w:rsidRPr="00F6267B" w:rsidRDefault="007D0F33" w:rsidP="00B23B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Preskúmanie účinnosti a účelnosti bude vykonané priebežne po nadobudnutí platnosti zmien Dohody o založení Európskej banky pre obnovu a rozvoj.</w:t>
            </w:r>
          </w:p>
        </w:tc>
      </w:tr>
      <w:tr w:rsidR="002F6ADB" w:rsidRPr="002F6ADB" w14:paraId="6B67C084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67C080" w14:textId="77777777"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6B67C081" w14:textId="77777777"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6B67C083" w14:textId="25BF19BA" w:rsidR="001B23B7" w:rsidRPr="00F6267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*** posudzovanie sa týka len zmien v I. a II. pilieri univerzálneho systému dôchodkového zabezpečenia s identifikovaným dopadom od 0,1 % HDP (vrátane) na dlhodobom horizonte.</w:t>
            </w:r>
          </w:p>
        </w:tc>
      </w:tr>
      <w:tr w:rsidR="001B23B7" w:rsidRPr="00B043B4" w14:paraId="6B67C086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B67C08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B23B7" w:rsidRPr="00B043B4" w14:paraId="6B67C08E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8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B67C088" w14:textId="77777777"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B67C08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B67C08A" w14:textId="77777777" w:rsidR="001B23B7" w:rsidRPr="00B043B4" w:rsidRDefault="00B23B00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B67C08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B67C08C" w14:textId="77777777"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67C08D" w14:textId="77777777"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6B67C098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8F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6B67C090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6B67C091" w14:textId="77777777"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B67C092" w14:textId="77777777"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67C093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67C094" w14:textId="77777777"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67C095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67C096" w14:textId="77777777"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67C097" w14:textId="77777777"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14:paraId="6B67C0A0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99" w14:textId="77777777"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B67C09A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7C09B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B67C09C" w14:textId="77777777" w:rsidR="003145AE" w:rsidRPr="00B043B4" w:rsidRDefault="00B23B0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7C09D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B67C09E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67C09F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6B67C0A9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7C0A1" w14:textId="77777777"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B67C0A2" w14:textId="77777777"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67C0A3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A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67C0A5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A6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67C0A7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C0A8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14:paraId="6B67C0B1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7C0AA" w14:textId="77777777"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67C0AB" w14:textId="77777777"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AC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AD" w14:textId="77777777"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AE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67C0AF" w14:textId="77777777" w:rsidR="00A7788F" w:rsidRPr="002F6ADB" w:rsidRDefault="00507BE9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C0B0" w14:textId="77777777"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6B67C0B9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B2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B67C0B3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67C0B4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67C0B5" w14:textId="77777777" w:rsidR="003145AE" w:rsidRPr="00B043B4" w:rsidRDefault="00B23B0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67C0B6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67C0B7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67C0B8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6B67C0C2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B67C0BA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6B67C0BB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6B67C0BC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67C0BD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67C0BE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67C0BF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67C0C0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67C0C1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6B67C0CB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7C0C3" w14:textId="77777777"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6B67C0C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67C0C5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C6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C7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C8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67C0C9" w14:textId="70C60E8D" w:rsidR="003145AE" w:rsidRPr="00B043B4" w:rsidRDefault="00424E9C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C0CA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6B67C0D3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7C0CC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B67C0CD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7C0CE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67C0CF" w14:textId="77777777" w:rsidR="003145AE" w:rsidRPr="00B043B4" w:rsidRDefault="00B23B0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7C0D0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67C0D1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C0D2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6B67C0DB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7C0D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B67C0D5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7C0D6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67C0D7" w14:textId="77777777" w:rsidR="003145AE" w:rsidRPr="00B043B4" w:rsidRDefault="00B23B0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7C0D8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67C0D9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C0DA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6B67C0E3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7C0DC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B67C0DD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7C0DE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67C0DF" w14:textId="77777777" w:rsidR="003145AE" w:rsidRPr="00B043B4" w:rsidRDefault="00B23B0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7C0E0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B67C0E1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7C0E2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6B67C0EB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E4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67C0E5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7C0E6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7C0E7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7C0E8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7C0E9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67C0EA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6B67C0F3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EC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B67C0ED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67C0EE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B67C0EF" w14:textId="77777777" w:rsidR="000F2BE9" w:rsidRPr="00B043B4" w:rsidRDefault="00B23B0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67C0F0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B67C0F1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67C0F2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6B67C0FB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0F4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7C0F5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67C0F6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7C0F7" w14:textId="77777777" w:rsidR="000F2BE9" w:rsidRPr="00B043B4" w:rsidRDefault="00B23B0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67C0F8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7C0F9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C0FA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6B67C103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67C0FC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67C0FD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0FE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67C0FF" w14:textId="77777777" w:rsidR="00A340BB" w:rsidRPr="00B043B4" w:rsidRDefault="00B23B0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7C100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67C101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C102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B67C104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6B67C106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67C10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6B67C10A" w14:textId="77777777" w:rsidTr="00641C23">
        <w:trPr>
          <w:trHeight w:val="589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B67C109" w14:textId="63BEECC0" w:rsidR="00641C23" w:rsidRPr="007D0F33" w:rsidRDefault="007D0F33" w:rsidP="007D0F33">
            <w:pPr>
              <w:pStyle w:val="Bezriadkovania"/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7D0F33">
              <w:rPr>
                <w:rFonts w:ascii="Times New Roman" w:eastAsiaTheme="minorHAnsi" w:hAnsi="Times New Roman" w:cstheme="minorBidi"/>
                <w:sz w:val="20"/>
                <w:szCs w:val="20"/>
              </w:rPr>
              <w:t>Samotné schválenie a následné vyhlásenie o prijatí zmien Dohody o založení Európskej banky pre obnovu a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 </w:t>
            </w:r>
            <w:r w:rsidRPr="007D0F33">
              <w:rPr>
                <w:rFonts w:ascii="Times New Roman" w:eastAsiaTheme="minorHAnsi" w:hAnsi="Times New Roman" w:cstheme="minorBidi"/>
                <w:sz w:val="20"/>
                <w:szCs w:val="20"/>
              </w:rPr>
              <w:t>rozvoj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(dohoda) </w:t>
            </w:r>
            <w:r w:rsidRPr="007D0F33">
              <w:rPr>
                <w:rFonts w:ascii="Times New Roman" w:eastAsiaTheme="minorHAnsi" w:hAnsi="Times New Roman" w:cstheme="minorBidi"/>
                <w:sz w:val="20"/>
                <w:szCs w:val="20"/>
              </w:rPr>
              <w:t>týkajúcich sa zmeny článk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ov 1 a 12.1 d</w:t>
            </w:r>
            <w:r w:rsidRPr="007D0F33">
              <w:rPr>
                <w:rFonts w:ascii="Times New Roman" w:eastAsiaTheme="minorHAnsi" w:hAnsi="Times New Roman" w:cstheme="minorBidi"/>
                <w:sz w:val="20"/>
                <w:szCs w:val="20"/>
              </w:rPr>
              <w:t>ohody nebude mať žiadny dopad na verejné financie Slovenskej republiky.</w:t>
            </w:r>
          </w:p>
        </w:tc>
      </w:tr>
      <w:tr w:rsidR="001B23B7" w:rsidRPr="00B043B4" w14:paraId="6B67C10C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10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6B67C10F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9545" w14:textId="77777777" w:rsidR="00424E9C" w:rsidRPr="003C43A5" w:rsidRDefault="00424E9C" w:rsidP="00424E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Ing. Matej Blažej, MSc., </w:t>
            </w:r>
            <w:hyperlink r:id="rId10" w:history="1">
              <w:r w:rsidRPr="000C2728">
                <w:rPr>
                  <w:rStyle w:val="Hypertextovprepojenie"/>
                  <w:rFonts w:ascii="Times New Roman" w:hAnsi="Times New Roman"/>
                  <w:sz w:val="20"/>
                </w:rPr>
                <w:t>matej.blazej@mfsr.sk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B67C10E" w14:textId="2B590919" w:rsidR="00DE2557" w:rsidRPr="00DE2557" w:rsidRDefault="00DE2557" w:rsidP="00DE2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3B7" w:rsidRPr="00B043B4" w14:paraId="6B67C11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110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6B67C117" w14:textId="77777777" w:rsidTr="007424AD">
        <w:trPr>
          <w:trHeight w:val="40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116" w14:textId="607E3988" w:rsidR="00830591" w:rsidRPr="007424AD" w:rsidRDefault="00422B7A" w:rsidP="007424AD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422B7A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Dané dáta sú nedostupné pre spracovanie relevantných analýz vybraných vplyvov. </w:t>
            </w:r>
          </w:p>
        </w:tc>
      </w:tr>
      <w:tr w:rsidR="001B23B7" w:rsidRPr="00B043B4" w14:paraId="6B67C11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67C118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6B67C119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6B67C123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7C11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6B67C11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B67C11C" w14:textId="77777777" w:rsidR="001B23B7" w:rsidRPr="00B043B4" w:rsidRDefault="00BA7B3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B67C11D" w14:textId="77777777" w:rsidR="001B23B7" w:rsidRPr="00B043B4" w:rsidRDefault="00BA7B3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6B67C11E" w14:textId="77777777" w:rsidR="001B23B7" w:rsidRPr="00B043B4" w:rsidRDefault="00BA7B3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B67C121" w14:textId="2813230B" w:rsidR="001B23B7" w:rsidRDefault="001B23B7" w:rsidP="00F6267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B67C12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6B67C125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B67C12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6B67C12E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6B67C12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6B67C12A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B67C127" w14:textId="77777777" w:rsidR="001B23B7" w:rsidRPr="00B043B4" w:rsidRDefault="00BA7B3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B67C128" w14:textId="77777777" w:rsidR="001B23B7" w:rsidRPr="00B043B4" w:rsidRDefault="00BA7B3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B67C129" w14:textId="77777777" w:rsidR="001B23B7" w:rsidRPr="00B043B4" w:rsidRDefault="00BA7B3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B67C12B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B67C12D" w14:textId="07F80723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6B67C12F" w14:textId="77777777" w:rsidR="00274130" w:rsidRDefault="00BA7B38"/>
    <w:sectPr w:rsidR="00274130" w:rsidSect="001E3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1A4F" w14:textId="77777777" w:rsidR="00BA7B38" w:rsidRDefault="00BA7B38" w:rsidP="001B23B7">
      <w:pPr>
        <w:spacing w:after="0" w:line="240" w:lineRule="auto"/>
      </w:pPr>
      <w:r>
        <w:separator/>
      </w:r>
    </w:p>
  </w:endnote>
  <w:endnote w:type="continuationSeparator" w:id="0">
    <w:p w14:paraId="4BB32499" w14:textId="77777777" w:rsidR="00BA7B38" w:rsidRDefault="00BA7B3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1010A" w14:textId="77777777" w:rsidR="00AE7FE4" w:rsidRDefault="00AE7F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67C134" w14:textId="6F0771DA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CF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67C135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4A2D3" w14:textId="77777777" w:rsidR="00AE7FE4" w:rsidRDefault="00AE7F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B307" w14:textId="77777777" w:rsidR="00BA7B38" w:rsidRDefault="00BA7B38" w:rsidP="001B23B7">
      <w:pPr>
        <w:spacing w:after="0" w:line="240" w:lineRule="auto"/>
      </w:pPr>
      <w:r>
        <w:separator/>
      </w:r>
    </w:p>
  </w:footnote>
  <w:footnote w:type="continuationSeparator" w:id="0">
    <w:p w14:paraId="0EDF7E58" w14:textId="77777777" w:rsidR="00BA7B38" w:rsidRDefault="00BA7B3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D433" w14:textId="77777777" w:rsidR="00AE7FE4" w:rsidRDefault="00AE7F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28321" w14:textId="77777777" w:rsidR="00AE7FE4" w:rsidRDefault="00AE7FE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B246" w14:textId="77777777" w:rsidR="00AE7FE4" w:rsidRDefault="00AE7F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EAB44E6"/>
    <w:multiLevelType w:val="hybridMultilevel"/>
    <w:tmpl w:val="B846C934"/>
    <w:lvl w:ilvl="0" w:tplc="A92465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41E7"/>
    <w:rsid w:val="00097069"/>
    <w:rsid w:val="000A1FE2"/>
    <w:rsid w:val="000D348F"/>
    <w:rsid w:val="000F2BE9"/>
    <w:rsid w:val="00113AE4"/>
    <w:rsid w:val="00187182"/>
    <w:rsid w:val="001B23B7"/>
    <w:rsid w:val="001E3562"/>
    <w:rsid w:val="00203EE3"/>
    <w:rsid w:val="00204E6A"/>
    <w:rsid w:val="002243BB"/>
    <w:rsid w:val="00230560"/>
    <w:rsid w:val="00230A8F"/>
    <w:rsid w:val="0023360B"/>
    <w:rsid w:val="00243652"/>
    <w:rsid w:val="002B4CC9"/>
    <w:rsid w:val="002E3DFB"/>
    <w:rsid w:val="002E4A27"/>
    <w:rsid w:val="002F3152"/>
    <w:rsid w:val="002F6ADB"/>
    <w:rsid w:val="003145AE"/>
    <w:rsid w:val="003372E0"/>
    <w:rsid w:val="003451D4"/>
    <w:rsid w:val="00353FB1"/>
    <w:rsid w:val="003918E2"/>
    <w:rsid w:val="003A057B"/>
    <w:rsid w:val="003A381E"/>
    <w:rsid w:val="003A7BDE"/>
    <w:rsid w:val="003D5724"/>
    <w:rsid w:val="003E243A"/>
    <w:rsid w:val="0040767E"/>
    <w:rsid w:val="00411898"/>
    <w:rsid w:val="00422B7A"/>
    <w:rsid w:val="00424E9C"/>
    <w:rsid w:val="0049476D"/>
    <w:rsid w:val="004A4383"/>
    <w:rsid w:val="004C3FF3"/>
    <w:rsid w:val="004C6831"/>
    <w:rsid w:val="00507BE9"/>
    <w:rsid w:val="00591EC6"/>
    <w:rsid w:val="00591ED3"/>
    <w:rsid w:val="005C2766"/>
    <w:rsid w:val="00637088"/>
    <w:rsid w:val="00641C23"/>
    <w:rsid w:val="006D71ED"/>
    <w:rsid w:val="006F678E"/>
    <w:rsid w:val="006F6B62"/>
    <w:rsid w:val="00720322"/>
    <w:rsid w:val="007424AD"/>
    <w:rsid w:val="0075197E"/>
    <w:rsid w:val="00761208"/>
    <w:rsid w:val="007756BE"/>
    <w:rsid w:val="00792589"/>
    <w:rsid w:val="007B40C1"/>
    <w:rsid w:val="007D0F33"/>
    <w:rsid w:val="007F3B03"/>
    <w:rsid w:val="00830591"/>
    <w:rsid w:val="00831DA3"/>
    <w:rsid w:val="00842B88"/>
    <w:rsid w:val="00865E81"/>
    <w:rsid w:val="00873B8F"/>
    <w:rsid w:val="008801B5"/>
    <w:rsid w:val="00881E07"/>
    <w:rsid w:val="008B222D"/>
    <w:rsid w:val="008C79B7"/>
    <w:rsid w:val="009431E3"/>
    <w:rsid w:val="009475F5"/>
    <w:rsid w:val="009717F5"/>
    <w:rsid w:val="009C424C"/>
    <w:rsid w:val="009E09F7"/>
    <w:rsid w:val="009F4832"/>
    <w:rsid w:val="00A340BB"/>
    <w:rsid w:val="00A40970"/>
    <w:rsid w:val="00A7788F"/>
    <w:rsid w:val="00A9688D"/>
    <w:rsid w:val="00AC30D6"/>
    <w:rsid w:val="00AC7CFC"/>
    <w:rsid w:val="00AE7FE4"/>
    <w:rsid w:val="00B23B00"/>
    <w:rsid w:val="00B34912"/>
    <w:rsid w:val="00B42308"/>
    <w:rsid w:val="00B53AFD"/>
    <w:rsid w:val="00B547F5"/>
    <w:rsid w:val="00B84F87"/>
    <w:rsid w:val="00BA2BF4"/>
    <w:rsid w:val="00BA301E"/>
    <w:rsid w:val="00BA7B38"/>
    <w:rsid w:val="00BA7E54"/>
    <w:rsid w:val="00BB5423"/>
    <w:rsid w:val="00BC311F"/>
    <w:rsid w:val="00C14D14"/>
    <w:rsid w:val="00CB08AE"/>
    <w:rsid w:val="00CD5677"/>
    <w:rsid w:val="00CE16F6"/>
    <w:rsid w:val="00CE6AAE"/>
    <w:rsid w:val="00CF1A25"/>
    <w:rsid w:val="00D2313B"/>
    <w:rsid w:val="00D27096"/>
    <w:rsid w:val="00D3405A"/>
    <w:rsid w:val="00D50F1E"/>
    <w:rsid w:val="00DE2557"/>
    <w:rsid w:val="00DF357C"/>
    <w:rsid w:val="00E4079A"/>
    <w:rsid w:val="00E52F5F"/>
    <w:rsid w:val="00EA351E"/>
    <w:rsid w:val="00ED1AC0"/>
    <w:rsid w:val="00F13691"/>
    <w:rsid w:val="00F524E7"/>
    <w:rsid w:val="00F56256"/>
    <w:rsid w:val="00F6267B"/>
    <w:rsid w:val="00F87681"/>
    <w:rsid w:val="00FA02DB"/>
    <w:rsid w:val="00F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7C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0F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23B00"/>
    <w:rPr>
      <w:rFonts w:cs="Times New Roman"/>
      <w:color w:val="0563C1" w:themeColor="hyperlink"/>
      <w:u w:val="single"/>
    </w:rPr>
  </w:style>
  <w:style w:type="paragraph" w:styleId="Bezriadkovania">
    <w:name w:val="No Spacing"/>
    <w:uiPriority w:val="1"/>
    <w:qFormat/>
    <w:rsid w:val="007D0F33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lnywebov">
    <w:name w:val="Normal (Web)"/>
    <w:aliases w:val="webb"/>
    <w:basedOn w:val="Normlny"/>
    <w:uiPriority w:val="99"/>
    <w:rsid w:val="0040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tej.blazej@mf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221B-9340-4C2D-A507-0858CF314B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0D048353-701D-49B4-B146-58C1AC58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2023-07-31T11:34:00Z</dcterms:created>
  <dcterms:modified xsi:type="dcterms:W3CDTF">2024-02-05T14:56:00Z</dcterms:modified>
</cp:coreProperties>
</file>