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4F5" w:rsidRPr="00EF5335" w:rsidRDefault="00A904F5" w:rsidP="00A904F5">
      <w:pPr>
        <w:pStyle w:val="Zkladntext"/>
        <w:spacing w:before="80" w:after="0"/>
        <w:jc w:val="center"/>
        <w:rPr>
          <w:b/>
          <w:bCs/>
          <w:lang w:val="sk-SK"/>
        </w:rPr>
      </w:pPr>
      <w:r w:rsidRPr="00EF5335">
        <w:rPr>
          <w:b/>
          <w:bCs/>
          <w:lang w:val="sk-SK"/>
        </w:rPr>
        <w:t>Predkladacia správa</w:t>
      </w:r>
    </w:p>
    <w:p w:rsidR="00EF5335" w:rsidRDefault="00EF5335" w:rsidP="00DE437E">
      <w:pPr>
        <w:pStyle w:val="Bezriadkovania"/>
        <w:jc w:val="both"/>
        <w:rPr>
          <w:rFonts w:ascii="Times New Roman" w:hAnsi="Times New Roman"/>
          <w:sz w:val="24"/>
          <w:szCs w:val="24"/>
        </w:rPr>
      </w:pPr>
    </w:p>
    <w:p w:rsidR="00287877" w:rsidRDefault="00CD375A" w:rsidP="00147F05">
      <w:pPr>
        <w:pStyle w:val="Bezriadkovania"/>
        <w:jc w:val="both"/>
        <w:rPr>
          <w:rFonts w:ascii="Times New Roman" w:hAnsi="Times New Roman"/>
          <w:sz w:val="24"/>
          <w:szCs w:val="24"/>
        </w:rPr>
      </w:pPr>
      <w:r w:rsidRPr="00EF5335">
        <w:rPr>
          <w:rFonts w:ascii="Times New Roman" w:hAnsi="Times New Roman"/>
          <w:sz w:val="24"/>
          <w:szCs w:val="24"/>
        </w:rPr>
        <w:t xml:space="preserve">Na rokovanie </w:t>
      </w:r>
      <w:r w:rsidR="0001674D">
        <w:rPr>
          <w:rFonts w:ascii="Times New Roman" w:hAnsi="Times New Roman"/>
          <w:sz w:val="24"/>
          <w:szCs w:val="24"/>
        </w:rPr>
        <w:t>Národnej Rady</w:t>
      </w:r>
      <w:r w:rsidRPr="00EF5335">
        <w:rPr>
          <w:rFonts w:ascii="Times New Roman" w:hAnsi="Times New Roman"/>
          <w:sz w:val="24"/>
          <w:szCs w:val="24"/>
        </w:rPr>
        <w:t xml:space="preserve"> Slovenskej republiky sa predkladá materiál „</w:t>
      </w:r>
      <w:r w:rsidR="00147F05" w:rsidRPr="00147F05">
        <w:rPr>
          <w:rFonts w:ascii="Times New Roman" w:hAnsi="Times New Roman"/>
          <w:sz w:val="24"/>
          <w:szCs w:val="24"/>
        </w:rPr>
        <w:t>Návrh</w:t>
      </w:r>
      <w:r w:rsidR="00147F05">
        <w:rPr>
          <w:rFonts w:ascii="Times New Roman" w:hAnsi="Times New Roman"/>
          <w:sz w:val="24"/>
          <w:szCs w:val="24"/>
        </w:rPr>
        <w:t xml:space="preserve"> </w:t>
      </w:r>
      <w:r w:rsidR="00147F05" w:rsidRPr="00147F05">
        <w:rPr>
          <w:rFonts w:ascii="Times New Roman" w:hAnsi="Times New Roman"/>
          <w:sz w:val="24"/>
          <w:szCs w:val="24"/>
        </w:rPr>
        <w:t>na vyslovenie súhlasu Národnej rady Slovenskej republiky so zmenami Dohody o založení Európskej banky pre obnovu</w:t>
      </w:r>
      <w:r w:rsidR="008E36B6">
        <w:rPr>
          <w:rFonts w:ascii="Times New Roman" w:hAnsi="Times New Roman"/>
          <w:sz w:val="24"/>
          <w:szCs w:val="24"/>
        </w:rPr>
        <w:t xml:space="preserve"> a rozvoj</w:t>
      </w:r>
      <w:bookmarkStart w:id="0" w:name="_GoBack"/>
      <w:bookmarkEnd w:id="0"/>
      <w:r w:rsidR="00287877">
        <w:rPr>
          <w:rFonts w:ascii="Times New Roman" w:hAnsi="Times New Roman"/>
          <w:sz w:val="24"/>
          <w:szCs w:val="24"/>
        </w:rPr>
        <w:t>“</w:t>
      </w:r>
      <w:r>
        <w:rPr>
          <w:rFonts w:ascii="Times New Roman" w:hAnsi="Times New Roman"/>
          <w:sz w:val="24"/>
          <w:szCs w:val="24"/>
        </w:rPr>
        <w:t>.</w:t>
      </w:r>
    </w:p>
    <w:p w:rsidR="00287877" w:rsidRDefault="00287877" w:rsidP="00CD375A">
      <w:pPr>
        <w:pStyle w:val="Bezriadkovania"/>
        <w:jc w:val="both"/>
        <w:rPr>
          <w:rFonts w:ascii="Times New Roman" w:hAnsi="Times New Roman"/>
          <w:sz w:val="24"/>
          <w:szCs w:val="24"/>
        </w:rPr>
      </w:pPr>
    </w:p>
    <w:p w:rsidR="00287877" w:rsidRDefault="00287877" w:rsidP="00287877">
      <w:pPr>
        <w:jc w:val="both"/>
      </w:pPr>
      <w:r>
        <w:t xml:space="preserve">V dňoch 16. až 18. mája 2023 </w:t>
      </w:r>
      <w:r w:rsidR="00F81512">
        <w:t xml:space="preserve">sa </w:t>
      </w:r>
      <w:r>
        <w:t>v</w:t>
      </w:r>
      <w:r w:rsidR="00F81512">
        <w:t> </w:t>
      </w:r>
      <w:r>
        <w:t>Samarkande</w:t>
      </w:r>
      <w:r w:rsidR="00F81512">
        <w:t xml:space="preserve"> (</w:t>
      </w:r>
      <w:r>
        <w:t>Uzbekistan</w:t>
      </w:r>
      <w:r w:rsidR="00F81512">
        <w:t>)</w:t>
      </w:r>
      <w:r>
        <w:t xml:space="preserve"> konalo 32. Výročné zasadnutie Rady guvernérov Európskej banky pre obnovu a rozvoj (ďalej len „EBOR“ alebo „banka“), najvyššieho riadiaceho orgánu banky. Na plenárnom zasadnutí dňa 18. mája 2023 boli Radou guvernérov prijaté rezolúcie č. 259 a 260 </w:t>
      </w:r>
      <w:r w:rsidR="002C4391">
        <w:t>týkajúce sa zmeny</w:t>
      </w:r>
      <w:r>
        <w:t xml:space="preserve"> článku 1 a článku 12.1 Dohody o založení Európskej banky pre obnovu a rozvoj (ďalej len „dohoda“).</w:t>
      </w:r>
      <w:r w:rsidR="00003CA5">
        <w:t xml:space="preserve"> </w:t>
      </w:r>
      <w:r>
        <w:t xml:space="preserve"> </w:t>
      </w:r>
    </w:p>
    <w:p w:rsidR="00287877" w:rsidRDefault="00287877" w:rsidP="00287877">
      <w:pPr>
        <w:jc w:val="both"/>
      </w:pPr>
    </w:p>
    <w:p w:rsidR="00287877" w:rsidRDefault="00287877" w:rsidP="00287877">
      <w:pPr>
        <w:jc w:val="both"/>
      </w:pPr>
      <w:r>
        <w:t xml:space="preserve">Dohoda bola podpísaná 29. mája </w:t>
      </w:r>
      <w:r w:rsidRPr="00287877">
        <w:t>1990</w:t>
      </w:r>
      <w:r>
        <w:t xml:space="preserve"> v Paríži</w:t>
      </w:r>
      <w:r w:rsidRPr="00287877">
        <w:t xml:space="preserve"> a nadobudla platnosť 28. marca 1991. Týmto dňom nadobudla platnosť aj pre Českú a Slovenskú Federatívnu Republiku (ďalej len "ČSFR"), ktorá bola zakladajúcim členom EBOR. Po rozdelení Československej sociali</w:t>
      </w:r>
      <w:r>
        <w:t>stickej republiky vstúpila Slovenská</w:t>
      </w:r>
      <w:r w:rsidRPr="00287877">
        <w:t xml:space="preserve"> repub</w:t>
      </w:r>
      <w:r>
        <w:t>lika (ďalej len "</w:t>
      </w:r>
      <w:r w:rsidRPr="00DF446C">
        <w:t>SR") do EBOR ako nástupnícky štát 1. januára 1993. Dohoda bola uverejnená v Zbierke zákonov</w:t>
      </w:r>
      <w:r w:rsidR="002C4391" w:rsidRPr="00DF446C">
        <w:t xml:space="preserve"> SR</w:t>
      </w:r>
      <w:r w:rsidRPr="00DF446C">
        <w:t xml:space="preserve"> </w:t>
      </w:r>
      <w:r w:rsidR="00E03732" w:rsidRPr="00DF446C">
        <w:t>pod č. 115/2007 Z.</w:t>
      </w:r>
      <w:r w:rsidR="00DF446C">
        <w:t xml:space="preserve"> </w:t>
      </w:r>
      <w:r w:rsidR="00E03732" w:rsidRPr="00DF446C">
        <w:t>z</w:t>
      </w:r>
      <w:r w:rsidRPr="00DF446C">
        <w:t>. Dohoda bola už trikrát zmenená a doplnená (v roku 2006 zmena článku 1, v roku 2012 zmena článku 18 a v r</w:t>
      </w:r>
      <w:r w:rsidR="00E03732" w:rsidRPr="00DF446C">
        <w:t xml:space="preserve">oku 2013 zmena článku 1 dohody), </w:t>
      </w:r>
      <w:r w:rsidR="00DF446C" w:rsidRPr="00DF446C">
        <w:t>uverejnené v Zbierke zákonov SR pod č. 116/2007 Z. z. a č. 320/2013 Z. z.</w:t>
      </w:r>
    </w:p>
    <w:p w:rsidR="008D01E2" w:rsidRDefault="008D01E2" w:rsidP="00CD375A">
      <w:pPr>
        <w:pStyle w:val="Bezriadkovania"/>
        <w:jc w:val="both"/>
        <w:rPr>
          <w:rFonts w:ascii="Times New Roman" w:hAnsi="Times New Roman"/>
          <w:sz w:val="24"/>
          <w:szCs w:val="24"/>
        </w:rPr>
      </w:pPr>
    </w:p>
    <w:p w:rsidR="008D01E2" w:rsidRDefault="008D01E2" w:rsidP="00CD375A">
      <w:pPr>
        <w:pStyle w:val="Bezriadkovania"/>
        <w:jc w:val="both"/>
        <w:rPr>
          <w:rFonts w:ascii="Times New Roman" w:hAnsi="Times New Roman"/>
          <w:sz w:val="24"/>
          <w:szCs w:val="24"/>
        </w:rPr>
      </w:pPr>
      <w:r w:rsidRPr="008D01E2">
        <w:rPr>
          <w:rFonts w:ascii="Times New Roman" w:hAnsi="Times New Roman"/>
          <w:sz w:val="24"/>
          <w:szCs w:val="24"/>
        </w:rPr>
        <w:t>EBOR</w:t>
      </w:r>
      <w:r>
        <w:rPr>
          <w:rFonts w:ascii="Times New Roman" w:hAnsi="Times New Roman"/>
          <w:sz w:val="24"/>
          <w:szCs w:val="24"/>
        </w:rPr>
        <w:t xml:space="preserve"> je medzinárodná finančná inštitúcia so sídlom v Londýne, ktorá</w:t>
      </w:r>
      <w:r w:rsidRPr="008D01E2">
        <w:rPr>
          <w:rFonts w:ascii="Times New Roman" w:hAnsi="Times New Roman"/>
          <w:sz w:val="24"/>
          <w:szCs w:val="24"/>
        </w:rPr>
        <w:t xml:space="preserve"> bola založená s cieľom pomôcť ekonomikám strednej a východnej Európy, strednej Ázie, Ruska, Mongolska a Turecka pri prechode na trhové hospodárstvo. V roku 2011 bolo schválené rozšírenie regiónu jej pôsobenia o krajiny </w:t>
      </w:r>
      <w:r w:rsidR="0096296F">
        <w:rPr>
          <w:rFonts w:ascii="Times New Roman" w:hAnsi="Times New Roman"/>
          <w:sz w:val="24"/>
          <w:szCs w:val="24"/>
        </w:rPr>
        <w:t>južného a východného Stredozemia</w:t>
      </w:r>
      <w:r w:rsidRPr="008D01E2">
        <w:rPr>
          <w:rFonts w:ascii="Times New Roman" w:hAnsi="Times New Roman"/>
          <w:sz w:val="24"/>
          <w:szCs w:val="24"/>
        </w:rPr>
        <w:t>.</w:t>
      </w:r>
      <w:r>
        <w:rPr>
          <w:rFonts w:ascii="Times New Roman" w:hAnsi="Times New Roman"/>
          <w:sz w:val="24"/>
          <w:szCs w:val="24"/>
        </w:rPr>
        <w:t xml:space="preserve"> </w:t>
      </w:r>
      <w:r w:rsidRPr="00EF5335">
        <w:rPr>
          <w:rFonts w:ascii="Times New Roman" w:hAnsi="Times New Roman"/>
          <w:sz w:val="24"/>
          <w:szCs w:val="24"/>
        </w:rPr>
        <w:t xml:space="preserve">Akcionármi (členmi) EBOR je </w:t>
      </w:r>
      <w:r>
        <w:rPr>
          <w:rFonts w:ascii="Times New Roman" w:hAnsi="Times New Roman"/>
          <w:sz w:val="24"/>
          <w:szCs w:val="24"/>
        </w:rPr>
        <w:t>7</w:t>
      </w:r>
      <w:r w:rsidR="00E53468">
        <w:rPr>
          <w:rFonts w:ascii="Times New Roman" w:hAnsi="Times New Roman"/>
          <w:sz w:val="24"/>
          <w:szCs w:val="24"/>
        </w:rPr>
        <w:t>3</w:t>
      </w:r>
      <w:r w:rsidRPr="00EF5335">
        <w:rPr>
          <w:rFonts w:ascii="Times New Roman" w:hAnsi="Times New Roman"/>
          <w:sz w:val="24"/>
          <w:szCs w:val="24"/>
        </w:rPr>
        <w:t xml:space="preserve"> krajín, samostatný vklad má Európska únia a Európska investičná banka.</w:t>
      </w:r>
      <w:r w:rsidR="006D5879">
        <w:rPr>
          <w:rFonts w:ascii="Times New Roman" w:hAnsi="Times New Roman"/>
          <w:sz w:val="24"/>
          <w:szCs w:val="24"/>
        </w:rPr>
        <w:t xml:space="preserve"> Slovenskú republiku v Rade guvernérov EBOR zastupuje minister financií SR</w:t>
      </w:r>
      <w:r w:rsidR="006D5879">
        <w:rPr>
          <w:rStyle w:val="Odkaznapoznmkupodiarou"/>
          <w:rFonts w:ascii="Times New Roman" w:hAnsi="Times New Roman"/>
          <w:sz w:val="24"/>
          <w:szCs w:val="24"/>
        </w:rPr>
        <w:footnoteReference w:id="1"/>
      </w:r>
      <w:r w:rsidR="006D5879">
        <w:rPr>
          <w:rFonts w:ascii="Times New Roman" w:hAnsi="Times New Roman"/>
          <w:sz w:val="24"/>
          <w:szCs w:val="24"/>
        </w:rPr>
        <w:t xml:space="preserve">. </w:t>
      </w:r>
    </w:p>
    <w:p w:rsidR="008D01E2" w:rsidRDefault="008D01E2" w:rsidP="00CD375A">
      <w:pPr>
        <w:pStyle w:val="Bezriadkovania"/>
        <w:jc w:val="both"/>
        <w:rPr>
          <w:rFonts w:ascii="Times New Roman" w:hAnsi="Times New Roman"/>
          <w:sz w:val="24"/>
          <w:szCs w:val="24"/>
        </w:rPr>
      </w:pPr>
    </w:p>
    <w:p w:rsidR="00287877" w:rsidRDefault="00CD518C" w:rsidP="00287877">
      <w:pPr>
        <w:jc w:val="both"/>
      </w:pPr>
      <w:r w:rsidRPr="00CD518C">
        <w:t xml:space="preserve">Nová úprava článku 1 dohody </w:t>
      </w:r>
      <w:r w:rsidRPr="0096296F">
        <w:t>umožní obmedzené a postupné rozšírenie geografického m</w:t>
      </w:r>
      <w:r w:rsidR="00751454">
        <w:t>andátu operácií EBOR na región s</w:t>
      </w:r>
      <w:r w:rsidRPr="0096296F">
        <w:t>ubsaharskej Afriky</w:t>
      </w:r>
      <w:r w:rsidRPr="00CD518C">
        <w:t xml:space="preserve"> (</w:t>
      </w:r>
      <w:r>
        <w:t>ďalej len „</w:t>
      </w:r>
      <w:r w:rsidRPr="00CD518C">
        <w:t>SSA</w:t>
      </w:r>
      <w:r>
        <w:t>“</w:t>
      </w:r>
      <w:r w:rsidRPr="00CD518C">
        <w:t>) a Irak. Článok 1 bude doplnený o text o rozšírení regiónu operácií EBOR (schválené doplnenia sú uvedené kurzívou</w:t>
      </w:r>
      <w:r w:rsidR="00C93E73">
        <w:t xml:space="preserve"> a podčiarknuté</w:t>
      </w:r>
      <w:r w:rsidRPr="00CD518C">
        <w:t>):</w:t>
      </w:r>
    </w:p>
    <w:p w:rsidR="0096296F" w:rsidRDefault="0096296F" w:rsidP="00CD518C">
      <w:pPr>
        <w:pStyle w:val="Bezriadkovania"/>
        <w:ind w:left="426"/>
        <w:jc w:val="both"/>
        <w:rPr>
          <w:rFonts w:ascii="Times New Roman" w:hAnsi="Times New Roman"/>
          <w:sz w:val="24"/>
          <w:szCs w:val="24"/>
        </w:rPr>
      </w:pPr>
    </w:p>
    <w:p w:rsidR="0096296F" w:rsidRDefault="0096296F" w:rsidP="00CD518C">
      <w:pPr>
        <w:pStyle w:val="Bezriadkovania"/>
        <w:ind w:left="426"/>
        <w:jc w:val="both"/>
        <w:rPr>
          <w:rFonts w:ascii="Segoe UI" w:hAnsi="Segoe UI" w:cs="Segoe UI"/>
          <w:color w:val="494949"/>
          <w:sz w:val="21"/>
          <w:szCs w:val="21"/>
          <w:shd w:val="clear" w:color="auto" w:fill="FFFFFF"/>
        </w:rPr>
      </w:pPr>
      <w:r w:rsidRPr="0096296F">
        <w:rPr>
          <w:rFonts w:ascii="Times New Roman" w:hAnsi="Times New Roman"/>
          <w:sz w:val="24"/>
          <w:szCs w:val="24"/>
        </w:rPr>
        <w:t>„V rámci prispievania k hospodárskemu pokroku a obnove je účelom banky podpora prechodu k otvorenému, trhovo zameranému hospodárstvu a podpora súkromnej a podnikateľskej iniciatívy v krajinách strednej a východnej Európy, ktoré sa zaviazali dodržiavať zásady demokracie viacerých strán, pluralizmu a trhového hospodárstva a ktoré tieto zásady uplatňujú. Cieľ banky sa môže za rovnakých podmienok dosahovať aj v</w:t>
      </w:r>
      <w:r>
        <w:rPr>
          <w:rFonts w:ascii="Times New Roman" w:hAnsi="Times New Roman"/>
          <w:sz w:val="24"/>
          <w:szCs w:val="24"/>
        </w:rPr>
        <w:t> </w:t>
      </w:r>
      <w:r w:rsidR="003F2654" w:rsidRPr="003F2654">
        <w:rPr>
          <w:rFonts w:ascii="Times New Roman" w:hAnsi="Times New Roman"/>
          <w:i/>
          <w:sz w:val="24"/>
          <w:szCs w:val="24"/>
          <w:u w:val="single"/>
        </w:rPr>
        <w:t>(</w:t>
      </w:r>
      <w:r w:rsidRPr="003F2654">
        <w:rPr>
          <w:rFonts w:ascii="Times New Roman" w:hAnsi="Times New Roman"/>
          <w:i/>
          <w:sz w:val="24"/>
          <w:szCs w:val="24"/>
          <w:u w:val="single"/>
        </w:rPr>
        <w:t>i)</w:t>
      </w:r>
      <w:r>
        <w:rPr>
          <w:rFonts w:ascii="Times New Roman" w:hAnsi="Times New Roman"/>
          <w:sz w:val="24"/>
          <w:szCs w:val="24"/>
        </w:rPr>
        <w:t xml:space="preserve"> </w:t>
      </w:r>
      <w:r w:rsidRPr="0096296F">
        <w:rPr>
          <w:rFonts w:ascii="Times New Roman" w:hAnsi="Times New Roman"/>
          <w:sz w:val="24"/>
          <w:szCs w:val="24"/>
        </w:rPr>
        <w:t>Mongolsku</w:t>
      </w:r>
      <w:r w:rsidR="003F2654" w:rsidRPr="003F2654">
        <w:rPr>
          <w:rFonts w:ascii="Times New Roman" w:hAnsi="Times New Roman"/>
          <w:i/>
          <w:sz w:val="24"/>
          <w:szCs w:val="24"/>
          <w:u w:val="single"/>
        </w:rPr>
        <w:t>;</w:t>
      </w:r>
      <w:r w:rsidRPr="0096296F">
        <w:rPr>
          <w:rFonts w:ascii="Times New Roman" w:hAnsi="Times New Roman"/>
          <w:i/>
          <w:sz w:val="24"/>
          <w:szCs w:val="24"/>
          <w:u w:val="single"/>
        </w:rPr>
        <w:t xml:space="preserve"> </w:t>
      </w:r>
      <w:r w:rsidR="003F2654">
        <w:rPr>
          <w:rFonts w:ascii="Times New Roman" w:hAnsi="Times New Roman"/>
          <w:i/>
          <w:sz w:val="24"/>
          <w:szCs w:val="24"/>
          <w:u w:val="single"/>
        </w:rPr>
        <w:t>(</w:t>
      </w:r>
      <w:r>
        <w:rPr>
          <w:rFonts w:ascii="Times New Roman" w:hAnsi="Times New Roman"/>
          <w:i/>
          <w:sz w:val="24"/>
          <w:szCs w:val="24"/>
          <w:u w:val="single"/>
        </w:rPr>
        <w:t>ii)</w:t>
      </w:r>
      <w:r w:rsidRPr="0096296F">
        <w:rPr>
          <w:rFonts w:ascii="Times New Roman" w:hAnsi="Times New Roman"/>
          <w:sz w:val="24"/>
          <w:szCs w:val="24"/>
        </w:rPr>
        <w:t xml:space="preserve"> </w:t>
      </w:r>
      <w:r w:rsidRPr="0096296F">
        <w:rPr>
          <w:rFonts w:ascii="Times New Roman" w:hAnsi="Times New Roman"/>
          <w:i/>
          <w:strike/>
          <w:sz w:val="24"/>
          <w:szCs w:val="24"/>
          <w:u w:val="single"/>
        </w:rPr>
        <w:t>a v</w:t>
      </w:r>
      <w:r w:rsidRPr="0096296F">
        <w:rPr>
          <w:rFonts w:ascii="Times New Roman" w:hAnsi="Times New Roman"/>
          <w:sz w:val="24"/>
          <w:szCs w:val="24"/>
        </w:rPr>
        <w:t xml:space="preserve"> členských krajinách južného a východného Stredozemia</w:t>
      </w:r>
      <w:r w:rsidR="003F2654">
        <w:rPr>
          <w:rFonts w:ascii="Times New Roman" w:hAnsi="Times New Roman"/>
          <w:i/>
          <w:sz w:val="24"/>
          <w:szCs w:val="24"/>
          <w:u w:val="single"/>
        </w:rPr>
        <w:t xml:space="preserve">; </w:t>
      </w:r>
      <w:r>
        <w:rPr>
          <w:rFonts w:ascii="Times New Roman" w:hAnsi="Times New Roman"/>
          <w:i/>
          <w:sz w:val="24"/>
          <w:szCs w:val="24"/>
          <w:u w:val="single"/>
        </w:rPr>
        <w:t>a </w:t>
      </w:r>
      <w:r w:rsidR="003F2654">
        <w:rPr>
          <w:rFonts w:ascii="Times New Roman" w:hAnsi="Times New Roman"/>
          <w:i/>
          <w:sz w:val="24"/>
          <w:szCs w:val="24"/>
          <w:u w:val="single"/>
        </w:rPr>
        <w:t>(</w:t>
      </w:r>
      <w:r w:rsidR="00751454">
        <w:rPr>
          <w:rFonts w:ascii="Times New Roman" w:hAnsi="Times New Roman"/>
          <w:i/>
          <w:sz w:val="24"/>
          <w:szCs w:val="24"/>
          <w:u w:val="single"/>
        </w:rPr>
        <w:t>iii) v obmedzenom počte krajín s</w:t>
      </w:r>
      <w:r>
        <w:rPr>
          <w:rFonts w:ascii="Times New Roman" w:hAnsi="Times New Roman"/>
          <w:i/>
          <w:sz w:val="24"/>
          <w:szCs w:val="24"/>
          <w:u w:val="single"/>
        </w:rPr>
        <w:t xml:space="preserve">ubsaharskej Afriky, v každom prípade podľa bodov </w:t>
      </w:r>
      <w:r w:rsidR="003F2654">
        <w:rPr>
          <w:rFonts w:ascii="Times New Roman" w:hAnsi="Times New Roman"/>
          <w:i/>
          <w:sz w:val="24"/>
          <w:szCs w:val="24"/>
          <w:u w:val="single"/>
        </w:rPr>
        <w:t>(</w:t>
      </w:r>
      <w:r>
        <w:rPr>
          <w:rFonts w:ascii="Times New Roman" w:hAnsi="Times New Roman"/>
          <w:i/>
          <w:sz w:val="24"/>
          <w:szCs w:val="24"/>
          <w:u w:val="single"/>
        </w:rPr>
        <w:t>ii) a </w:t>
      </w:r>
      <w:r w:rsidR="003F2654">
        <w:rPr>
          <w:rFonts w:ascii="Times New Roman" w:hAnsi="Times New Roman"/>
          <w:i/>
          <w:sz w:val="24"/>
          <w:szCs w:val="24"/>
          <w:u w:val="single"/>
        </w:rPr>
        <w:t>(</w:t>
      </w:r>
      <w:r>
        <w:rPr>
          <w:rFonts w:ascii="Times New Roman" w:hAnsi="Times New Roman"/>
          <w:i/>
          <w:sz w:val="24"/>
          <w:szCs w:val="24"/>
          <w:u w:val="single"/>
        </w:rPr>
        <w:t>iii)</w:t>
      </w:r>
      <w:r w:rsidRPr="003F2654">
        <w:rPr>
          <w:rFonts w:ascii="Times New Roman" w:hAnsi="Times New Roman"/>
          <w:sz w:val="24"/>
          <w:szCs w:val="24"/>
        </w:rPr>
        <w:t>,</w:t>
      </w:r>
      <w:r w:rsidRPr="0096296F">
        <w:rPr>
          <w:rFonts w:ascii="Times New Roman" w:hAnsi="Times New Roman"/>
          <w:sz w:val="24"/>
          <w:szCs w:val="24"/>
        </w:rPr>
        <w:t xml:space="preserve"> na základe rozhodnutia banky pri schválení najmenej dvomi tretinami guvernérov, ktorí predstavujú najmenej tri štvrtiny celkového počtu hlasov členov. Preto</w:t>
      </w:r>
      <w:r w:rsidRPr="003F2654">
        <w:rPr>
          <w:rFonts w:ascii="Times New Roman" w:hAnsi="Times New Roman"/>
          <w:sz w:val="24"/>
          <w:szCs w:val="24"/>
        </w:rPr>
        <w:t xml:space="preserve"> akýkoľvek odkaz na „krajiny strednej a východnej Európy“, „krajiny zo strednej a východnej Európy“, „prijímajúcu krajinu (alebo krajiny)“ alebo na „prijímajúcu členskú krajinu (alebo krajiny)“, uvedený v tejto dohode a jej prílohách, sa vzťahuje aj na Mongolsko a na každú z týchto krajín južného a východného Stredozemia</w:t>
      </w:r>
      <w:r w:rsidR="003F2654">
        <w:rPr>
          <w:rFonts w:ascii="Times New Roman" w:hAnsi="Times New Roman"/>
          <w:sz w:val="24"/>
          <w:szCs w:val="24"/>
        </w:rPr>
        <w:t xml:space="preserve"> </w:t>
      </w:r>
      <w:r w:rsidR="00751454">
        <w:rPr>
          <w:rFonts w:ascii="Times New Roman" w:hAnsi="Times New Roman"/>
          <w:i/>
          <w:sz w:val="24"/>
          <w:szCs w:val="24"/>
          <w:u w:val="single"/>
        </w:rPr>
        <w:t>a s</w:t>
      </w:r>
      <w:r w:rsidR="003F2654">
        <w:rPr>
          <w:rFonts w:ascii="Times New Roman" w:hAnsi="Times New Roman"/>
          <w:i/>
          <w:sz w:val="24"/>
          <w:szCs w:val="24"/>
          <w:u w:val="single"/>
        </w:rPr>
        <w:t>ubsaharskej Afriky</w:t>
      </w:r>
      <w:r w:rsidRPr="003F2654">
        <w:rPr>
          <w:rFonts w:ascii="Times New Roman" w:hAnsi="Times New Roman"/>
          <w:sz w:val="24"/>
          <w:szCs w:val="24"/>
        </w:rPr>
        <w:t>.“</w:t>
      </w:r>
    </w:p>
    <w:p w:rsidR="00C93E73" w:rsidRDefault="00C93E73" w:rsidP="00DE437E">
      <w:pPr>
        <w:pStyle w:val="Bezriadkovania"/>
        <w:jc w:val="both"/>
        <w:rPr>
          <w:rFonts w:ascii="Times New Roman" w:hAnsi="Times New Roman"/>
          <w:sz w:val="24"/>
          <w:szCs w:val="24"/>
        </w:rPr>
      </w:pPr>
    </w:p>
    <w:p w:rsidR="00C93E73" w:rsidRDefault="00E35F5E" w:rsidP="00DE437E">
      <w:pPr>
        <w:pStyle w:val="Bezriadkovania"/>
        <w:jc w:val="both"/>
        <w:rPr>
          <w:rFonts w:ascii="Times New Roman" w:hAnsi="Times New Roman"/>
          <w:sz w:val="24"/>
          <w:szCs w:val="24"/>
        </w:rPr>
      </w:pPr>
      <w:r w:rsidRPr="00E35F5E">
        <w:rPr>
          <w:rFonts w:ascii="Times New Roman" w:hAnsi="Times New Roman"/>
          <w:sz w:val="24"/>
          <w:szCs w:val="24"/>
        </w:rPr>
        <w:t>Na účely tejto dohody sa na geografické vymedzenie regiónu SSA používa kategorizácia Svetovej banky a Irak je zaradený medzi krajiny južného a východného Stredozemia. Navrhovaná rezolúcia</w:t>
      </w:r>
      <w:r w:rsidR="00393535">
        <w:rPr>
          <w:rFonts w:ascii="Times New Roman" w:hAnsi="Times New Roman"/>
          <w:sz w:val="24"/>
          <w:szCs w:val="24"/>
        </w:rPr>
        <w:t xml:space="preserve"> č.</w:t>
      </w:r>
      <w:r w:rsidRPr="00E35F5E">
        <w:rPr>
          <w:rFonts w:ascii="Times New Roman" w:hAnsi="Times New Roman"/>
          <w:sz w:val="24"/>
          <w:szCs w:val="24"/>
        </w:rPr>
        <w:t xml:space="preserve"> </w:t>
      </w:r>
      <w:r w:rsidRPr="00E35F5E">
        <w:rPr>
          <w:rFonts w:ascii="Times New Roman" w:hAnsi="Times New Roman"/>
          <w:sz w:val="24"/>
          <w:szCs w:val="24"/>
        </w:rPr>
        <w:lastRenderedPageBreak/>
        <w:t>259, ktorá umožňuje zmenu geografického mandátu, bola prijatá, pričom</w:t>
      </w:r>
      <w:r w:rsidR="00393535">
        <w:rPr>
          <w:rFonts w:ascii="Times New Roman" w:hAnsi="Times New Roman"/>
          <w:sz w:val="24"/>
          <w:szCs w:val="24"/>
        </w:rPr>
        <w:t xml:space="preserve"> sa</w:t>
      </w:r>
      <w:r w:rsidR="00393AD7" w:rsidRPr="00393AD7">
        <w:rPr>
          <w:rFonts w:ascii="Times New Roman" w:hAnsi="Times New Roman"/>
          <w:sz w:val="24"/>
          <w:szCs w:val="24"/>
        </w:rPr>
        <w:t xml:space="preserve"> </w:t>
      </w:r>
      <w:r w:rsidR="00393AD7">
        <w:rPr>
          <w:rFonts w:ascii="Times New Roman" w:hAnsi="Times New Roman"/>
          <w:sz w:val="24"/>
          <w:szCs w:val="24"/>
        </w:rPr>
        <w:t>hlasovania</w:t>
      </w:r>
      <w:r w:rsidR="00393535">
        <w:rPr>
          <w:rFonts w:ascii="Times New Roman" w:hAnsi="Times New Roman"/>
          <w:sz w:val="24"/>
          <w:szCs w:val="24"/>
        </w:rPr>
        <w:t xml:space="preserve"> zdržali len Ruska federácia</w:t>
      </w:r>
      <w:r w:rsidRPr="00E35F5E">
        <w:rPr>
          <w:rFonts w:ascii="Times New Roman" w:hAnsi="Times New Roman"/>
          <w:sz w:val="24"/>
          <w:szCs w:val="24"/>
        </w:rPr>
        <w:t xml:space="preserve"> a Bielorusko.</w:t>
      </w:r>
    </w:p>
    <w:p w:rsidR="003B4884" w:rsidRDefault="003B4884" w:rsidP="00DE437E">
      <w:pPr>
        <w:pStyle w:val="Bezriadkovania"/>
        <w:jc w:val="both"/>
        <w:rPr>
          <w:rFonts w:ascii="Times New Roman" w:hAnsi="Times New Roman"/>
          <w:sz w:val="24"/>
          <w:szCs w:val="24"/>
        </w:rPr>
      </w:pPr>
    </w:p>
    <w:p w:rsidR="00393535" w:rsidRDefault="00393535" w:rsidP="00DE437E">
      <w:pPr>
        <w:pStyle w:val="Bezriadkovania"/>
        <w:jc w:val="both"/>
        <w:rPr>
          <w:rFonts w:ascii="Times New Roman" w:hAnsi="Times New Roman"/>
          <w:noProof/>
          <w:sz w:val="24"/>
          <w:szCs w:val="24"/>
        </w:rPr>
      </w:pPr>
      <w:r w:rsidRPr="00393535">
        <w:rPr>
          <w:rFonts w:ascii="Times New Roman" w:hAnsi="Times New Roman"/>
          <w:noProof/>
          <w:sz w:val="24"/>
          <w:szCs w:val="24"/>
        </w:rPr>
        <w:t>Zmenou a doplnením článku 12.1 dohody sa odstraňujú obmedzenia prístupu ku kapitálu banky na bežné operácie a Rada riaditeľov EBOR je oprávnená stanoviť a zachovať limity kapitálu banky s prihliadnutím na ukazovatele kapitálovej primeranosti. Článok 12.1 dohody v platno</w:t>
      </w:r>
      <w:r>
        <w:rPr>
          <w:rFonts w:ascii="Times New Roman" w:hAnsi="Times New Roman"/>
          <w:noProof/>
          <w:sz w:val="24"/>
          <w:szCs w:val="24"/>
        </w:rPr>
        <w:t>m znení znie</w:t>
      </w:r>
      <w:r w:rsidRPr="00393535">
        <w:rPr>
          <w:rFonts w:ascii="Times New Roman" w:hAnsi="Times New Roman"/>
          <w:noProof/>
          <w:sz w:val="24"/>
          <w:szCs w:val="24"/>
        </w:rPr>
        <w:t>:</w:t>
      </w:r>
    </w:p>
    <w:p w:rsidR="00393535" w:rsidRDefault="00393535" w:rsidP="00DE437E">
      <w:pPr>
        <w:pStyle w:val="Bezriadkovania"/>
        <w:jc w:val="both"/>
        <w:rPr>
          <w:rFonts w:ascii="Times New Roman" w:hAnsi="Times New Roman"/>
          <w:noProof/>
          <w:sz w:val="24"/>
          <w:szCs w:val="24"/>
        </w:rPr>
      </w:pPr>
    </w:p>
    <w:p w:rsidR="003B4884" w:rsidRPr="00593D6B" w:rsidRDefault="003B4884" w:rsidP="00393535">
      <w:pPr>
        <w:pStyle w:val="Bezriadkovania"/>
        <w:ind w:left="426"/>
        <w:jc w:val="both"/>
        <w:rPr>
          <w:rFonts w:ascii="Times New Roman" w:hAnsi="Times New Roman"/>
          <w:i/>
          <w:noProof/>
          <w:sz w:val="24"/>
          <w:szCs w:val="24"/>
        </w:rPr>
      </w:pPr>
      <w:r w:rsidRPr="00593D6B">
        <w:rPr>
          <w:rFonts w:ascii="Times New Roman" w:hAnsi="Times New Roman"/>
          <w:i/>
          <w:noProof/>
          <w:sz w:val="24"/>
          <w:szCs w:val="24"/>
        </w:rPr>
        <w:t>„Celková výška nezaplatených pôžičiek, kapitálových vkladov a záruk poskytnutých bankou v rámci riadnych činností nesmie byť zvýšená, ak by v dôsledku toho došlo k prekročeniu celkovej výšky nedotknutého upísaného kapitálu a rezerv a prebytkov patriacich k riadnym kapitálovým zdrojom.“</w:t>
      </w:r>
    </w:p>
    <w:p w:rsidR="00D5071C" w:rsidRDefault="00D5071C" w:rsidP="00C6374A">
      <w:pPr>
        <w:pStyle w:val="Bezriadkovania"/>
        <w:jc w:val="both"/>
        <w:rPr>
          <w:rFonts w:ascii="Times New Roman" w:hAnsi="Times New Roman"/>
          <w:noProof/>
          <w:sz w:val="24"/>
          <w:szCs w:val="24"/>
        </w:rPr>
      </w:pPr>
    </w:p>
    <w:p w:rsidR="00393535" w:rsidRPr="00393535" w:rsidRDefault="00393535" w:rsidP="00393535">
      <w:pPr>
        <w:pStyle w:val="Bezriadkovania"/>
        <w:jc w:val="both"/>
        <w:rPr>
          <w:rFonts w:ascii="Times New Roman" w:hAnsi="Times New Roman"/>
          <w:noProof/>
          <w:sz w:val="24"/>
          <w:szCs w:val="24"/>
        </w:rPr>
      </w:pPr>
      <w:r w:rsidRPr="00393535">
        <w:rPr>
          <w:rFonts w:ascii="Times New Roman" w:hAnsi="Times New Roman"/>
          <w:noProof/>
          <w:sz w:val="24"/>
          <w:szCs w:val="24"/>
        </w:rPr>
        <w:t>Toto pôvodné znenie článku 12.1 sa od</w:t>
      </w:r>
      <w:r>
        <w:rPr>
          <w:rFonts w:ascii="Times New Roman" w:hAnsi="Times New Roman"/>
          <w:noProof/>
          <w:sz w:val="24"/>
          <w:szCs w:val="24"/>
        </w:rPr>
        <w:t>stráni a nahradí sa novým znením</w:t>
      </w:r>
      <w:r w:rsidRPr="00393535">
        <w:rPr>
          <w:rFonts w:ascii="Times New Roman" w:hAnsi="Times New Roman"/>
          <w:noProof/>
          <w:sz w:val="24"/>
          <w:szCs w:val="24"/>
        </w:rPr>
        <w:t xml:space="preserve">: </w:t>
      </w:r>
    </w:p>
    <w:p w:rsidR="00393535" w:rsidRPr="00393535" w:rsidRDefault="00393535" w:rsidP="00393535">
      <w:pPr>
        <w:pStyle w:val="Bezriadkovania"/>
        <w:jc w:val="both"/>
        <w:rPr>
          <w:rFonts w:ascii="Times New Roman" w:hAnsi="Times New Roman"/>
          <w:noProof/>
          <w:sz w:val="24"/>
          <w:szCs w:val="24"/>
        </w:rPr>
      </w:pPr>
    </w:p>
    <w:p w:rsidR="003B4884" w:rsidRPr="00593D6B" w:rsidRDefault="003B4884" w:rsidP="006C07CA">
      <w:pPr>
        <w:pStyle w:val="Bezriadkovania"/>
        <w:ind w:left="426"/>
        <w:jc w:val="both"/>
        <w:rPr>
          <w:rFonts w:ascii="Times New Roman" w:hAnsi="Times New Roman"/>
          <w:i/>
          <w:noProof/>
          <w:sz w:val="24"/>
          <w:szCs w:val="24"/>
        </w:rPr>
      </w:pPr>
      <w:r w:rsidRPr="00593D6B">
        <w:rPr>
          <w:rFonts w:ascii="Times New Roman" w:hAnsi="Times New Roman"/>
          <w:i/>
          <w:noProof/>
          <w:sz w:val="24"/>
          <w:szCs w:val="24"/>
        </w:rPr>
        <w:t>"Rada riaditeľov</w:t>
      </w:r>
      <w:r w:rsidR="00393535" w:rsidRPr="00593D6B">
        <w:rPr>
          <w:rFonts w:ascii="Times New Roman" w:hAnsi="Times New Roman"/>
          <w:i/>
          <w:noProof/>
          <w:sz w:val="24"/>
          <w:szCs w:val="24"/>
        </w:rPr>
        <w:t xml:space="preserve"> stanoví a udržiava primerané limity, pokiaľ ide o ukazovatele kapitálovej primeranosti, s cieľom chrániť finančné zdravie a udržateľnosť banky."</w:t>
      </w:r>
    </w:p>
    <w:p w:rsidR="00393535" w:rsidRPr="00393535" w:rsidRDefault="00393535" w:rsidP="00393535">
      <w:pPr>
        <w:pStyle w:val="Bezriadkovania"/>
        <w:jc w:val="both"/>
        <w:rPr>
          <w:rFonts w:ascii="Times New Roman" w:hAnsi="Times New Roman"/>
          <w:noProof/>
          <w:sz w:val="24"/>
          <w:szCs w:val="24"/>
        </w:rPr>
      </w:pPr>
    </w:p>
    <w:p w:rsidR="00393535" w:rsidRDefault="00393535" w:rsidP="00393535">
      <w:pPr>
        <w:pStyle w:val="Bezriadkovania"/>
        <w:jc w:val="both"/>
        <w:rPr>
          <w:rFonts w:ascii="Times New Roman" w:hAnsi="Times New Roman"/>
          <w:noProof/>
          <w:sz w:val="24"/>
          <w:szCs w:val="24"/>
        </w:rPr>
      </w:pPr>
      <w:r>
        <w:rPr>
          <w:rFonts w:ascii="Times New Roman" w:hAnsi="Times New Roman"/>
          <w:noProof/>
          <w:sz w:val="24"/>
          <w:szCs w:val="24"/>
        </w:rPr>
        <w:t>Rezolúcia</w:t>
      </w:r>
      <w:r w:rsidRPr="00393535">
        <w:rPr>
          <w:rFonts w:ascii="Times New Roman" w:hAnsi="Times New Roman"/>
          <w:noProof/>
          <w:sz w:val="24"/>
          <w:szCs w:val="24"/>
        </w:rPr>
        <w:t xml:space="preserve"> </w:t>
      </w:r>
      <w:r>
        <w:rPr>
          <w:rFonts w:ascii="Times New Roman" w:hAnsi="Times New Roman"/>
          <w:noProof/>
          <w:sz w:val="24"/>
          <w:szCs w:val="24"/>
        </w:rPr>
        <w:t xml:space="preserve">č. </w:t>
      </w:r>
      <w:r w:rsidRPr="00393535">
        <w:rPr>
          <w:rFonts w:ascii="Times New Roman" w:hAnsi="Times New Roman"/>
          <w:noProof/>
          <w:sz w:val="24"/>
          <w:szCs w:val="24"/>
        </w:rPr>
        <w:t>260</w:t>
      </w:r>
      <w:r w:rsidR="003B4884">
        <w:rPr>
          <w:rFonts w:ascii="Times New Roman" w:hAnsi="Times New Roman"/>
          <w:noProof/>
          <w:sz w:val="24"/>
          <w:szCs w:val="24"/>
        </w:rPr>
        <w:t xml:space="preserve"> o zmene článku 12.1 dohody bola prijatá</w:t>
      </w:r>
      <w:r w:rsidRPr="00393535">
        <w:rPr>
          <w:rFonts w:ascii="Times New Roman" w:hAnsi="Times New Roman"/>
          <w:noProof/>
          <w:sz w:val="24"/>
          <w:szCs w:val="24"/>
        </w:rPr>
        <w:t>, pričom proti bola Ruská federácia a Bielorusko sa zdržalo hlasovania.</w:t>
      </w:r>
    </w:p>
    <w:p w:rsidR="00DE57F4" w:rsidRDefault="00DE57F4" w:rsidP="001A1237">
      <w:pPr>
        <w:pStyle w:val="Bezriadkovania"/>
        <w:jc w:val="both"/>
        <w:rPr>
          <w:rFonts w:ascii="Times New Roman" w:hAnsi="Times New Roman"/>
          <w:sz w:val="24"/>
          <w:szCs w:val="24"/>
        </w:rPr>
      </w:pPr>
    </w:p>
    <w:p w:rsidR="006C07CA" w:rsidRDefault="00421FDF" w:rsidP="001A1237">
      <w:pPr>
        <w:pStyle w:val="Bezriadkovania"/>
        <w:jc w:val="both"/>
        <w:rPr>
          <w:rFonts w:ascii="Times New Roman" w:hAnsi="Times New Roman"/>
          <w:sz w:val="24"/>
          <w:szCs w:val="24"/>
        </w:rPr>
      </w:pPr>
      <w:r>
        <w:rPr>
          <w:rFonts w:ascii="Times New Roman" w:hAnsi="Times New Roman"/>
          <w:sz w:val="24"/>
          <w:szCs w:val="24"/>
        </w:rPr>
        <w:t>Po prijatí rezolúcií</w:t>
      </w:r>
      <w:r w:rsidRPr="00421FDF">
        <w:rPr>
          <w:rFonts w:ascii="Times New Roman" w:hAnsi="Times New Roman"/>
          <w:sz w:val="24"/>
          <w:szCs w:val="24"/>
        </w:rPr>
        <w:t xml:space="preserve"> Radou guvernérov boli akcionári EBOR vyzvaní, aby iniciovali právne kroky potrebné na prijatie zmien a doplnení dohody v súlade s ic</w:t>
      </w:r>
      <w:r w:rsidR="006C07CA">
        <w:rPr>
          <w:rFonts w:ascii="Times New Roman" w:hAnsi="Times New Roman"/>
          <w:sz w:val="24"/>
          <w:szCs w:val="24"/>
        </w:rPr>
        <w:t>h príslušnými právnymi predpismi</w:t>
      </w:r>
      <w:r>
        <w:rPr>
          <w:rFonts w:ascii="Times New Roman" w:hAnsi="Times New Roman"/>
          <w:sz w:val="24"/>
          <w:szCs w:val="24"/>
        </w:rPr>
        <w:t xml:space="preserve">. </w:t>
      </w:r>
      <w:r w:rsidRPr="00421FDF">
        <w:rPr>
          <w:rFonts w:ascii="Times New Roman" w:hAnsi="Times New Roman"/>
          <w:sz w:val="24"/>
          <w:szCs w:val="24"/>
        </w:rPr>
        <w:t>Nové znenie dohody nadobudne platnosť tri mesiace po tom, ako bude akcionárom EBOR oficiálne oznámené, že boli splnené podmienky na jeho prijatie podľa článku 56 dohody (t. j. po ratifikácii najmenej 3/4 členov vrátane najmenej dvoch krajín st</w:t>
      </w:r>
      <w:r>
        <w:rPr>
          <w:rFonts w:ascii="Times New Roman" w:hAnsi="Times New Roman"/>
          <w:sz w:val="24"/>
          <w:szCs w:val="24"/>
        </w:rPr>
        <w:t>rednej a východnej Európy, ktorí</w:t>
      </w:r>
      <w:r w:rsidRPr="00421FDF">
        <w:rPr>
          <w:rFonts w:ascii="Times New Roman" w:hAnsi="Times New Roman"/>
          <w:sz w:val="24"/>
          <w:szCs w:val="24"/>
        </w:rPr>
        <w:t xml:space="preserve"> zároveň disponujú najmenej 4/5 </w:t>
      </w:r>
      <w:r w:rsidR="006C07CA">
        <w:rPr>
          <w:rFonts w:ascii="Times New Roman" w:hAnsi="Times New Roman"/>
          <w:sz w:val="24"/>
          <w:szCs w:val="24"/>
        </w:rPr>
        <w:t xml:space="preserve">celkového počtu hlasov všetkých </w:t>
      </w:r>
      <w:r>
        <w:rPr>
          <w:rFonts w:ascii="Times New Roman" w:hAnsi="Times New Roman"/>
          <w:sz w:val="24"/>
          <w:szCs w:val="24"/>
        </w:rPr>
        <w:t>členov</w:t>
      </w:r>
      <w:r w:rsidRPr="00421FDF">
        <w:rPr>
          <w:rFonts w:ascii="Times New Roman" w:hAnsi="Times New Roman"/>
          <w:sz w:val="24"/>
          <w:szCs w:val="24"/>
        </w:rPr>
        <w:t>).</w:t>
      </w:r>
    </w:p>
    <w:p w:rsidR="003D01C4" w:rsidRDefault="003D01C4" w:rsidP="001A1237">
      <w:pPr>
        <w:pStyle w:val="Bezriadkovania"/>
        <w:jc w:val="both"/>
        <w:rPr>
          <w:rFonts w:ascii="Times New Roman" w:hAnsi="Times New Roman"/>
          <w:sz w:val="24"/>
          <w:szCs w:val="24"/>
        </w:rPr>
      </w:pPr>
    </w:p>
    <w:p w:rsidR="003D01C4" w:rsidRPr="00EF5335" w:rsidRDefault="003D01C4" w:rsidP="003D01C4">
      <w:pPr>
        <w:pStyle w:val="Normlnywebov"/>
        <w:spacing w:before="0" w:beforeAutospacing="0" w:after="0" w:afterAutospacing="0"/>
        <w:jc w:val="both"/>
      </w:pPr>
      <w:r w:rsidRPr="00C45335">
        <w:t>Slovenská republika po rozdelení ČSFR požiadala o členstvo a zároveň potvrdila Listinou o prijatí zo dňa 26. januára 1993, že „prijíma členstvo v EBOR na základe podmienok stanovených v rezolúcii Rady guvernérov EBOR č. 33 z 15. januára 1993 a že prijíma vo vzťahu k svojmu zákonu Dohodu o založení Európskej banky pre obnovu a rozvoj“.</w:t>
      </w:r>
      <w:r w:rsidRPr="00EF5335">
        <w:t xml:space="preserve"> </w:t>
      </w:r>
      <w:r w:rsidR="00963BDB">
        <w:t xml:space="preserve">Dohoda je </w:t>
      </w:r>
      <w:r w:rsidR="00C45335">
        <w:t xml:space="preserve">mnohostrannou </w:t>
      </w:r>
      <w:r w:rsidR="00963BDB">
        <w:t xml:space="preserve">medzinárodnou zmluvou podľa </w:t>
      </w:r>
      <w:r w:rsidRPr="00963BDB">
        <w:t>čl</w:t>
      </w:r>
      <w:r w:rsidR="00963BDB" w:rsidRPr="00963BDB">
        <w:t>ánku</w:t>
      </w:r>
      <w:r w:rsidRPr="00963BDB">
        <w:t xml:space="preserve"> 7 ods. 4</w:t>
      </w:r>
      <w:r w:rsidRPr="00EF5335">
        <w:t xml:space="preserve"> Ús</w:t>
      </w:r>
      <w:r w:rsidR="00963BDB">
        <w:t>tavy Slovenskej republiky</w:t>
      </w:r>
      <w:r w:rsidRPr="00EF5335">
        <w:t xml:space="preserve">, z ktorej vzniká Slovenskej republike členstvo </w:t>
      </w:r>
      <w:r w:rsidR="00C45335">
        <w:t>v medzinárodných organizáciách a preto podlieha pred jej ratifikáciou súhlasu Národnej rady Slovenskej republiky. Zároveň je dohoda medzinárodnou zmluvou podľa článku 7 ods. 5 Ústavy Slovenskej republiky</w:t>
      </w:r>
      <w:r w:rsidR="002E7E24" w:rsidRPr="002E7E24">
        <w:rPr>
          <w:rStyle w:val="Nadpis6Char"/>
          <w:color w:val="000000"/>
        </w:rPr>
        <w:t xml:space="preserve"> </w:t>
      </w:r>
      <w:r w:rsidR="002E7E24" w:rsidRPr="0070080E">
        <w:rPr>
          <w:rStyle w:val="Zstupntext"/>
          <w:rFonts w:eastAsiaTheme="minorEastAsia"/>
          <w:color w:val="000000"/>
        </w:rPr>
        <w:t xml:space="preserve">na </w:t>
      </w:r>
      <w:r w:rsidR="002E7E24">
        <w:rPr>
          <w:rStyle w:val="Zstupntext"/>
          <w:rFonts w:eastAsiaTheme="minorEastAsia"/>
          <w:color w:val="000000"/>
        </w:rPr>
        <w:t xml:space="preserve">vykonanie </w:t>
      </w:r>
      <w:r w:rsidR="002E7E24" w:rsidRPr="0070080E">
        <w:rPr>
          <w:rStyle w:val="Zstupntext"/>
          <w:rFonts w:eastAsiaTheme="minorEastAsia"/>
          <w:color w:val="000000"/>
        </w:rPr>
        <w:t>ktor</w:t>
      </w:r>
      <w:r w:rsidR="002E7E24">
        <w:rPr>
          <w:rStyle w:val="Zstupntext"/>
          <w:rFonts w:eastAsiaTheme="minorEastAsia"/>
          <w:color w:val="000000"/>
        </w:rPr>
        <w:t>ej</w:t>
      </w:r>
      <w:r w:rsidR="002E7E24" w:rsidRPr="0070080E">
        <w:rPr>
          <w:rStyle w:val="Zstupntext"/>
          <w:rFonts w:eastAsiaTheme="minorEastAsia"/>
          <w:color w:val="000000"/>
        </w:rPr>
        <w:t xml:space="preserve"> nie je potrebný zákon</w:t>
      </w:r>
      <w:r w:rsidR="00C45335">
        <w:t xml:space="preserve">, ktorá po ratifikácii a vyhlásení spôsobom ustanoveným zákonom, má prednosť pre zákonmi Slovenskej republiky. </w:t>
      </w:r>
    </w:p>
    <w:p w:rsidR="003F43E2" w:rsidRDefault="003F43E2" w:rsidP="00C45335">
      <w:pPr>
        <w:pStyle w:val="Normlnywebov"/>
        <w:spacing w:before="0" w:beforeAutospacing="0" w:after="0" w:afterAutospacing="0"/>
        <w:jc w:val="both"/>
        <w:rPr>
          <w:color w:val="000000"/>
        </w:rPr>
      </w:pPr>
    </w:p>
    <w:p w:rsidR="00C45335" w:rsidRDefault="00C45335" w:rsidP="00C45335">
      <w:pPr>
        <w:pStyle w:val="Normlnywebov"/>
        <w:spacing w:before="0" w:beforeAutospacing="0" w:after="0" w:afterAutospacing="0"/>
        <w:jc w:val="both"/>
        <w:rPr>
          <w:color w:val="000000"/>
        </w:rPr>
      </w:pPr>
      <w:r w:rsidRPr="003F43E2">
        <w:rPr>
          <w:color w:val="000000"/>
        </w:rPr>
        <w:t>Zmeny dohody sú v súlade so zahraničnými záujmami Slovenskej republiky, ako aj záväzkami Slovenskej republiky</w:t>
      </w:r>
      <w:r w:rsidR="003F43E2" w:rsidRPr="003F43E2">
        <w:rPr>
          <w:color w:val="000000"/>
        </w:rPr>
        <w:t xml:space="preserve"> vyplývajúcimi jej z iných medzinárodných dokumentov.</w:t>
      </w:r>
      <w:r w:rsidR="00003CA5">
        <w:rPr>
          <w:color w:val="000000"/>
        </w:rPr>
        <w:t xml:space="preserve"> Návrh na uzavretie dohody bol predmetom medzirezortného pripomienkového konania a rokovania Legislatívnej rady vlády SR. </w:t>
      </w:r>
      <w:r w:rsidR="0052778F" w:rsidRPr="0052778F">
        <w:rPr>
          <w:color w:val="000000"/>
        </w:rPr>
        <w:t>Uznesením č. 22 z 18. januára 2024 vláda SR súhlasila s ratifikáciou zmeny článku 1 a 12.1 Dohody o založení Európskej banky pre obnovu a rozvoj.</w:t>
      </w:r>
      <w:r w:rsidRPr="00EF5335">
        <w:rPr>
          <w:color w:val="000000"/>
        </w:rPr>
        <w:t xml:space="preserve"> </w:t>
      </w:r>
    </w:p>
    <w:p w:rsidR="003F43E2" w:rsidRDefault="003F43E2" w:rsidP="00C45335">
      <w:pPr>
        <w:pStyle w:val="Normlnywebov"/>
        <w:spacing w:before="0" w:beforeAutospacing="0" w:after="0" w:afterAutospacing="0"/>
        <w:jc w:val="both"/>
        <w:rPr>
          <w:color w:val="000000"/>
        </w:rPr>
      </w:pPr>
    </w:p>
    <w:p w:rsidR="003F43E2" w:rsidRDefault="003F43E2" w:rsidP="003F43E2">
      <w:pPr>
        <w:pStyle w:val="Normlnywebov"/>
        <w:spacing w:before="0" w:beforeAutospacing="0" w:after="0" w:afterAutospacing="0"/>
        <w:jc w:val="both"/>
        <w:rPr>
          <w:color w:val="000000"/>
        </w:rPr>
      </w:pPr>
      <w:r w:rsidRPr="006C07CA">
        <w:rPr>
          <w:color w:val="000000"/>
        </w:rPr>
        <w:t>Vnútroštátny schvaľovací proces bude v Slovenskej republike zavŕšený ratifikáciou tzv. vyhlásením o</w:t>
      </w:r>
      <w:r w:rsidR="006C07CA" w:rsidRPr="006C07CA">
        <w:rPr>
          <w:color w:val="000000"/>
        </w:rPr>
        <w:t> </w:t>
      </w:r>
      <w:r w:rsidRPr="006C07CA">
        <w:rPr>
          <w:color w:val="000000"/>
        </w:rPr>
        <w:t>prijatí</w:t>
      </w:r>
      <w:r w:rsidR="006C07CA" w:rsidRPr="006C07CA">
        <w:rPr>
          <w:color w:val="000000"/>
        </w:rPr>
        <w:t xml:space="preserve"> (angl. </w:t>
      </w:r>
      <w:r w:rsidR="006C07CA" w:rsidRPr="006C07CA">
        <w:rPr>
          <w:color w:val="000000"/>
          <w:lang w:val="en-GB"/>
        </w:rPr>
        <w:t>Declaration of Acceptance</w:t>
      </w:r>
      <w:r w:rsidR="006C07CA" w:rsidRPr="006C07CA">
        <w:rPr>
          <w:color w:val="000000"/>
        </w:rPr>
        <w:t>)</w:t>
      </w:r>
      <w:r w:rsidRPr="006C07CA">
        <w:rPr>
          <w:color w:val="000000"/>
        </w:rPr>
        <w:t xml:space="preserve"> zo strany prezidentky Slovenskej republiky. Ratifikačná listina (vyhlásenie o prijatí) bude uložená u depozitára, ktorým je EBOR. Po skončení ratifikačného procesu budú zmeny Dohody o založení EBOR vyhlásené v Zbierke zákonov Slovenskej republiky.</w:t>
      </w:r>
      <w:r>
        <w:rPr>
          <w:color w:val="000000"/>
        </w:rPr>
        <w:t xml:space="preserve"> </w:t>
      </w:r>
    </w:p>
    <w:p w:rsidR="006C07CA" w:rsidRDefault="006C07CA" w:rsidP="00532F95">
      <w:pPr>
        <w:pStyle w:val="Default"/>
        <w:jc w:val="both"/>
      </w:pPr>
    </w:p>
    <w:p w:rsidR="00532F95" w:rsidRPr="00532F95" w:rsidRDefault="00532F95" w:rsidP="00532F95">
      <w:pPr>
        <w:pStyle w:val="Default"/>
        <w:jc w:val="both"/>
      </w:pPr>
      <w:r w:rsidRPr="00532F95">
        <w:t xml:space="preserve">Predkladaný materiál nemá vplyv na rozpočet verejnej správy, sociálne vplyvy, vplyvy na podnikateľské prostredie, vplyvy na služby verejnej správy pre občana, stav životného prostredia ani na informatizáciu spoločnosti. Materiál nemá vplyv na manželstvo, rodičovstvo a rodinu. </w:t>
      </w:r>
    </w:p>
    <w:p w:rsidR="00532F95" w:rsidRDefault="00532F95" w:rsidP="003F43E2">
      <w:pPr>
        <w:pStyle w:val="Normlnywebov"/>
        <w:spacing w:before="0" w:beforeAutospacing="0" w:after="0" w:afterAutospacing="0"/>
        <w:jc w:val="both"/>
        <w:rPr>
          <w:color w:val="000000"/>
        </w:rPr>
      </w:pPr>
    </w:p>
    <w:p w:rsidR="00B122F9" w:rsidRDefault="00532F95" w:rsidP="00B122F9">
      <w:pPr>
        <w:pStyle w:val="Normlnywebov"/>
        <w:spacing w:before="0" w:beforeAutospacing="0" w:after="0" w:afterAutospacing="0"/>
        <w:jc w:val="both"/>
        <w:rPr>
          <w:color w:val="000000"/>
        </w:rPr>
      </w:pPr>
      <w:r>
        <w:rPr>
          <w:color w:val="000000"/>
        </w:rPr>
        <w:lastRenderedPageBreak/>
        <w:t>Zmeny dohody nie sú</w:t>
      </w:r>
      <w:r w:rsidRPr="00532F95">
        <w:rPr>
          <w:color w:val="000000"/>
        </w:rPr>
        <w:t xml:space="preserve"> v rozpore s právom Európskej únie, inými medzinárodnými záväzkam</w:t>
      </w:r>
      <w:r>
        <w:rPr>
          <w:color w:val="000000"/>
        </w:rPr>
        <w:t>i ani vnútroštátnym právom Slovenske</w:t>
      </w:r>
      <w:r w:rsidR="00B122F9">
        <w:rPr>
          <w:color w:val="000000"/>
        </w:rPr>
        <w:t xml:space="preserve">j republiky, nezmení sa postavenie Slovenskej republiky v EBOR a </w:t>
      </w:r>
      <w:r w:rsidR="00B122F9" w:rsidRPr="003F43E2">
        <w:rPr>
          <w:color w:val="000000"/>
        </w:rPr>
        <w:t xml:space="preserve">neovplyvní </w:t>
      </w:r>
      <w:r w:rsidR="00B122F9">
        <w:rPr>
          <w:color w:val="000000"/>
        </w:rPr>
        <w:t xml:space="preserve">sa </w:t>
      </w:r>
      <w:r w:rsidR="00B122F9" w:rsidRPr="003F43E2">
        <w:rPr>
          <w:color w:val="000000"/>
        </w:rPr>
        <w:t>možnosť využívať finančné z</w:t>
      </w:r>
      <w:r w:rsidR="00B122F9">
        <w:rPr>
          <w:color w:val="000000"/>
        </w:rPr>
        <w:t>droje EBOR pre subjekty v Slovenskej</w:t>
      </w:r>
      <w:r w:rsidR="00B122F9" w:rsidRPr="003F43E2">
        <w:rPr>
          <w:color w:val="000000"/>
        </w:rPr>
        <w:t xml:space="preserve"> republike.</w:t>
      </w:r>
    </w:p>
    <w:p w:rsidR="00B122F9" w:rsidRDefault="00B122F9" w:rsidP="00B122F9">
      <w:pPr>
        <w:pStyle w:val="Normlnywebov"/>
        <w:spacing w:before="0" w:beforeAutospacing="0" w:after="0" w:afterAutospacing="0"/>
        <w:jc w:val="both"/>
        <w:rPr>
          <w:color w:val="000000"/>
        </w:rPr>
      </w:pPr>
    </w:p>
    <w:sectPr w:rsidR="00B122F9" w:rsidSect="006C07CA">
      <w:headerReference w:type="even" r:id="rId9"/>
      <w:headerReference w:type="default" r:id="rId10"/>
      <w:footerReference w:type="even" r:id="rId11"/>
      <w:footerReference w:type="default" r:id="rId12"/>
      <w:headerReference w:type="first" r:id="rId13"/>
      <w:footerReference w:type="first" r:id="rId14"/>
      <w:pgSz w:w="11906" w:h="16838"/>
      <w:pgMar w:top="993" w:right="1134" w:bottom="1135"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455F" w:rsidRDefault="0037455F">
      <w:r>
        <w:separator/>
      </w:r>
    </w:p>
  </w:endnote>
  <w:endnote w:type="continuationSeparator" w:id="0">
    <w:p w:rsidR="0037455F" w:rsidRDefault="003745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581" w:rsidRDefault="008F158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2D6" w:rsidRPr="00EF5335" w:rsidRDefault="008642D6" w:rsidP="003E77AB">
    <w:pPr>
      <w:pStyle w:val="Pta"/>
      <w:framePr w:wrap="auto" w:vAnchor="text" w:hAnchor="page" w:x="11011" w:y="-42"/>
      <w:rPr>
        <w:rStyle w:val="slostrany"/>
        <w:sz w:val="22"/>
        <w:szCs w:val="22"/>
      </w:rPr>
    </w:pPr>
    <w:r w:rsidRPr="00EF5335">
      <w:rPr>
        <w:rStyle w:val="slostrany"/>
        <w:sz w:val="22"/>
        <w:szCs w:val="22"/>
      </w:rPr>
      <w:fldChar w:fldCharType="begin"/>
    </w:r>
    <w:r w:rsidRPr="00EF5335">
      <w:rPr>
        <w:rStyle w:val="slostrany"/>
        <w:sz w:val="22"/>
        <w:szCs w:val="22"/>
      </w:rPr>
      <w:instrText xml:space="preserve">PAGE  </w:instrText>
    </w:r>
    <w:r w:rsidRPr="00EF5335">
      <w:rPr>
        <w:rStyle w:val="slostrany"/>
        <w:sz w:val="22"/>
        <w:szCs w:val="22"/>
      </w:rPr>
      <w:fldChar w:fldCharType="separate"/>
    </w:r>
    <w:r w:rsidR="008E36B6">
      <w:rPr>
        <w:rStyle w:val="slostrany"/>
        <w:noProof/>
        <w:sz w:val="22"/>
        <w:szCs w:val="22"/>
      </w:rPr>
      <w:t>3</w:t>
    </w:r>
    <w:r w:rsidRPr="00EF5335">
      <w:rPr>
        <w:rStyle w:val="slostrany"/>
        <w:sz w:val="22"/>
        <w:szCs w:val="22"/>
      </w:rPr>
      <w:fldChar w:fldCharType="end"/>
    </w:r>
  </w:p>
  <w:p w:rsidR="008642D6" w:rsidRDefault="008642D6" w:rsidP="008642D6">
    <w:pPr>
      <w:pStyle w:val="Pta"/>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581" w:rsidRDefault="008F158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455F" w:rsidRDefault="0037455F">
      <w:r>
        <w:separator/>
      </w:r>
    </w:p>
  </w:footnote>
  <w:footnote w:type="continuationSeparator" w:id="0">
    <w:p w:rsidR="0037455F" w:rsidRDefault="0037455F">
      <w:r>
        <w:continuationSeparator/>
      </w:r>
    </w:p>
  </w:footnote>
  <w:footnote w:id="1">
    <w:p w:rsidR="00F167D1" w:rsidRDefault="006D5879" w:rsidP="006D5879">
      <w:pPr>
        <w:tabs>
          <w:tab w:val="left" w:pos="142"/>
        </w:tabs>
        <w:ind w:left="142" w:hanging="142"/>
        <w:jc w:val="both"/>
      </w:pPr>
      <w:r>
        <w:rPr>
          <w:rStyle w:val="Odkaznapoznmkupodiarou"/>
        </w:rPr>
        <w:footnoteRef/>
      </w:r>
      <w:r>
        <w:t xml:space="preserve"> </w:t>
      </w:r>
      <w:r w:rsidRPr="00EF5335">
        <w:rPr>
          <w:sz w:val="20"/>
          <w:szCs w:val="20"/>
        </w:rPr>
        <w:t xml:space="preserve">Guvernérom EBOR za Slovenskú republiku </w:t>
      </w:r>
      <w:r>
        <w:rPr>
          <w:sz w:val="20"/>
          <w:szCs w:val="20"/>
        </w:rPr>
        <w:t>bol v</w:t>
      </w:r>
      <w:r w:rsidR="00196530">
        <w:rPr>
          <w:sz w:val="20"/>
          <w:szCs w:val="20"/>
        </w:rPr>
        <w:t> </w:t>
      </w:r>
      <w:r>
        <w:rPr>
          <w:sz w:val="20"/>
          <w:szCs w:val="20"/>
        </w:rPr>
        <w:t>čase</w:t>
      </w:r>
      <w:r w:rsidR="00196530">
        <w:rPr>
          <w:sz w:val="20"/>
          <w:szCs w:val="20"/>
        </w:rPr>
        <w:t xml:space="preserve"> schvaľovania rezolúcii č. </w:t>
      </w:r>
      <w:r w:rsidR="00AE6EFD">
        <w:rPr>
          <w:sz w:val="20"/>
          <w:szCs w:val="20"/>
        </w:rPr>
        <w:t xml:space="preserve">259 </w:t>
      </w:r>
      <w:r w:rsidR="00196530">
        <w:rPr>
          <w:sz w:val="20"/>
          <w:szCs w:val="20"/>
        </w:rPr>
        <w:t xml:space="preserve">a </w:t>
      </w:r>
      <w:r w:rsidR="00AE6EFD">
        <w:rPr>
          <w:sz w:val="20"/>
          <w:szCs w:val="20"/>
        </w:rPr>
        <w:t>260</w:t>
      </w:r>
      <w:r w:rsidR="00AE6EFD" w:rsidRPr="00EF5335">
        <w:rPr>
          <w:sz w:val="20"/>
          <w:szCs w:val="20"/>
        </w:rPr>
        <w:t xml:space="preserve"> </w:t>
      </w:r>
      <w:r w:rsidR="00196530" w:rsidRPr="00523BE2">
        <w:rPr>
          <w:sz w:val="20"/>
          <w:szCs w:val="20"/>
        </w:rPr>
        <w:t>predseda vlády poverený riadením Ministerstva financií SR Eduard Heger</w:t>
      </w:r>
      <w:r w:rsidR="00196530">
        <w:rPr>
          <w:sz w:val="20"/>
          <w:szCs w:val="20"/>
        </w:rPr>
        <w:t xml:space="preserve"> (na základe </w:t>
      </w:r>
      <w:r w:rsidR="00906CE0">
        <w:rPr>
          <w:sz w:val="20"/>
          <w:szCs w:val="20"/>
        </w:rPr>
        <w:t xml:space="preserve">uznesenia </w:t>
      </w:r>
      <w:r w:rsidRPr="00EF5335">
        <w:rPr>
          <w:sz w:val="20"/>
          <w:szCs w:val="20"/>
        </w:rPr>
        <w:t xml:space="preserve">vlády </w:t>
      </w:r>
      <w:r w:rsidR="00523BE2">
        <w:rPr>
          <w:sz w:val="20"/>
          <w:szCs w:val="20"/>
        </w:rPr>
        <w:t>SR č. 31 z 25. januára</w:t>
      </w:r>
      <w:r w:rsidR="00523BE2" w:rsidRPr="00523BE2">
        <w:rPr>
          <w:sz w:val="20"/>
          <w:szCs w:val="20"/>
        </w:rPr>
        <w:t xml:space="preserve"> 20</w:t>
      </w:r>
      <w:r w:rsidR="00523BE2">
        <w:rPr>
          <w:sz w:val="20"/>
          <w:szCs w:val="20"/>
        </w:rPr>
        <w:t>23</w:t>
      </w:r>
      <w:r w:rsidR="00196530">
        <w:rPr>
          <w:sz w:val="20"/>
          <w:szCs w:val="20"/>
        </w:rPr>
        <w:t>)</w:t>
      </w:r>
      <w:r w:rsidRPr="00523BE2">
        <w:rPr>
          <w:sz w:val="20"/>
          <w:szCs w:val="20"/>
        </w:rPr>
        <w:t xml:space="preserve">. </w:t>
      </w:r>
      <w:r w:rsidR="00196530">
        <w:rPr>
          <w:sz w:val="20"/>
          <w:szCs w:val="20"/>
        </w:rPr>
        <w:t xml:space="preserve">V súčasnosti je </w:t>
      </w:r>
      <w:r w:rsidR="00196530" w:rsidRPr="00523BE2">
        <w:rPr>
          <w:sz w:val="20"/>
          <w:szCs w:val="20"/>
        </w:rPr>
        <w:t xml:space="preserve">guvernérom EBOR za Slovenskú republiku minister financií SR </w:t>
      </w:r>
      <w:r w:rsidR="00003CA5" w:rsidRPr="00003CA5">
        <w:rPr>
          <w:sz w:val="20"/>
          <w:szCs w:val="20"/>
        </w:rPr>
        <w:t xml:space="preserve">Ladislav Kamenický </w:t>
      </w:r>
      <w:r w:rsidR="00196530">
        <w:rPr>
          <w:sz w:val="20"/>
          <w:szCs w:val="20"/>
        </w:rPr>
        <w:t>(n</w:t>
      </w:r>
      <w:r w:rsidRPr="00523BE2">
        <w:rPr>
          <w:sz w:val="20"/>
          <w:szCs w:val="20"/>
        </w:rPr>
        <w:t>a z</w:t>
      </w:r>
      <w:r w:rsidR="00523BE2" w:rsidRPr="00523BE2">
        <w:rPr>
          <w:sz w:val="20"/>
          <w:szCs w:val="20"/>
        </w:rPr>
        <w:t xml:space="preserve">áklade uznesenia vlády SR č. </w:t>
      </w:r>
      <w:r w:rsidR="00003CA5">
        <w:rPr>
          <w:sz w:val="20"/>
          <w:szCs w:val="20"/>
        </w:rPr>
        <w:t>621</w:t>
      </w:r>
      <w:r w:rsidRPr="00523BE2">
        <w:rPr>
          <w:sz w:val="20"/>
          <w:szCs w:val="20"/>
        </w:rPr>
        <w:t xml:space="preserve"> z</w:t>
      </w:r>
      <w:r w:rsidR="00196530">
        <w:rPr>
          <w:sz w:val="20"/>
          <w:szCs w:val="20"/>
        </w:rPr>
        <w:t>o</w:t>
      </w:r>
      <w:r w:rsidR="00523BE2" w:rsidRPr="00523BE2">
        <w:rPr>
          <w:sz w:val="20"/>
          <w:szCs w:val="20"/>
        </w:rPr>
        <w:t> </w:t>
      </w:r>
      <w:r w:rsidR="00003CA5">
        <w:rPr>
          <w:sz w:val="20"/>
          <w:szCs w:val="20"/>
        </w:rPr>
        <w:t>20</w:t>
      </w:r>
      <w:r w:rsidR="00523BE2" w:rsidRPr="00523BE2">
        <w:rPr>
          <w:sz w:val="20"/>
          <w:szCs w:val="20"/>
        </w:rPr>
        <w:t xml:space="preserve">. </w:t>
      </w:r>
      <w:r w:rsidR="00003CA5">
        <w:rPr>
          <w:sz w:val="20"/>
          <w:szCs w:val="20"/>
        </w:rPr>
        <w:t>novembra</w:t>
      </w:r>
      <w:r w:rsidR="00523BE2" w:rsidRPr="00523BE2">
        <w:rPr>
          <w:sz w:val="20"/>
          <w:szCs w:val="20"/>
        </w:rPr>
        <w:t xml:space="preserve"> 2023</w:t>
      </w:r>
      <w:r w:rsidR="00196530">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581" w:rsidRDefault="008F158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581" w:rsidRDefault="008F1581">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1581" w:rsidRDefault="008F158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4F2EC2"/>
    <w:multiLevelType w:val="hybridMultilevel"/>
    <w:tmpl w:val="111A7A6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15:restartNumberingAfterBreak="0">
    <w:nsid w:val="35EC6531"/>
    <w:multiLevelType w:val="hybridMultilevel"/>
    <w:tmpl w:val="0FB2847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 w15:restartNumberingAfterBreak="0">
    <w:nsid w:val="55C111BD"/>
    <w:multiLevelType w:val="hybridMultilevel"/>
    <w:tmpl w:val="3834A9C8"/>
    <w:lvl w:ilvl="0" w:tplc="041B000F">
      <w:start w:val="1"/>
      <w:numFmt w:val="decimal"/>
      <w:lvlText w:val="%1."/>
      <w:lvlJc w:val="left"/>
      <w:pPr>
        <w:ind w:left="786"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 w15:restartNumberingAfterBreak="0">
    <w:nsid w:val="5FB32585"/>
    <w:multiLevelType w:val="hybridMultilevel"/>
    <w:tmpl w:val="03A8BB42"/>
    <w:lvl w:ilvl="0" w:tplc="A95CCA6A">
      <w:start w:val="2"/>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628552F9"/>
    <w:multiLevelType w:val="hybridMultilevel"/>
    <w:tmpl w:val="D324C3DE"/>
    <w:lvl w:ilvl="0" w:tplc="86945C12">
      <w:start w:val="1"/>
      <w:numFmt w:val="bullet"/>
      <w:lvlText w:val=""/>
      <w:lvlJc w:val="left"/>
      <w:pPr>
        <w:tabs>
          <w:tab w:val="num" w:pos="454"/>
        </w:tabs>
        <w:ind w:left="454" w:hanging="397"/>
      </w:pPr>
      <w:rPr>
        <w:rFonts w:ascii="Wingdings" w:hAnsi="Wingdings"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5" w15:restartNumberingAfterBreak="0">
    <w:nsid w:val="632670CF"/>
    <w:multiLevelType w:val="hybridMultilevel"/>
    <w:tmpl w:val="29D8C5A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39C4"/>
    <w:rsid w:val="00003CA5"/>
    <w:rsid w:val="00010602"/>
    <w:rsid w:val="0001674D"/>
    <w:rsid w:val="0002004B"/>
    <w:rsid w:val="00024487"/>
    <w:rsid w:val="00043E7A"/>
    <w:rsid w:val="0004403B"/>
    <w:rsid w:val="00044DF0"/>
    <w:rsid w:val="000540FD"/>
    <w:rsid w:val="00061057"/>
    <w:rsid w:val="00063C4A"/>
    <w:rsid w:val="00065C2F"/>
    <w:rsid w:val="000822C0"/>
    <w:rsid w:val="00082D58"/>
    <w:rsid w:val="00091A0F"/>
    <w:rsid w:val="000A5769"/>
    <w:rsid w:val="000B046A"/>
    <w:rsid w:val="000B787C"/>
    <w:rsid w:val="000B79A0"/>
    <w:rsid w:val="000C45FE"/>
    <w:rsid w:val="000D2724"/>
    <w:rsid w:val="000D4381"/>
    <w:rsid w:val="000D5D68"/>
    <w:rsid w:val="000D60A3"/>
    <w:rsid w:val="000E3132"/>
    <w:rsid w:val="000E39C4"/>
    <w:rsid w:val="000E6932"/>
    <w:rsid w:val="001004B8"/>
    <w:rsid w:val="00107933"/>
    <w:rsid w:val="00120FCA"/>
    <w:rsid w:val="00131189"/>
    <w:rsid w:val="00140393"/>
    <w:rsid w:val="00142512"/>
    <w:rsid w:val="00147F05"/>
    <w:rsid w:val="00155303"/>
    <w:rsid w:val="001728A3"/>
    <w:rsid w:val="00182A3C"/>
    <w:rsid w:val="00196530"/>
    <w:rsid w:val="001A07FF"/>
    <w:rsid w:val="001A1237"/>
    <w:rsid w:val="001A7CD9"/>
    <w:rsid w:val="001C419C"/>
    <w:rsid w:val="001C658C"/>
    <w:rsid w:val="001D0F3A"/>
    <w:rsid w:val="001E32C9"/>
    <w:rsid w:val="001F43B4"/>
    <w:rsid w:val="002347F4"/>
    <w:rsid w:val="002376F5"/>
    <w:rsid w:val="00246867"/>
    <w:rsid w:val="00246D44"/>
    <w:rsid w:val="002477A2"/>
    <w:rsid w:val="00257963"/>
    <w:rsid w:val="002604B5"/>
    <w:rsid w:val="0026091C"/>
    <w:rsid w:val="00263373"/>
    <w:rsid w:val="00265C59"/>
    <w:rsid w:val="002764C9"/>
    <w:rsid w:val="002772C5"/>
    <w:rsid w:val="00287877"/>
    <w:rsid w:val="00295C18"/>
    <w:rsid w:val="002B3EE9"/>
    <w:rsid w:val="002C4391"/>
    <w:rsid w:val="002C7670"/>
    <w:rsid w:val="002D4810"/>
    <w:rsid w:val="002E2983"/>
    <w:rsid w:val="002E2A7A"/>
    <w:rsid w:val="002E7E24"/>
    <w:rsid w:val="00305472"/>
    <w:rsid w:val="00336AE2"/>
    <w:rsid w:val="0033726C"/>
    <w:rsid w:val="00340530"/>
    <w:rsid w:val="00350FE7"/>
    <w:rsid w:val="00362744"/>
    <w:rsid w:val="0037186E"/>
    <w:rsid w:val="0037455F"/>
    <w:rsid w:val="003745CD"/>
    <w:rsid w:val="00385DCA"/>
    <w:rsid w:val="003906F7"/>
    <w:rsid w:val="00390D44"/>
    <w:rsid w:val="00392E84"/>
    <w:rsid w:val="00392FB6"/>
    <w:rsid w:val="00393535"/>
    <w:rsid w:val="00393AD7"/>
    <w:rsid w:val="003A112A"/>
    <w:rsid w:val="003B4884"/>
    <w:rsid w:val="003D01C4"/>
    <w:rsid w:val="003E3126"/>
    <w:rsid w:val="003E32AC"/>
    <w:rsid w:val="003E77AB"/>
    <w:rsid w:val="003F18AB"/>
    <w:rsid w:val="003F2654"/>
    <w:rsid w:val="003F3441"/>
    <w:rsid w:val="003F43E2"/>
    <w:rsid w:val="003F770D"/>
    <w:rsid w:val="0040773E"/>
    <w:rsid w:val="0041678B"/>
    <w:rsid w:val="00421FDF"/>
    <w:rsid w:val="004230F3"/>
    <w:rsid w:val="0043081E"/>
    <w:rsid w:val="00430927"/>
    <w:rsid w:val="00470DD1"/>
    <w:rsid w:val="00475427"/>
    <w:rsid w:val="00492DCB"/>
    <w:rsid w:val="004A6F18"/>
    <w:rsid w:val="004B3114"/>
    <w:rsid w:val="004C7851"/>
    <w:rsid w:val="004E0B97"/>
    <w:rsid w:val="004E75FC"/>
    <w:rsid w:val="00505D7B"/>
    <w:rsid w:val="005114A8"/>
    <w:rsid w:val="00517F59"/>
    <w:rsid w:val="005204AA"/>
    <w:rsid w:val="00523BE2"/>
    <w:rsid w:val="0052778F"/>
    <w:rsid w:val="00532F95"/>
    <w:rsid w:val="005527A7"/>
    <w:rsid w:val="00562F28"/>
    <w:rsid w:val="005656E7"/>
    <w:rsid w:val="00566D85"/>
    <w:rsid w:val="00574506"/>
    <w:rsid w:val="005850D7"/>
    <w:rsid w:val="005921B3"/>
    <w:rsid w:val="00593D6B"/>
    <w:rsid w:val="00594185"/>
    <w:rsid w:val="005A0BD0"/>
    <w:rsid w:val="005A6B46"/>
    <w:rsid w:val="005A7E7B"/>
    <w:rsid w:val="005C2696"/>
    <w:rsid w:val="005D7F07"/>
    <w:rsid w:val="005E2EE9"/>
    <w:rsid w:val="005E7DF2"/>
    <w:rsid w:val="005F4270"/>
    <w:rsid w:val="005F6EDD"/>
    <w:rsid w:val="005F6F44"/>
    <w:rsid w:val="005F7423"/>
    <w:rsid w:val="006223E0"/>
    <w:rsid w:val="00635769"/>
    <w:rsid w:val="00640663"/>
    <w:rsid w:val="00645C75"/>
    <w:rsid w:val="00652310"/>
    <w:rsid w:val="006653CC"/>
    <w:rsid w:val="006C07CA"/>
    <w:rsid w:val="006C2BAA"/>
    <w:rsid w:val="006C7701"/>
    <w:rsid w:val="006D0DF5"/>
    <w:rsid w:val="006D5879"/>
    <w:rsid w:val="00740F53"/>
    <w:rsid w:val="00741997"/>
    <w:rsid w:val="00744364"/>
    <w:rsid w:val="00744F0C"/>
    <w:rsid w:val="00751454"/>
    <w:rsid w:val="007514C1"/>
    <w:rsid w:val="0076317B"/>
    <w:rsid w:val="00773162"/>
    <w:rsid w:val="007A1807"/>
    <w:rsid w:val="007B4C34"/>
    <w:rsid w:val="007B6AAF"/>
    <w:rsid w:val="007D230E"/>
    <w:rsid w:val="007E238B"/>
    <w:rsid w:val="007F603B"/>
    <w:rsid w:val="007F6DEB"/>
    <w:rsid w:val="0082292A"/>
    <w:rsid w:val="008400A9"/>
    <w:rsid w:val="008516C3"/>
    <w:rsid w:val="0085632D"/>
    <w:rsid w:val="008642D6"/>
    <w:rsid w:val="00875383"/>
    <w:rsid w:val="0087652D"/>
    <w:rsid w:val="00885FD2"/>
    <w:rsid w:val="008878F4"/>
    <w:rsid w:val="00895C13"/>
    <w:rsid w:val="00897C41"/>
    <w:rsid w:val="008A324B"/>
    <w:rsid w:val="008A4B9F"/>
    <w:rsid w:val="008B56FF"/>
    <w:rsid w:val="008C1D08"/>
    <w:rsid w:val="008C6E45"/>
    <w:rsid w:val="008D01E2"/>
    <w:rsid w:val="008D7EE1"/>
    <w:rsid w:val="008E36B6"/>
    <w:rsid w:val="008F1581"/>
    <w:rsid w:val="008F3534"/>
    <w:rsid w:val="008F4CDD"/>
    <w:rsid w:val="008F7995"/>
    <w:rsid w:val="00902694"/>
    <w:rsid w:val="00906CE0"/>
    <w:rsid w:val="00920BA9"/>
    <w:rsid w:val="00927A19"/>
    <w:rsid w:val="00936B79"/>
    <w:rsid w:val="00940713"/>
    <w:rsid w:val="009412AE"/>
    <w:rsid w:val="0096296F"/>
    <w:rsid w:val="00963A36"/>
    <w:rsid w:val="00963BDB"/>
    <w:rsid w:val="00977F88"/>
    <w:rsid w:val="00982B1D"/>
    <w:rsid w:val="0098374A"/>
    <w:rsid w:val="009A551E"/>
    <w:rsid w:val="009A5D77"/>
    <w:rsid w:val="009B5688"/>
    <w:rsid w:val="009B588D"/>
    <w:rsid w:val="009C45AD"/>
    <w:rsid w:val="009C7278"/>
    <w:rsid w:val="009D2775"/>
    <w:rsid w:val="009D77F9"/>
    <w:rsid w:val="00A05020"/>
    <w:rsid w:val="00A308EE"/>
    <w:rsid w:val="00A35B8A"/>
    <w:rsid w:val="00A63D99"/>
    <w:rsid w:val="00A71C41"/>
    <w:rsid w:val="00A904F5"/>
    <w:rsid w:val="00A93BEA"/>
    <w:rsid w:val="00AA1188"/>
    <w:rsid w:val="00AA613F"/>
    <w:rsid w:val="00AB14A4"/>
    <w:rsid w:val="00AB1844"/>
    <w:rsid w:val="00AB32FA"/>
    <w:rsid w:val="00AC22B6"/>
    <w:rsid w:val="00AC34CD"/>
    <w:rsid w:val="00AC511D"/>
    <w:rsid w:val="00AC7B4B"/>
    <w:rsid w:val="00AD64FE"/>
    <w:rsid w:val="00AD6C86"/>
    <w:rsid w:val="00AE28DD"/>
    <w:rsid w:val="00AE34AF"/>
    <w:rsid w:val="00AE6EFD"/>
    <w:rsid w:val="00AE7D38"/>
    <w:rsid w:val="00AF58AE"/>
    <w:rsid w:val="00B05BC4"/>
    <w:rsid w:val="00B122F9"/>
    <w:rsid w:val="00B249AF"/>
    <w:rsid w:val="00B54CAF"/>
    <w:rsid w:val="00B559F7"/>
    <w:rsid w:val="00B66E48"/>
    <w:rsid w:val="00B71DF8"/>
    <w:rsid w:val="00B76F34"/>
    <w:rsid w:val="00BC1393"/>
    <w:rsid w:val="00BC4F32"/>
    <w:rsid w:val="00BE3F8F"/>
    <w:rsid w:val="00BF1DFB"/>
    <w:rsid w:val="00C026BD"/>
    <w:rsid w:val="00C030DA"/>
    <w:rsid w:val="00C408F3"/>
    <w:rsid w:val="00C45335"/>
    <w:rsid w:val="00C53E7F"/>
    <w:rsid w:val="00C6374A"/>
    <w:rsid w:val="00C70EA2"/>
    <w:rsid w:val="00C92925"/>
    <w:rsid w:val="00C937A0"/>
    <w:rsid w:val="00C93E73"/>
    <w:rsid w:val="00CA0BB9"/>
    <w:rsid w:val="00CB130E"/>
    <w:rsid w:val="00CB5681"/>
    <w:rsid w:val="00CD101E"/>
    <w:rsid w:val="00CD375A"/>
    <w:rsid w:val="00CD518C"/>
    <w:rsid w:val="00CE001A"/>
    <w:rsid w:val="00CE3616"/>
    <w:rsid w:val="00CF1A79"/>
    <w:rsid w:val="00CF1FFF"/>
    <w:rsid w:val="00D00B4A"/>
    <w:rsid w:val="00D040A5"/>
    <w:rsid w:val="00D1413A"/>
    <w:rsid w:val="00D21EF7"/>
    <w:rsid w:val="00D22D85"/>
    <w:rsid w:val="00D25186"/>
    <w:rsid w:val="00D5071C"/>
    <w:rsid w:val="00D517D3"/>
    <w:rsid w:val="00D713F3"/>
    <w:rsid w:val="00D71D3E"/>
    <w:rsid w:val="00D9421C"/>
    <w:rsid w:val="00DB08F0"/>
    <w:rsid w:val="00DD510F"/>
    <w:rsid w:val="00DD79AD"/>
    <w:rsid w:val="00DE2827"/>
    <w:rsid w:val="00DE3341"/>
    <w:rsid w:val="00DE437E"/>
    <w:rsid w:val="00DE57F4"/>
    <w:rsid w:val="00DF446C"/>
    <w:rsid w:val="00DF77C3"/>
    <w:rsid w:val="00DF7E8E"/>
    <w:rsid w:val="00E03732"/>
    <w:rsid w:val="00E150C2"/>
    <w:rsid w:val="00E255D7"/>
    <w:rsid w:val="00E32C88"/>
    <w:rsid w:val="00E35F5E"/>
    <w:rsid w:val="00E42C8C"/>
    <w:rsid w:val="00E53468"/>
    <w:rsid w:val="00E63827"/>
    <w:rsid w:val="00EA4FFF"/>
    <w:rsid w:val="00EB4F21"/>
    <w:rsid w:val="00EE1F7B"/>
    <w:rsid w:val="00EE537E"/>
    <w:rsid w:val="00EF5335"/>
    <w:rsid w:val="00F1134C"/>
    <w:rsid w:val="00F14388"/>
    <w:rsid w:val="00F167D1"/>
    <w:rsid w:val="00F42E82"/>
    <w:rsid w:val="00F65F97"/>
    <w:rsid w:val="00F663E3"/>
    <w:rsid w:val="00F667B8"/>
    <w:rsid w:val="00F7449E"/>
    <w:rsid w:val="00F76CC4"/>
    <w:rsid w:val="00F80F30"/>
    <w:rsid w:val="00F81512"/>
    <w:rsid w:val="00F85A06"/>
    <w:rsid w:val="00F94BE1"/>
    <w:rsid w:val="00FA6995"/>
    <w:rsid w:val="00FA752A"/>
    <w:rsid w:val="00FC14F8"/>
    <w:rsid w:val="00FC5E8D"/>
    <w:rsid w:val="00FE68CC"/>
    <w:rsid w:val="00FF7E3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8897E4"/>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sk-SK" w:eastAsia="sk-SK"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footnote text" w:semiHidden="1"/>
    <w:lsdException w:name="header" w:semiHidden="1"/>
    <w:lsdException w:name="footer" w:semiHidden="1"/>
    <w:lsdException w:name="caption" w:semiHidden="1" w:uiPriority="35" w:unhideWhenUsed="1" w:qFormat="1"/>
    <w:lsdException w:name="footnote reference" w:semiHidden="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Body Tex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Web)"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87877"/>
    <w:pPr>
      <w:spacing w:after="0" w:line="240" w:lineRule="auto"/>
    </w:pPr>
    <w:rPr>
      <w:sz w:val="24"/>
      <w:szCs w:val="24"/>
    </w:rPr>
  </w:style>
  <w:style w:type="paragraph" w:styleId="Nadpis1">
    <w:name w:val="heading 1"/>
    <w:basedOn w:val="Normlny"/>
    <w:next w:val="Normlny"/>
    <w:link w:val="Nadpis1Char"/>
    <w:uiPriority w:val="9"/>
    <w:qFormat/>
    <w:rsid w:val="00E255D7"/>
    <w:pPr>
      <w:keepNext/>
      <w:spacing w:before="240" w:after="60"/>
      <w:outlineLvl w:val="0"/>
    </w:pPr>
    <w:rPr>
      <w:rFonts w:asciiTheme="majorHAnsi" w:eastAsiaTheme="majorEastAsia" w:hAnsiTheme="majorHAnsi"/>
      <w:b/>
      <w:bCs/>
      <w:kern w:val="32"/>
      <w:sz w:val="32"/>
      <w:szCs w:val="32"/>
    </w:rPr>
  </w:style>
  <w:style w:type="paragraph" w:styleId="Nadpis6">
    <w:name w:val="heading 6"/>
    <w:basedOn w:val="Normlny"/>
    <w:link w:val="Nadpis6Char"/>
    <w:uiPriority w:val="99"/>
    <w:qFormat/>
    <w:rsid w:val="00A904F5"/>
    <w:pPr>
      <w:keepNext/>
      <w:outlineLvl w:val="5"/>
    </w:pPr>
    <w:rPr>
      <w:rFonts w:ascii="Arial" w:hAnsi="Arial" w:cs="Arial"/>
      <w:b/>
      <w:bCs/>
      <w:lang w:val="cs-CZ"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semiHidden/>
    <w:locked/>
    <w:rPr>
      <w:rFonts w:asciiTheme="minorHAnsi" w:eastAsiaTheme="minorEastAsia" w:hAnsiTheme="minorHAnsi" w:cs="Times New Roman"/>
      <w:b/>
      <w:bCs/>
    </w:rPr>
  </w:style>
  <w:style w:type="paragraph" w:styleId="Textbubliny">
    <w:name w:val="Balloon Text"/>
    <w:basedOn w:val="Normlny"/>
    <w:link w:val="TextbublinyChar"/>
    <w:uiPriority w:val="99"/>
    <w:semiHidden/>
    <w:rsid w:val="000B046A"/>
    <w:rPr>
      <w:rFonts w:ascii="Tahoma" w:hAnsi="Tahoma" w:cs="Tahoma"/>
      <w:sz w:val="16"/>
      <w:szCs w:val="16"/>
    </w:rPr>
  </w:style>
  <w:style w:type="character" w:customStyle="1" w:styleId="Nadpis1Char">
    <w:name w:val="Nadpis 1 Char"/>
    <w:basedOn w:val="Predvolenpsmoodseku"/>
    <w:link w:val="Nadpis1"/>
    <w:uiPriority w:val="9"/>
    <w:locked/>
    <w:rsid w:val="00E255D7"/>
    <w:rPr>
      <w:rFonts w:asciiTheme="majorHAnsi" w:eastAsiaTheme="majorEastAsia" w:hAnsiTheme="majorHAnsi" w:cs="Times New Roman"/>
      <w:b/>
      <w:bCs/>
      <w:kern w:val="32"/>
      <w:sz w:val="32"/>
      <w:szCs w:val="32"/>
    </w:rPr>
  </w:style>
  <w:style w:type="paragraph" w:styleId="Zkladntext">
    <w:name w:val="Body Text"/>
    <w:basedOn w:val="Normlny"/>
    <w:link w:val="ZkladntextChar"/>
    <w:uiPriority w:val="99"/>
    <w:rsid w:val="00A904F5"/>
    <w:pPr>
      <w:spacing w:before="120" w:after="120"/>
      <w:jc w:val="both"/>
    </w:pPr>
    <w:rPr>
      <w:lang w:val="cs-CZ" w:eastAsia="cs-CZ"/>
    </w:rPr>
  </w:style>
  <w:style w:type="character" w:customStyle="1" w:styleId="TextbublinyChar">
    <w:name w:val="Text bubliny Char"/>
    <w:basedOn w:val="Predvolenpsmoodseku"/>
    <w:link w:val="Textbubliny"/>
    <w:uiPriority w:val="99"/>
    <w:semiHidden/>
    <w:locked/>
    <w:rPr>
      <w:rFonts w:ascii="Tahoma" w:hAnsi="Tahoma" w:cs="Tahoma"/>
      <w:sz w:val="16"/>
      <w:szCs w:val="16"/>
    </w:rPr>
  </w:style>
  <w:style w:type="paragraph" w:styleId="Normlnywebov">
    <w:name w:val="Normal (Web)"/>
    <w:aliases w:val="webb"/>
    <w:basedOn w:val="Normlny"/>
    <w:uiPriority w:val="99"/>
    <w:rsid w:val="009D77F9"/>
    <w:pPr>
      <w:spacing w:before="100" w:beforeAutospacing="1" w:after="100" w:afterAutospacing="1"/>
    </w:pPr>
  </w:style>
  <w:style w:type="character" w:customStyle="1" w:styleId="ZkladntextChar">
    <w:name w:val="Základný text Char"/>
    <w:basedOn w:val="Predvolenpsmoodseku"/>
    <w:link w:val="Zkladntext"/>
    <w:uiPriority w:val="99"/>
    <w:semiHidden/>
    <w:locked/>
    <w:rPr>
      <w:rFonts w:cs="Times New Roman"/>
      <w:sz w:val="24"/>
      <w:szCs w:val="24"/>
    </w:rPr>
  </w:style>
  <w:style w:type="paragraph" w:styleId="Zarkazkladnhotextu3">
    <w:name w:val="Body Text Indent 3"/>
    <w:basedOn w:val="Normlny"/>
    <w:link w:val="Zarkazkladnhotextu3Char"/>
    <w:uiPriority w:val="99"/>
    <w:rsid w:val="00336AE2"/>
    <w:pPr>
      <w:spacing w:after="120"/>
      <w:ind w:left="283"/>
    </w:pPr>
    <w:rPr>
      <w:sz w:val="16"/>
      <w:szCs w:val="16"/>
    </w:rPr>
  </w:style>
  <w:style w:type="paragraph" w:styleId="Hlavika">
    <w:name w:val="header"/>
    <w:basedOn w:val="Normlny"/>
    <w:link w:val="HlavikaChar"/>
    <w:uiPriority w:val="99"/>
    <w:rsid w:val="00336AE2"/>
    <w:pPr>
      <w:tabs>
        <w:tab w:val="center" w:pos="4536"/>
        <w:tab w:val="right" w:pos="9072"/>
      </w:tabs>
    </w:pPr>
    <w:rPr>
      <w:lang w:val="cs-CZ" w:eastAsia="cs-CZ"/>
    </w:rPr>
  </w:style>
  <w:style w:type="character" w:customStyle="1" w:styleId="Zarkazkladnhotextu3Char">
    <w:name w:val="Zarážka základného textu 3 Char"/>
    <w:basedOn w:val="Predvolenpsmoodseku"/>
    <w:link w:val="Zarkazkladnhotextu3"/>
    <w:uiPriority w:val="99"/>
    <w:semiHidden/>
    <w:locked/>
    <w:rPr>
      <w:rFonts w:cs="Times New Roman"/>
      <w:sz w:val="16"/>
      <w:szCs w:val="16"/>
    </w:rPr>
  </w:style>
  <w:style w:type="paragraph" w:styleId="Textpoznmkypodiarou">
    <w:name w:val="footnote text"/>
    <w:basedOn w:val="Normlny"/>
    <w:link w:val="TextpoznmkypodiarouChar"/>
    <w:uiPriority w:val="99"/>
    <w:semiHidden/>
    <w:rsid w:val="00336AE2"/>
    <w:rPr>
      <w:sz w:val="20"/>
      <w:szCs w:val="20"/>
      <w:lang w:val="cs-CZ" w:eastAsia="cs-CZ"/>
    </w:rPr>
  </w:style>
  <w:style w:type="character" w:customStyle="1" w:styleId="HlavikaChar">
    <w:name w:val="Hlavička Char"/>
    <w:basedOn w:val="Predvolenpsmoodseku"/>
    <w:link w:val="Hlavika"/>
    <w:uiPriority w:val="99"/>
    <w:semiHidden/>
    <w:locked/>
    <w:rPr>
      <w:rFonts w:cs="Times New Roman"/>
      <w:sz w:val="24"/>
      <w:szCs w:val="24"/>
    </w:rPr>
  </w:style>
  <w:style w:type="character" w:styleId="Odkaznapoznmkupodiarou">
    <w:name w:val="footnote reference"/>
    <w:basedOn w:val="Predvolenpsmoodseku"/>
    <w:uiPriority w:val="99"/>
    <w:semiHidden/>
    <w:rsid w:val="00336AE2"/>
    <w:rPr>
      <w:rFonts w:cs="Times New Roman"/>
      <w:vertAlign w:val="superscript"/>
    </w:rPr>
  </w:style>
  <w:style w:type="character" w:customStyle="1" w:styleId="TextpoznmkypodiarouChar">
    <w:name w:val="Text poznámky pod čiarou Char"/>
    <w:basedOn w:val="Predvolenpsmoodseku"/>
    <w:link w:val="Textpoznmkypodiarou"/>
    <w:uiPriority w:val="99"/>
    <w:semiHidden/>
    <w:locked/>
    <w:rPr>
      <w:rFonts w:cs="Times New Roman"/>
      <w:sz w:val="20"/>
      <w:szCs w:val="20"/>
    </w:rPr>
  </w:style>
  <w:style w:type="paragraph" w:customStyle="1" w:styleId="CarCharCharCharCharChar">
    <w:name w:val="Car Char Char Char Char Char"/>
    <w:basedOn w:val="Normlny"/>
    <w:uiPriority w:val="99"/>
    <w:rsid w:val="0098374A"/>
    <w:pPr>
      <w:spacing w:after="160" w:line="240" w:lineRule="exact"/>
    </w:pPr>
    <w:rPr>
      <w:rFonts w:ascii="Tahoma" w:hAnsi="Tahoma" w:cs="Tahoma"/>
      <w:sz w:val="20"/>
      <w:szCs w:val="20"/>
      <w:lang w:val="en-US" w:eastAsia="en-US"/>
    </w:rPr>
  </w:style>
  <w:style w:type="paragraph" w:styleId="Pta">
    <w:name w:val="footer"/>
    <w:basedOn w:val="Normlny"/>
    <w:link w:val="PtaChar"/>
    <w:uiPriority w:val="99"/>
    <w:rsid w:val="008642D6"/>
    <w:pPr>
      <w:tabs>
        <w:tab w:val="center" w:pos="4536"/>
        <w:tab w:val="right" w:pos="9072"/>
      </w:tabs>
    </w:pPr>
  </w:style>
  <w:style w:type="character" w:styleId="slostrany">
    <w:name w:val="page number"/>
    <w:basedOn w:val="Predvolenpsmoodseku"/>
    <w:uiPriority w:val="99"/>
    <w:rsid w:val="008642D6"/>
    <w:rPr>
      <w:rFonts w:cs="Times New Roman"/>
    </w:rPr>
  </w:style>
  <w:style w:type="character" w:customStyle="1" w:styleId="PtaChar">
    <w:name w:val="Päta Char"/>
    <w:basedOn w:val="Predvolenpsmoodseku"/>
    <w:link w:val="Pta"/>
    <w:uiPriority w:val="99"/>
    <w:semiHidden/>
    <w:locked/>
    <w:rPr>
      <w:rFonts w:cs="Times New Roman"/>
      <w:sz w:val="24"/>
      <w:szCs w:val="24"/>
    </w:rPr>
  </w:style>
  <w:style w:type="paragraph" w:customStyle="1" w:styleId="Zakladnystyl">
    <w:name w:val="Zakladny styl"/>
    <w:uiPriority w:val="99"/>
    <w:rsid w:val="005D7F07"/>
    <w:pPr>
      <w:spacing w:after="0" w:line="240" w:lineRule="auto"/>
    </w:pPr>
    <w:rPr>
      <w:sz w:val="24"/>
      <w:szCs w:val="24"/>
    </w:rPr>
  </w:style>
  <w:style w:type="character" w:styleId="Zstupntext">
    <w:name w:val="Placeholder Text"/>
    <w:basedOn w:val="Predvolenpsmoodseku"/>
    <w:uiPriority w:val="99"/>
    <w:rsid w:val="008A4B9F"/>
    <w:rPr>
      <w:rFonts w:ascii="Times New Roman" w:hAnsi="Times New Roman" w:cs="Times New Roman"/>
      <w:color w:val="808080"/>
    </w:rPr>
  </w:style>
  <w:style w:type="paragraph" w:styleId="Nzov">
    <w:name w:val="Title"/>
    <w:basedOn w:val="Normlny"/>
    <w:link w:val="NzovChar"/>
    <w:uiPriority w:val="10"/>
    <w:qFormat/>
    <w:rsid w:val="00F80F30"/>
    <w:pPr>
      <w:jc w:val="center"/>
    </w:pPr>
    <w:rPr>
      <w:b/>
      <w:bCs/>
    </w:rPr>
  </w:style>
  <w:style w:type="paragraph" w:styleId="Bezriadkovania">
    <w:name w:val="No Spacing"/>
    <w:uiPriority w:val="1"/>
    <w:qFormat/>
    <w:rsid w:val="007A1807"/>
    <w:pPr>
      <w:spacing w:after="0" w:line="240" w:lineRule="auto"/>
    </w:pPr>
    <w:rPr>
      <w:rFonts w:ascii="Calibri" w:hAnsi="Calibri"/>
      <w:lang w:eastAsia="en-US"/>
    </w:rPr>
  </w:style>
  <w:style w:type="character" w:customStyle="1" w:styleId="NzovChar">
    <w:name w:val="Názov Char"/>
    <w:basedOn w:val="Predvolenpsmoodseku"/>
    <w:link w:val="Nzov"/>
    <w:uiPriority w:val="10"/>
    <w:locked/>
    <w:rsid w:val="00F80F30"/>
    <w:rPr>
      <w:rFonts w:cs="Times New Roman"/>
      <w:b/>
      <w:bCs/>
      <w:sz w:val="24"/>
      <w:szCs w:val="24"/>
    </w:rPr>
  </w:style>
  <w:style w:type="paragraph" w:customStyle="1" w:styleId="CharChar">
    <w:name w:val="Char Char"/>
    <w:basedOn w:val="Normlny"/>
    <w:uiPriority w:val="99"/>
    <w:rsid w:val="007A1807"/>
    <w:pPr>
      <w:spacing w:after="160" w:line="240" w:lineRule="exact"/>
    </w:pPr>
    <w:rPr>
      <w:rFonts w:ascii="Tahoma" w:hAnsi="Tahoma" w:cs="Tahoma"/>
      <w:sz w:val="20"/>
      <w:szCs w:val="20"/>
      <w:lang w:val="en-US" w:eastAsia="en-US"/>
    </w:rPr>
  </w:style>
  <w:style w:type="paragraph" w:styleId="Odsekzoznamu">
    <w:name w:val="List Paragraph"/>
    <w:basedOn w:val="Normlny"/>
    <w:uiPriority w:val="34"/>
    <w:qFormat/>
    <w:rsid w:val="008878F4"/>
    <w:pPr>
      <w:spacing w:after="200" w:line="276" w:lineRule="auto"/>
      <w:ind w:left="720"/>
      <w:contextualSpacing/>
    </w:pPr>
    <w:rPr>
      <w:rFonts w:ascii="Calibri" w:hAnsi="Calibri"/>
      <w:sz w:val="22"/>
      <w:szCs w:val="22"/>
      <w:lang w:eastAsia="en-US"/>
    </w:rPr>
  </w:style>
  <w:style w:type="paragraph" w:styleId="Zkladntext2">
    <w:name w:val="Body Text 2"/>
    <w:basedOn w:val="Normlny"/>
    <w:link w:val="Zkladntext2Char"/>
    <w:uiPriority w:val="99"/>
    <w:semiHidden/>
    <w:unhideWhenUsed/>
    <w:rsid w:val="00CE3616"/>
    <w:pPr>
      <w:spacing w:after="120" w:line="480" w:lineRule="auto"/>
    </w:pPr>
  </w:style>
  <w:style w:type="character" w:styleId="Hypertextovprepojenie">
    <w:name w:val="Hyperlink"/>
    <w:basedOn w:val="Predvolenpsmoodseku"/>
    <w:uiPriority w:val="99"/>
    <w:unhideWhenUsed/>
    <w:rsid w:val="005F7423"/>
    <w:rPr>
      <w:rFonts w:cs="Times New Roman"/>
      <w:color w:val="0000FF"/>
      <w:u w:val="single"/>
    </w:rPr>
  </w:style>
  <w:style w:type="character" w:customStyle="1" w:styleId="Zkladntext2Char">
    <w:name w:val="Základný text 2 Char"/>
    <w:basedOn w:val="Predvolenpsmoodseku"/>
    <w:link w:val="Zkladntext2"/>
    <w:uiPriority w:val="99"/>
    <w:semiHidden/>
    <w:locked/>
    <w:rsid w:val="00CE3616"/>
    <w:rPr>
      <w:rFonts w:cs="Times New Roman"/>
      <w:sz w:val="24"/>
      <w:szCs w:val="24"/>
    </w:rPr>
  </w:style>
  <w:style w:type="character" w:customStyle="1" w:styleId="spanr">
    <w:name w:val="span_r"/>
    <w:rsid w:val="002C7670"/>
  </w:style>
  <w:style w:type="character" w:customStyle="1" w:styleId="hps">
    <w:name w:val="hps"/>
    <w:rsid w:val="001D0F3A"/>
  </w:style>
  <w:style w:type="character" w:customStyle="1" w:styleId="longtext">
    <w:name w:val="long_text"/>
    <w:basedOn w:val="Predvolenpsmoodseku"/>
    <w:rsid w:val="00744364"/>
    <w:rPr>
      <w:rFonts w:cs="Times New Roman"/>
    </w:rPr>
  </w:style>
  <w:style w:type="character" w:customStyle="1" w:styleId="st1">
    <w:name w:val="st1"/>
    <w:rsid w:val="00DE437E"/>
  </w:style>
  <w:style w:type="paragraph" w:customStyle="1" w:styleId="Default">
    <w:name w:val="Default"/>
    <w:rsid w:val="00120FCA"/>
    <w:pPr>
      <w:autoSpaceDE w:val="0"/>
      <w:autoSpaceDN w:val="0"/>
      <w:adjustRightInd w:val="0"/>
      <w:spacing w:after="0" w:line="240" w:lineRule="auto"/>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7631350">
      <w:marLeft w:val="0"/>
      <w:marRight w:val="0"/>
      <w:marTop w:val="0"/>
      <w:marBottom w:val="0"/>
      <w:divBdr>
        <w:top w:val="none" w:sz="0" w:space="0" w:color="auto"/>
        <w:left w:val="none" w:sz="0" w:space="0" w:color="auto"/>
        <w:bottom w:val="none" w:sz="0" w:space="0" w:color="auto"/>
        <w:right w:val="none" w:sz="0" w:space="0" w:color="auto"/>
      </w:divBdr>
    </w:div>
    <w:div w:id="2097631361">
      <w:marLeft w:val="0"/>
      <w:marRight w:val="0"/>
      <w:marTop w:val="0"/>
      <w:marBottom w:val="0"/>
      <w:divBdr>
        <w:top w:val="none" w:sz="0" w:space="0" w:color="auto"/>
        <w:left w:val="none" w:sz="0" w:space="0" w:color="auto"/>
        <w:bottom w:val="none" w:sz="0" w:space="0" w:color="auto"/>
        <w:right w:val="none" w:sz="0" w:space="0" w:color="auto"/>
      </w:divBdr>
      <w:divsChild>
        <w:div w:id="2097631366">
          <w:marLeft w:val="0"/>
          <w:marRight w:val="0"/>
          <w:marTop w:val="0"/>
          <w:marBottom w:val="0"/>
          <w:divBdr>
            <w:top w:val="none" w:sz="0" w:space="0" w:color="auto"/>
            <w:left w:val="none" w:sz="0" w:space="0" w:color="auto"/>
            <w:bottom w:val="none" w:sz="0" w:space="0" w:color="auto"/>
            <w:right w:val="none" w:sz="0" w:space="0" w:color="auto"/>
          </w:divBdr>
          <w:divsChild>
            <w:div w:id="2097631377">
              <w:marLeft w:val="0"/>
              <w:marRight w:val="0"/>
              <w:marTop w:val="0"/>
              <w:marBottom w:val="0"/>
              <w:divBdr>
                <w:top w:val="none" w:sz="0" w:space="0" w:color="auto"/>
                <w:left w:val="none" w:sz="0" w:space="0" w:color="auto"/>
                <w:bottom w:val="none" w:sz="0" w:space="0" w:color="auto"/>
                <w:right w:val="none" w:sz="0" w:space="0" w:color="auto"/>
              </w:divBdr>
              <w:divsChild>
                <w:div w:id="2097631356">
                  <w:marLeft w:val="0"/>
                  <w:marRight w:val="0"/>
                  <w:marTop w:val="0"/>
                  <w:marBottom w:val="0"/>
                  <w:divBdr>
                    <w:top w:val="none" w:sz="0" w:space="0" w:color="auto"/>
                    <w:left w:val="none" w:sz="0" w:space="0" w:color="auto"/>
                    <w:bottom w:val="none" w:sz="0" w:space="0" w:color="auto"/>
                    <w:right w:val="none" w:sz="0" w:space="0" w:color="auto"/>
                  </w:divBdr>
                  <w:divsChild>
                    <w:div w:id="2097631352">
                      <w:marLeft w:val="0"/>
                      <w:marRight w:val="0"/>
                      <w:marTop w:val="0"/>
                      <w:marBottom w:val="0"/>
                      <w:divBdr>
                        <w:top w:val="none" w:sz="0" w:space="0" w:color="auto"/>
                        <w:left w:val="none" w:sz="0" w:space="0" w:color="auto"/>
                        <w:bottom w:val="none" w:sz="0" w:space="0" w:color="auto"/>
                        <w:right w:val="none" w:sz="0" w:space="0" w:color="auto"/>
                      </w:divBdr>
                      <w:divsChild>
                        <w:div w:id="2097631382">
                          <w:marLeft w:val="0"/>
                          <w:marRight w:val="0"/>
                          <w:marTop w:val="0"/>
                          <w:marBottom w:val="0"/>
                          <w:divBdr>
                            <w:top w:val="none" w:sz="0" w:space="0" w:color="auto"/>
                            <w:left w:val="none" w:sz="0" w:space="0" w:color="auto"/>
                            <w:bottom w:val="none" w:sz="0" w:space="0" w:color="auto"/>
                            <w:right w:val="none" w:sz="0" w:space="0" w:color="auto"/>
                          </w:divBdr>
                          <w:divsChild>
                            <w:div w:id="2097631364">
                              <w:marLeft w:val="0"/>
                              <w:marRight w:val="0"/>
                              <w:marTop w:val="0"/>
                              <w:marBottom w:val="0"/>
                              <w:divBdr>
                                <w:top w:val="none" w:sz="0" w:space="0" w:color="auto"/>
                                <w:left w:val="none" w:sz="0" w:space="0" w:color="auto"/>
                                <w:bottom w:val="none" w:sz="0" w:space="0" w:color="auto"/>
                                <w:right w:val="none" w:sz="0" w:space="0" w:color="auto"/>
                              </w:divBdr>
                              <w:divsChild>
                                <w:div w:id="2097631375">
                                  <w:marLeft w:val="0"/>
                                  <w:marRight w:val="0"/>
                                  <w:marTop w:val="0"/>
                                  <w:marBottom w:val="0"/>
                                  <w:divBdr>
                                    <w:top w:val="single" w:sz="6" w:space="0" w:color="F5F5F5"/>
                                    <w:left w:val="single" w:sz="6" w:space="0" w:color="F5F5F5"/>
                                    <w:bottom w:val="single" w:sz="6" w:space="0" w:color="F5F5F5"/>
                                    <w:right w:val="single" w:sz="6" w:space="0" w:color="F5F5F5"/>
                                  </w:divBdr>
                                  <w:divsChild>
                                    <w:div w:id="2097631409">
                                      <w:marLeft w:val="0"/>
                                      <w:marRight w:val="0"/>
                                      <w:marTop w:val="0"/>
                                      <w:marBottom w:val="0"/>
                                      <w:divBdr>
                                        <w:top w:val="none" w:sz="0" w:space="0" w:color="auto"/>
                                        <w:left w:val="none" w:sz="0" w:space="0" w:color="auto"/>
                                        <w:bottom w:val="none" w:sz="0" w:space="0" w:color="auto"/>
                                        <w:right w:val="none" w:sz="0" w:space="0" w:color="auto"/>
                                      </w:divBdr>
                                      <w:divsChild>
                                        <w:div w:id="209763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631368">
      <w:marLeft w:val="0"/>
      <w:marRight w:val="0"/>
      <w:marTop w:val="0"/>
      <w:marBottom w:val="0"/>
      <w:divBdr>
        <w:top w:val="none" w:sz="0" w:space="0" w:color="auto"/>
        <w:left w:val="none" w:sz="0" w:space="0" w:color="auto"/>
        <w:bottom w:val="none" w:sz="0" w:space="0" w:color="auto"/>
        <w:right w:val="none" w:sz="0" w:space="0" w:color="auto"/>
      </w:divBdr>
      <w:divsChild>
        <w:div w:id="2097631378">
          <w:marLeft w:val="0"/>
          <w:marRight w:val="0"/>
          <w:marTop w:val="0"/>
          <w:marBottom w:val="0"/>
          <w:divBdr>
            <w:top w:val="none" w:sz="0" w:space="0" w:color="auto"/>
            <w:left w:val="none" w:sz="0" w:space="0" w:color="auto"/>
            <w:bottom w:val="none" w:sz="0" w:space="0" w:color="auto"/>
            <w:right w:val="none" w:sz="0" w:space="0" w:color="auto"/>
          </w:divBdr>
          <w:divsChild>
            <w:div w:id="2097631365">
              <w:marLeft w:val="0"/>
              <w:marRight w:val="0"/>
              <w:marTop w:val="0"/>
              <w:marBottom w:val="0"/>
              <w:divBdr>
                <w:top w:val="none" w:sz="0" w:space="0" w:color="auto"/>
                <w:left w:val="none" w:sz="0" w:space="0" w:color="auto"/>
                <w:bottom w:val="none" w:sz="0" w:space="0" w:color="auto"/>
                <w:right w:val="none" w:sz="0" w:space="0" w:color="auto"/>
              </w:divBdr>
              <w:divsChild>
                <w:div w:id="2097631383">
                  <w:marLeft w:val="0"/>
                  <w:marRight w:val="0"/>
                  <w:marTop w:val="0"/>
                  <w:marBottom w:val="0"/>
                  <w:divBdr>
                    <w:top w:val="none" w:sz="0" w:space="0" w:color="auto"/>
                    <w:left w:val="none" w:sz="0" w:space="0" w:color="auto"/>
                    <w:bottom w:val="none" w:sz="0" w:space="0" w:color="auto"/>
                    <w:right w:val="none" w:sz="0" w:space="0" w:color="auto"/>
                  </w:divBdr>
                  <w:divsChild>
                    <w:div w:id="2097631358">
                      <w:marLeft w:val="0"/>
                      <w:marRight w:val="0"/>
                      <w:marTop w:val="0"/>
                      <w:marBottom w:val="0"/>
                      <w:divBdr>
                        <w:top w:val="none" w:sz="0" w:space="0" w:color="auto"/>
                        <w:left w:val="none" w:sz="0" w:space="0" w:color="auto"/>
                        <w:bottom w:val="none" w:sz="0" w:space="0" w:color="auto"/>
                        <w:right w:val="none" w:sz="0" w:space="0" w:color="auto"/>
                      </w:divBdr>
                      <w:divsChild>
                        <w:div w:id="2097631357">
                          <w:marLeft w:val="0"/>
                          <w:marRight w:val="0"/>
                          <w:marTop w:val="0"/>
                          <w:marBottom w:val="0"/>
                          <w:divBdr>
                            <w:top w:val="none" w:sz="0" w:space="0" w:color="auto"/>
                            <w:left w:val="none" w:sz="0" w:space="0" w:color="auto"/>
                            <w:bottom w:val="none" w:sz="0" w:space="0" w:color="auto"/>
                            <w:right w:val="none" w:sz="0" w:space="0" w:color="auto"/>
                          </w:divBdr>
                          <w:divsChild>
                            <w:div w:id="2097631386">
                              <w:marLeft w:val="0"/>
                              <w:marRight w:val="0"/>
                              <w:marTop w:val="0"/>
                              <w:marBottom w:val="0"/>
                              <w:divBdr>
                                <w:top w:val="none" w:sz="0" w:space="0" w:color="auto"/>
                                <w:left w:val="none" w:sz="0" w:space="0" w:color="auto"/>
                                <w:bottom w:val="none" w:sz="0" w:space="0" w:color="auto"/>
                                <w:right w:val="none" w:sz="0" w:space="0" w:color="auto"/>
                              </w:divBdr>
                              <w:divsChild>
                                <w:div w:id="2097631385">
                                  <w:marLeft w:val="0"/>
                                  <w:marRight w:val="0"/>
                                  <w:marTop w:val="0"/>
                                  <w:marBottom w:val="0"/>
                                  <w:divBdr>
                                    <w:top w:val="single" w:sz="6" w:space="0" w:color="F5F5F5"/>
                                    <w:left w:val="single" w:sz="6" w:space="0" w:color="F5F5F5"/>
                                    <w:bottom w:val="single" w:sz="6" w:space="0" w:color="F5F5F5"/>
                                    <w:right w:val="single" w:sz="6" w:space="0" w:color="F5F5F5"/>
                                  </w:divBdr>
                                  <w:divsChild>
                                    <w:div w:id="2097631370">
                                      <w:marLeft w:val="0"/>
                                      <w:marRight w:val="0"/>
                                      <w:marTop w:val="0"/>
                                      <w:marBottom w:val="0"/>
                                      <w:divBdr>
                                        <w:top w:val="none" w:sz="0" w:space="0" w:color="auto"/>
                                        <w:left w:val="none" w:sz="0" w:space="0" w:color="auto"/>
                                        <w:bottom w:val="none" w:sz="0" w:space="0" w:color="auto"/>
                                        <w:right w:val="none" w:sz="0" w:space="0" w:color="auto"/>
                                      </w:divBdr>
                                      <w:divsChild>
                                        <w:div w:id="209763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631374">
      <w:marLeft w:val="0"/>
      <w:marRight w:val="0"/>
      <w:marTop w:val="0"/>
      <w:marBottom w:val="0"/>
      <w:divBdr>
        <w:top w:val="none" w:sz="0" w:space="0" w:color="auto"/>
        <w:left w:val="none" w:sz="0" w:space="0" w:color="auto"/>
        <w:bottom w:val="none" w:sz="0" w:space="0" w:color="auto"/>
        <w:right w:val="none" w:sz="0" w:space="0" w:color="auto"/>
      </w:divBdr>
      <w:divsChild>
        <w:div w:id="2097631372">
          <w:marLeft w:val="0"/>
          <w:marRight w:val="0"/>
          <w:marTop w:val="0"/>
          <w:marBottom w:val="0"/>
          <w:divBdr>
            <w:top w:val="none" w:sz="0" w:space="0" w:color="auto"/>
            <w:left w:val="none" w:sz="0" w:space="0" w:color="auto"/>
            <w:bottom w:val="none" w:sz="0" w:space="0" w:color="auto"/>
            <w:right w:val="none" w:sz="0" w:space="0" w:color="auto"/>
          </w:divBdr>
          <w:divsChild>
            <w:div w:id="2097631376">
              <w:marLeft w:val="0"/>
              <w:marRight w:val="0"/>
              <w:marTop w:val="0"/>
              <w:marBottom w:val="0"/>
              <w:divBdr>
                <w:top w:val="none" w:sz="0" w:space="0" w:color="auto"/>
                <w:left w:val="none" w:sz="0" w:space="0" w:color="auto"/>
                <w:bottom w:val="none" w:sz="0" w:space="0" w:color="auto"/>
                <w:right w:val="none" w:sz="0" w:space="0" w:color="auto"/>
              </w:divBdr>
              <w:divsChild>
                <w:div w:id="2097631381">
                  <w:marLeft w:val="0"/>
                  <w:marRight w:val="0"/>
                  <w:marTop w:val="0"/>
                  <w:marBottom w:val="0"/>
                  <w:divBdr>
                    <w:top w:val="none" w:sz="0" w:space="0" w:color="auto"/>
                    <w:left w:val="none" w:sz="0" w:space="0" w:color="auto"/>
                    <w:bottom w:val="none" w:sz="0" w:space="0" w:color="auto"/>
                    <w:right w:val="none" w:sz="0" w:space="0" w:color="auto"/>
                  </w:divBdr>
                  <w:divsChild>
                    <w:div w:id="2097631360">
                      <w:marLeft w:val="0"/>
                      <w:marRight w:val="0"/>
                      <w:marTop w:val="0"/>
                      <w:marBottom w:val="0"/>
                      <w:divBdr>
                        <w:top w:val="none" w:sz="0" w:space="0" w:color="auto"/>
                        <w:left w:val="none" w:sz="0" w:space="0" w:color="auto"/>
                        <w:bottom w:val="none" w:sz="0" w:space="0" w:color="auto"/>
                        <w:right w:val="none" w:sz="0" w:space="0" w:color="auto"/>
                      </w:divBdr>
                      <w:divsChild>
                        <w:div w:id="2097631408">
                          <w:marLeft w:val="0"/>
                          <w:marRight w:val="0"/>
                          <w:marTop w:val="0"/>
                          <w:marBottom w:val="0"/>
                          <w:divBdr>
                            <w:top w:val="none" w:sz="0" w:space="0" w:color="auto"/>
                            <w:left w:val="none" w:sz="0" w:space="0" w:color="auto"/>
                            <w:bottom w:val="none" w:sz="0" w:space="0" w:color="auto"/>
                            <w:right w:val="none" w:sz="0" w:space="0" w:color="auto"/>
                          </w:divBdr>
                          <w:divsChild>
                            <w:div w:id="2097631380">
                              <w:marLeft w:val="0"/>
                              <w:marRight w:val="0"/>
                              <w:marTop w:val="0"/>
                              <w:marBottom w:val="0"/>
                              <w:divBdr>
                                <w:top w:val="none" w:sz="0" w:space="0" w:color="auto"/>
                                <w:left w:val="none" w:sz="0" w:space="0" w:color="auto"/>
                                <w:bottom w:val="none" w:sz="0" w:space="0" w:color="auto"/>
                                <w:right w:val="none" w:sz="0" w:space="0" w:color="auto"/>
                              </w:divBdr>
                              <w:divsChild>
                                <w:div w:id="2097631351">
                                  <w:marLeft w:val="0"/>
                                  <w:marRight w:val="0"/>
                                  <w:marTop w:val="0"/>
                                  <w:marBottom w:val="0"/>
                                  <w:divBdr>
                                    <w:top w:val="single" w:sz="6" w:space="0" w:color="F5F5F5"/>
                                    <w:left w:val="single" w:sz="6" w:space="0" w:color="F5F5F5"/>
                                    <w:bottom w:val="single" w:sz="6" w:space="0" w:color="F5F5F5"/>
                                    <w:right w:val="single" w:sz="6" w:space="0" w:color="F5F5F5"/>
                                  </w:divBdr>
                                  <w:divsChild>
                                    <w:div w:id="2097631362">
                                      <w:marLeft w:val="0"/>
                                      <w:marRight w:val="0"/>
                                      <w:marTop w:val="0"/>
                                      <w:marBottom w:val="0"/>
                                      <w:divBdr>
                                        <w:top w:val="none" w:sz="0" w:space="0" w:color="auto"/>
                                        <w:left w:val="none" w:sz="0" w:space="0" w:color="auto"/>
                                        <w:bottom w:val="none" w:sz="0" w:space="0" w:color="auto"/>
                                        <w:right w:val="none" w:sz="0" w:space="0" w:color="auto"/>
                                      </w:divBdr>
                                      <w:divsChild>
                                        <w:div w:id="2097631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631391">
      <w:marLeft w:val="0"/>
      <w:marRight w:val="0"/>
      <w:marTop w:val="0"/>
      <w:marBottom w:val="0"/>
      <w:divBdr>
        <w:top w:val="none" w:sz="0" w:space="0" w:color="auto"/>
        <w:left w:val="none" w:sz="0" w:space="0" w:color="auto"/>
        <w:bottom w:val="none" w:sz="0" w:space="0" w:color="auto"/>
        <w:right w:val="none" w:sz="0" w:space="0" w:color="auto"/>
      </w:divBdr>
      <w:divsChild>
        <w:div w:id="2097631392">
          <w:marLeft w:val="0"/>
          <w:marRight w:val="0"/>
          <w:marTop w:val="0"/>
          <w:marBottom w:val="0"/>
          <w:divBdr>
            <w:top w:val="none" w:sz="0" w:space="0" w:color="auto"/>
            <w:left w:val="none" w:sz="0" w:space="0" w:color="auto"/>
            <w:bottom w:val="none" w:sz="0" w:space="0" w:color="auto"/>
            <w:right w:val="none" w:sz="0" w:space="0" w:color="auto"/>
          </w:divBdr>
          <w:divsChild>
            <w:div w:id="2097631394">
              <w:marLeft w:val="0"/>
              <w:marRight w:val="0"/>
              <w:marTop w:val="0"/>
              <w:marBottom w:val="0"/>
              <w:divBdr>
                <w:top w:val="none" w:sz="0" w:space="0" w:color="auto"/>
                <w:left w:val="none" w:sz="0" w:space="0" w:color="auto"/>
                <w:bottom w:val="none" w:sz="0" w:space="0" w:color="auto"/>
                <w:right w:val="none" w:sz="0" w:space="0" w:color="auto"/>
              </w:divBdr>
              <w:divsChild>
                <w:div w:id="2097631388">
                  <w:marLeft w:val="0"/>
                  <w:marRight w:val="0"/>
                  <w:marTop w:val="0"/>
                  <w:marBottom w:val="0"/>
                  <w:divBdr>
                    <w:top w:val="none" w:sz="0" w:space="0" w:color="auto"/>
                    <w:left w:val="none" w:sz="0" w:space="0" w:color="auto"/>
                    <w:bottom w:val="none" w:sz="0" w:space="0" w:color="auto"/>
                    <w:right w:val="none" w:sz="0" w:space="0" w:color="auto"/>
                  </w:divBdr>
                  <w:divsChild>
                    <w:div w:id="20976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631397">
      <w:marLeft w:val="0"/>
      <w:marRight w:val="0"/>
      <w:marTop w:val="0"/>
      <w:marBottom w:val="0"/>
      <w:divBdr>
        <w:top w:val="none" w:sz="0" w:space="0" w:color="auto"/>
        <w:left w:val="none" w:sz="0" w:space="0" w:color="auto"/>
        <w:bottom w:val="none" w:sz="0" w:space="0" w:color="auto"/>
        <w:right w:val="none" w:sz="0" w:space="0" w:color="auto"/>
      </w:divBdr>
      <w:divsChild>
        <w:div w:id="2097631393">
          <w:marLeft w:val="0"/>
          <w:marRight w:val="0"/>
          <w:marTop w:val="0"/>
          <w:marBottom w:val="0"/>
          <w:divBdr>
            <w:top w:val="none" w:sz="0" w:space="0" w:color="auto"/>
            <w:left w:val="none" w:sz="0" w:space="0" w:color="auto"/>
            <w:bottom w:val="none" w:sz="0" w:space="0" w:color="auto"/>
            <w:right w:val="none" w:sz="0" w:space="0" w:color="auto"/>
          </w:divBdr>
          <w:divsChild>
            <w:div w:id="2097631389">
              <w:marLeft w:val="0"/>
              <w:marRight w:val="0"/>
              <w:marTop w:val="0"/>
              <w:marBottom w:val="0"/>
              <w:divBdr>
                <w:top w:val="none" w:sz="0" w:space="0" w:color="auto"/>
                <w:left w:val="none" w:sz="0" w:space="0" w:color="auto"/>
                <w:bottom w:val="none" w:sz="0" w:space="0" w:color="auto"/>
                <w:right w:val="none" w:sz="0" w:space="0" w:color="auto"/>
              </w:divBdr>
              <w:divsChild>
                <w:div w:id="2097631395">
                  <w:marLeft w:val="0"/>
                  <w:marRight w:val="0"/>
                  <w:marTop w:val="0"/>
                  <w:marBottom w:val="0"/>
                  <w:divBdr>
                    <w:top w:val="none" w:sz="0" w:space="0" w:color="auto"/>
                    <w:left w:val="none" w:sz="0" w:space="0" w:color="auto"/>
                    <w:bottom w:val="none" w:sz="0" w:space="0" w:color="auto"/>
                    <w:right w:val="none" w:sz="0" w:space="0" w:color="auto"/>
                  </w:divBdr>
                  <w:divsChild>
                    <w:div w:id="209763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631398">
      <w:marLeft w:val="0"/>
      <w:marRight w:val="0"/>
      <w:marTop w:val="0"/>
      <w:marBottom w:val="0"/>
      <w:divBdr>
        <w:top w:val="none" w:sz="0" w:space="0" w:color="auto"/>
        <w:left w:val="none" w:sz="0" w:space="0" w:color="auto"/>
        <w:bottom w:val="none" w:sz="0" w:space="0" w:color="auto"/>
        <w:right w:val="none" w:sz="0" w:space="0" w:color="auto"/>
      </w:divBdr>
    </w:div>
    <w:div w:id="2097631399">
      <w:marLeft w:val="0"/>
      <w:marRight w:val="0"/>
      <w:marTop w:val="0"/>
      <w:marBottom w:val="0"/>
      <w:divBdr>
        <w:top w:val="none" w:sz="0" w:space="0" w:color="auto"/>
        <w:left w:val="none" w:sz="0" w:space="0" w:color="auto"/>
        <w:bottom w:val="none" w:sz="0" w:space="0" w:color="auto"/>
        <w:right w:val="none" w:sz="0" w:space="0" w:color="auto"/>
      </w:divBdr>
    </w:div>
    <w:div w:id="2097631400">
      <w:marLeft w:val="0"/>
      <w:marRight w:val="0"/>
      <w:marTop w:val="0"/>
      <w:marBottom w:val="0"/>
      <w:divBdr>
        <w:top w:val="none" w:sz="0" w:space="0" w:color="auto"/>
        <w:left w:val="none" w:sz="0" w:space="0" w:color="auto"/>
        <w:bottom w:val="none" w:sz="0" w:space="0" w:color="auto"/>
        <w:right w:val="none" w:sz="0" w:space="0" w:color="auto"/>
      </w:divBdr>
    </w:div>
    <w:div w:id="2097631401">
      <w:marLeft w:val="0"/>
      <w:marRight w:val="0"/>
      <w:marTop w:val="0"/>
      <w:marBottom w:val="0"/>
      <w:divBdr>
        <w:top w:val="none" w:sz="0" w:space="0" w:color="auto"/>
        <w:left w:val="none" w:sz="0" w:space="0" w:color="auto"/>
        <w:bottom w:val="none" w:sz="0" w:space="0" w:color="auto"/>
        <w:right w:val="none" w:sz="0" w:space="0" w:color="auto"/>
      </w:divBdr>
    </w:div>
    <w:div w:id="2097631402">
      <w:marLeft w:val="0"/>
      <w:marRight w:val="0"/>
      <w:marTop w:val="0"/>
      <w:marBottom w:val="0"/>
      <w:divBdr>
        <w:top w:val="none" w:sz="0" w:space="0" w:color="auto"/>
        <w:left w:val="none" w:sz="0" w:space="0" w:color="auto"/>
        <w:bottom w:val="none" w:sz="0" w:space="0" w:color="auto"/>
        <w:right w:val="none" w:sz="0" w:space="0" w:color="auto"/>
      </w:divBdr>
    </w:div>
    <w:div w:id="2097631403">
      <w:marLeft w:val="0"/>
      <w:marRight w:val="0"/>
      <w:marTop w:val="0"/>
      <w:marBottom w:val="0"/>
      <w:divBdr>
        <w:top w:val="none" w:sz="0" w:space="0" w:color="auto"/>
        <w:left w:val="none" w:sz="0" w:space="0" w:color="auto"/>
        <w:bottom w:val="none" w:sz="0" w:space="0" w:color="auto"/>
        <w:right w:val="none" w:sz="0" w:space="0" w:color="auto"/>
      </w:divBdr>
    </w:div>
    <w:div w:id="2097631405">
      <w:marLeft w:val="0"/>
      <w:marRight w:val="0"/>
      <w:marTop w:val="0"/>
      <w:marBottom w:val="0"/>
      <w:divBdr>
        <w:top w:val="none" w:sz="0" w:space="0" w:color="auto"/>
        <w:left w:val="none" w:sz="0" w:space="0" w:color="auto"/>
        <w:bottom w:val="none" w:sz="0" w:space="0" w:color="auto"/>
        <w:right w:val="none" w:sz="0" w:space="0" w:color="auto"/>
      </w:divBdr>
      <w:divsChild>
        <w:div w:id="2097631407">
          <w:marLeft w:val="0"/>
          <w:marRight w:val="0"/>
          <w:marTop w:val="0"/>
          <w:marBottom w:val="0"/>
          <w:divBdr>
            <w:top w:val="none" w:sz="0" w:space="0" w:color="auto"/>
            <w:left w:val="none" w:sz="0" w:space="0" w:color="auto"/>
            <w:bottom w:val="none" w:sz="0" w:space="0" w:color="auto"/>
            <w:right w:val="none" w:sz="0" w:space="0" w:color="auto"/>
          </w:divBdr>
        </w:div>
      </w:divsChild>
    </w:div>
    <w:div w:id="2097631406">
      <w:marLeft w:val="0"/>
      <w:marRight w:val="0"/>
      <w:marTop w:val="0"/>
      <w:marBottom w:val="0"/>
      <w:divBdr>
        <w:top w:val="none" w:sz="0" w:space="0" w:color="auto"/>
        <w:left w:val="none" w:sz="0" w:space="0" w:color="auto"/>
        <w:bottom w:val="none" w:sz="0" w:space="0" w:color="auto"/>
        <w:right w:val="none" w:sz="0" w:space="0" w:color="auto"/>
      </w:divBdr>
      <w:divsChild>
        <w:div w:id="2097631404">
          <w:marLeft w:val="0"/>
          <w:marRight w:val="0"/>
          <w:marTop w:val="0"/>
          <w:marBottom w:val="0"/>
          <w:divBdr>
            <w:top w:val="none" w:sz="0" w:space="0" w:color="auto"/>
            <w:left w:val="none" w:sz="0" w:space="0" w:color="auto"/>
            <w:bottom w:val="none" w:sz="0" w:space="0" w:color="auto"/>
            <w:right w:val="none" w:sz="0" w:space="0" w:color="auto"/>
          </w:divBdr>
        </w:div>
      </w:divsChild>
    </w:div>
    <w:div w:id="2097631410">
      <w:marLeft w:val="0"/>
      <w:marRight w:val="0"/>
      <w:marTop w:val="0"/>
      <w:marBottom w:val="0"/>
      <w:divBdr>
        <w:top w:val="none" w:sz="0" w:space="0" w:color="auto"/>
        <w:left w:val="none" w:sz="0" w:space="0" w:color="auto"/>
        <w:bottom w:val="none" w:sz="0" w:space="0" w:color="auto"/>
        <w:right w:val="none" w:sz="0" w:space="0" w:color="auto"/>
      </w:divBdr>
      <w:divsChild>
        <w:div w:id="2097631354">
          <w:marLeft w:val="0"/>
          <w:marRight w:val="0"/>
          <w:marTop w:val="0"/>
          <w:marBottom w:val="0"/>
          <w:divBdr>
            <w:top w:val="none" w:sz="0" w:space="0" w:color="auto"/>
            <w:left w:val="none" w:sz="0" w:space="0" w:color="auto"/>
            <w:bottom w:val="none" w:sz="0" w:space="0" w:color="auto"/>
            <w:right w:val="none" w:sz="0" w:space="0" w:color="auto"/>
          </w:divBdr>
          <w:divsChild>
            <w:div w:id="2097631355">
              <w:marLeft w:val="0"/>
              <w:marRight w:val="0"/>
              <w:marTop w:val="0"/>
              <w:marBottom w:val="0"/>
              <w:divBdr>
                <w:top w:val="none" w:sz="0" w:space="0" w:color="auto"/>
                <w:left w:val="none" w:sz="0" w:space="0" w:color="auto"/>
                <w:bottom w:val="none" w:sz="0" w:space="0" w:color="auto"/>
                <w:right w:val="none" w:sz="0" w:space="0" w:color="auto"/>
              </w:divBdr>
              <w:divsChild>
                <w:div w:id="2097631353">
                  <w:marLeft w:val="0"/>
                  <w:marRight w:val="0"/>
                  <w:marTop w:val="0"/>
                  <w:marBottom w:val="0"/>
                  <w:divBdr>
                    <w:top w:val="none" w:sz="0" w:space="0" w:color="auto"/>
                    <w:left w:val="none" w:sz="0" w:space="0" w:color="auto"/>
                    <w:bottom w:val="none" w:sz="0" w:space="0" w:color="auto"/>
                    <w:right w:val="none" w:sz="0" w:space="0" w:color="auto"/>
                  </w:divBdr>
                  <w:divsChild>
                    <w:div w:id="2097631373">
                      <w:marLeft w:val="0"/>
                      <w:marRight w:val="0"/>
                      <w:marTop w:val="0"/>
                      <w:marBottom w:val="0"/>
                      <w:divBdr>
                        <w:top w:val="none" w:sz="0" w:space="0" w:color="auto"/>
                        <w:left w:val="none" w:sz="0" w:space="0" w:color="auto"/>
                        <w:bottom w:val="none" w:sz="0" w:space="0" w:color="auto"/>
                        <w:right w:val="none" w:sz="0" w:space="0" w:color="auto"/>
                      </w:divBdr>
                      <w:divsChild>
                        <w:div w:id="2097631367">
                          <w:marLeft w:val="0"/>
                          <w:marRight w:val="0"/>
                          <w:marTop w:val="0"/>
                          <w:marBottom w:val="0"/>
                          <w:divBdr>
                            <w:top w:val="none" w:sz="0" w:space="0" w:color="auto"/>
                            <w:left w:val="none" w:sz="0" w:space="0" w:color="auto"/>
                            <w:bottom w:val="none" w:sz="0" w:space="0" w:color="auto"/>
                            <w:right w:val="none" w:sz="0" w:space="0" w:color="auto"/>
                          </w:divBdr>
                          <w:divsChild>
                            <w:div w:id="2097631379">
                              <w:marLeft w:val="0"/>
                              <w:marRight w:val="0"/>
                              <w:marTop w:val="0"/>
                              <w:marBottom w:val="0"/>
                              <w:divBdr>
                                <w:top w:val="none" w:sz="0" w:space="0" w:color="auto"/>
                                <w:left w:val="none" w:sz="0" w:space="0" w:color="auto"/>
                                <w:bottom w:val="none" w:sz="0" w:space="0" w:color="auto"/>
                                <w:right w:val="none" w:sz="0" w:space="0" w:color="auto"/>
                              </w:divBdr>
                              <w:divsChild>
                                <w:div w:id="2097631387">
                                  <w:marLeft w:val="0"/>
                                  <w:marRight w:val="0"/>
                                  <w:marTop w:val="0"/>
                                  <w:marBottom w:val="0"/>
                                  <w:divBdr>
                                    <w:top w:val="single" w:sz="6" w:space="0" w:color="F5F5F5"/>
                                    <w:left w:val="single" w:sz="6" w:space="0" w:color="F5F5F5"/>
                                    <w:bottom w:val="single" w:sz="6" w:space="0" w:color="F5F5F5"/>
                                    <w:right w:val="single" w:sz="6" w:space="0" w:color="F5F5F5"/>
                                  </w:divBdr>
                                  <w:divsChild>
                                    <w:div w:id="2097631384">
                                      <w:marLeft w:val="0"/>
                                      <w:marRight w:val="0"/>
                                      <w:marTop w:val="0"/>
                                      <w:marBottom w:val="0"/>
                                      <w:divBdr>
                                        <w:top w:val="none" w:sz="0" w:space="0" w:color="auto"/>
                                        <w:left w:val="none" w:sz="0" w:space="0" w:color="auto"/>
                                        <w:bottom w:val="none" w:sz="0" w:space="0" w:color="auto"/>
                                        <w:right w:val="none" w:sz="0" w:space="0" w:color="auto"/>
                                      </w:divBdr>
                                      <w:divsChild>
                                        <w:div w:id="209763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7631411">
      <w:marLeft w:val="0"/>
      <w:marRight w:val="0"/>
      <w:marTop w:val="0"/>
      <w:marBottom w:val="0"/>
      <w:divBdr>
        <w:top w:val="none" w:sz="0" w:space="0" w:color="auto"/>
        <w:left w:val="none" w:sz="0" w:space="0" w:color="auto"/>
        <w:bottom w:val="none" w:sz="0" w:space="0" w:color="auto"/>
        <w:right w:val="none" w:sz="0" w:space="0" w:color="auto"/>
      </w:divBdr>
      <w:divsChild>
        <w:div w:id="2097631418">
          <w:marLeft w:val="0"/>
          <w:marRight w:val="0"/>
          <w:marTop w:val="0"/>
          <w:marBottom w:val="0"/>
          <w:divBdr>
            <w:top w:val="none" w:sz="0" w:space="0" w:color="auto"/>
            <w:left w:val="none" w:sz="0" w:space="0" w:color="auto"/>
            <w:bottom w:val="none" w:sz="0" w:space="0" w:color="auto"/>
            <w:right w:val="none" w:sz="0" w:space="0" w:color="auto"/>
          </w:divBdr>
        </w:div>
      </w:divsChild>
    </w:div>
    <w:div w:id="2097631414">
      <w:marLeft w:val="0"/>
      <w:marRight w:val="0"/>
      <w:marTop w:val="0"/>
      <w:marBottom w:val="0"/>
      <w:divBdr>
        <w:top w:val="none" w:sz="0" w:space="0" w:color="auto"/>
        <w:left w:val="none" w:sz="0" w:space="0" w:color="auto"/>
        <w:bottom w:val="none" w:sz="0" w:space="0" w:color="auto"/>
        <w:right w:val="none" w:sz="0" w:space="0" w:color="auto"/>
      </w:divBdr>
      <w:divsChild>
        <w:div w:id="2097631413">
          <w:marLeft w:val="0"/>
          <w:marRight w:val="0"/>
          <w:marTop w:val="0"/>
          <w:marBottom w:val="0"/>
          <w:divBdr>
            <w:top w:val="none" w:sz="0" w:space="0" w:color="auto"/>
            <w:left w:val="none" w:sz="0" w:space="0" w:color="auto"/>
            <w:bottom w:val="none" w:sz="0" w:space="0" w:color="auto"/>
            <w:right w:val="none" w:sz="0" w:space="0" w:color="auto"/>
          </w:divBdr>
        </w:div>
      </w:divsChild>
    </w:div>
    <w:div w:id="2097631416">
      <w:marLeft w:val="0"/>
      <w:marRight w:val="0"/>
      <w:marTop w:val="0"/>
      <w:marBottom w:val="0"/>
      <w:divBdr>
        <w:top w:val="none" w:sz="0" w:space="0" w:color="auto"/>
        <w:left w:val="none" w:sz="0" w:space="0" w:color="auto"/>
        <w:bottom w:val="none" w:sz="0" w:space="0" w:color="auto"/>
        <w:right w:val="none" w:sz="0" w:space="0" w:color="auto"/>
      </w:divBdr>
      <w:divsChild>
        <w:div w:id="2097631412">
          <w:marLeft w:val="0"/>
          <w:marRight w:val="0"/>
          <w:marTop w:val="0"/>
          <w:marBottom w:val="0"/>
          <w:divBdr>
            <w:top w:val="none" w:sz="0" w:space="0" w:color="auto"/>
            <w:left w:val="none" w:sz="0" w:space="0" w:color="auto"/>
            <w:bottom w:val="none" w:sz="0" w:space="0" w:color="auto"/>
            <w:right w:val="none" w:sz="0" w:space="0" w:color="auto"/>
          </w:divBdr>
        </w:div>
      </w:divsChild>
    </w:div>
    <w:div w:id="2097631417">
      <w:marLeft w:val="0"/>
      <w:marRight w:val="0"/>
      <w:marTop w:val="0"/>
      <w:marBottom w:val="0"/>
      <w:divBdr>
        <w:top w:val="none" w:sz="0" w:space="0" w:color="auto"/>
        <w:left w:val="none" w:sz="0" w:space="0" w:color="auto"/>
        <w:bottom w:val="none" w:sz="0" w:space="0" w:color="auto"/>
        <w:right w:val="none" w:sz="0" w:space="0" w:color="auto"/>
      </w:divBdr>
      <w:divsChild>
        <w:div w:id="2097631415">
          <w:marLeft w:val="0"/>
          <w:marRight w:val="0"/>
          <w:marTop w:val="0"/>
          <w:marBottom w:val="0"/>
          <w:divBdr>
            <w:top w:val="none" w:sz="0" w:space="0" w:color="auto"/>
            <w:left w:val="none" w:sz="0" w:space="0" w:color="auto"/>
            <w:bottom w:val="none" w:sz="0" w:space="0" w:color="auto"/>
            <w:right w:val="none" w:sz="0" w:space="0" w:color="auto"/>
          </w:divBdr>
        </w:div>
      </w:divsChild>
    </w:div>
    <w:div w:id="2097631419">
      <w:marLeft w:val="0"/>
      <w:marRight w:val="0"/>
      <w:marTop w:val="0"/>
      <w:marBottom w:val="0"/>
      <w:divBdr>
        <w:top w:val="none" w:sz="0" w:space="0" w:color="auto"/>
        <w:left w:val="none" w:sz="0" w:space="0" w:color="auto"/>
        <w:bottom w:val="none" w:sz="0" w:space="0" w:color="auto"/>
        <w:right w:val="none" w:sz="0" w:space="0" w:color="auto"/>
      </w:divBdr>
      <w:divsChild>
        <w:div w:id="20976314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1d45786f-a737-4735-8af6-df12fb6939a2" origin="userSelected"/>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05FECF-BB78-4E94-A87A-6BEF9A301534}">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2EAD2F0-BE57-4D23-9CFE-B6567892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1070</Words>
  <Characters>6100</Characters>
  <Application>Microsoft Office Word</Application>
  <DocSecurity>0</DocSecurity>
  <Lines>50</Lines>
  <Paragraphs>14</Paragraphs>
  <ScaleCrop>false</ScaleCrop>
  <Company/>
  <LinksUpToDate>false</LinksUpToDate>
  <CharactersWithSpaces>7156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2023-07-31T09:02:00Z</dcterms:created>
  <dcterms:modified xsi:type="dcterms:W3CDTF">2024-02-05T14:55:00Z</dcterms:modified>
</cp:coreProperties>
</file>