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EF98" w14:textId="632931FC" w:rsidR="00AE75AA" w:rsidRPr="00847CB8" w:rsidRDefault="003A457D">
      <w:pPr>
        <w:spacing w:after="0" w:line="259" w:lineRule="auto"/>
        <w:ind w:left="135" w:right="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47CB8">
        <w:rPr>
          <w:rFonts w:ascii="Times New Roman" w:hAnsi="Times New Roman" w:cs="Times New Roman"/>
        </w:rPr>
        <w:t>REZOLÚCIA</w:t>
      </w:r>
      <w:r w:rsidR="005B22F0" w:rsidRPr="00847CB8">
        <w:rPr>
          <w:rFonts w:ascii="Times New Roman" w:hAnsi="Times New Roman" w:cs="Times New Roman"/>
        </w:rPr>
        <w:t xml:space="preserve"> Č. 259 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0C4972CA" w14:textId="77777777" w:rsidR="00AE75AA" w:rsidRPr="00847CB8" w:rsidRDefault="009E5910">
      <w:pPr>
        <w:spacing w:after="58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78C55751" w14:textId="77777777" w:rsidR="005B22F0" w:rsidRPr="00847CB8" w:rsidRDefault="005B22F0" w:rsidP="005B22F0">
      <w:pPr>
        <w:pStyle w:val="Nadpis1"/>
        <w:ind w:left="135" w:right="11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ZMENA A DOPLNENIE ČLÁNKU 1 DOHODY O ZALOŽENÍ EURÓPSKEJ BANKY PRE OBNOVU A ROZVOJ S CIEĽOM UMOŽNIŤ </w:t>
      </w:r>
    </w:p>
    <w:p w14:paraId="45B3B783" w14:textId="3E6F83DD" w:rsidR="005B22F0" w:rsidRPr="00847CB8" w:rsidRDefault="005B22F0" w:rsidP="005B22F0">
      <w:pPr>
        <w:pStyle w:val="Nadpis1"/>
        <w:ind w:left="135" w:right="11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OBMEDZENÉ A POSTUPNÉ ROZŠÍRENIE GEOGRAFICK</w:t>
      </w:r>
      <w:r w:rsidR="003A457D" w:rsidRPr="00847CB8">
        <w:rPr>
          <w:rFonts w:ascii="Times New Roman" w:hAnsi="Times New Roman" w:cs="Times New Roman"/>
        </w:rPr>
        <w:t>ÉHO MANDÁTU</w:t>
      </w:r>
      <w:r w:rsidRPr="00847CB8">
        <w:rPr>
          <w:rFonts w:ascii="Times New Roman" w:hAnsi="Times New Roman" w:cs="Times New Roman"/>
        </w:rPr>
        <w:t xml:space="preserve"> </w:t>
      </w:r>
    </w:p>
    <w:p w14:paraId="1A93E473" w14:textId="77777777" w:rsidR="00AE75AA" w:rsidRPr="00847CB8" w:rsidRDefault="005B22F0" w:rsidP="005B22F0">
      <w:pPr>
        <w:pStyle w:val="Nadpis1"/>
        <w:ind w:left="135" w:right="11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OPERÁCIÍ BANKY DO SUBSAHARSKEJ AFRIKY A IRAKU</w:t>
      </w:r>
    </w:p>
    <w:p w14:paraId="36AFCAAC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20B5CB16" w14:textId="47FECC4A" w:rsidR="00AE75AA" w:rsidRPr="00847CB8" w:rsidRDefault="00AE75A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793CD7F1" w14:textId="77777777" w:rsidR="00AE75AA" w:rsidRPr="00847CB8" w:rsidRDefault="005B22F0">
      <w:pPr>
        <w:ind w:left="155" w:right="277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RADA GUVERNÉROV</w:t>
      </w:r>
      <w:r w:rsidR="009E5910" w:rsidRPr="00847CB8">
        <w:rPr>
          <w:rFonts w:ascii="Times New Roman" w:hAnsi="Times New Roman" w:cs="Times New Roman"/>
        </w:rPr>
        <w:t xml:space="preserve">, </w:t>
      </w:r>
    </w:p>
    <w:p w14:paraId="2E35274C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48315411" w14:textId="613BCE6E" w:rsidR="00AE75AA" w:rsidRPr="00847CB8" w:rsidRDefault="0035468A" w:rsidP="00343A14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Pripomínajúc rezolúciu č. 248, ktorou Rada guvernérov v zásade schválila obmedzené a postupné rozšírenie geografického </w:t>
      </w:r>
      <w:r w:rsidR="00343A14" w:rsidRPr="00847CB8">
        <w:rPr>
          <w:rFonts w:ascii="Times New Roman" w:hAnsi="Times New Roman" w:cs="Times New Roman"/>
        </w:rPr>
        <w:t>mandátu</w:t>
      </w:r>
      <w:r w:rsidRPr="00847CB8">
        <w:rPr>
          <w:rFonts w:ascii="Times New Roman" w:hAnsi="Times New Roman" w:cs="Times New Roman"/>
        </w:rPr>
        <w:t xml:space="preserve"> operácií Banky do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Afriky a Iraku; 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2772F8A1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00B8F3E9" w14:textId="4E6B2C79" w:rsidR="00AE75AA" w:rsidRPr="00847CB8" w:rsidRDefault="0035468A" w:rsidP="00343A14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Vyzdvihujúc význam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Afriky a Iraku pre dosiahnutie geopolitických a rozvojových priorít medzinárodného spoločenstva, silnejúce väzby medzi mnohými krajinami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Afriky, Irakom a súčasnými </w:t>
      </w:r>
      <w:proofErr w:type="spellStart"/>
      <w:r w:rsidR="00343A14" w:rsidRPr="00847CB8">
        <w:rPr>
          <w:rFonts w:ascii="Times New Roman" w:hAnsi="Times New Roman" w:cs="Times New Roman"/>
        </w:rPr>
        <w:t>prijímateľskými</w:t>
      </w:r>
      <w:proofErr w:type="spellEnd"/>
      <w:r w:rsidR="00343A14" w:rsidRPr="00847CB8">
        <w:rPr>
          <w:rFonts w:ascii="Times New Roman" w:hAnsi="Times New Roman" w:cs="Times New Roman"/>
        </w:rPr>
        <w:t xml:space="preserve"> </w:t>
      </w:r>
      <w:r w:rsidRPr="00847CB8">
        <w:rPr>
          <w:rFonts w:ascii="Times New Roman" w:hAnsi="Times New Roman" w:cs="Times New Roman"/>
        </w:rPr>
        <w:t xml:space="preserve">krajinami  EBOR, ako aj význam a uplatniteľnosť mandátu, obchodného modelu, zamerania na súkromný sektor a kompetencií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 xml:space="preserve">anky v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Afrike a Iraku;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5271E6B1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76AC0537" w14:textId="0E1CBD08" w:rsidR="00AE75AA" w:rsidRPr="00847CB8" w:rsidRDefault="0035468A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Zdôrazňujúc, že najnaliehavejšou prioritou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anky zostáva podpora Ukrajiny a</w:t>
      </w:r>
      <w:r w:rsidR="00522A8C" w:rsidRPr="00847CB8">
        <w:rPr>
          <w:rFonts w:ascii="Times New Roman" w:hAnsi="Times New Roman" w:cs="Times New Roman"/>
        </w:rPr>
        <w:t xml:space="preserve"> ostatných </w:t>
      </w:r>
      <w:proofErr w:type="spellStart"/>
      <w:r w:rsidR="00522A8C" w:rsidRPr="00847CB8">
        <w:rPr>
          <w:rFonts w:ascii="Times New Roman" w:hAnsi="Times New Roman" w:cs="Times New Roman"/>
        </w:rPr>
        <w:t>prijímateľských</w:t>
      </w:r>
      <w:proofErr w:type="spellEnd"/>
      <w:r w:rsidRPr="00847CB8">
        <w:rPr>
          <w:rFonts w:ascii="Times New Roman" w:hAnsi="Times New Roman" w:cs="Times New Roman"/>
        </w:rPr>
        <w:t xml:space="preserve"> krajín postihnutých vojnou na Ukrajine;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40511062" w14:textId="77777777" w:rsidR="00AE75AA" w:rsidRPr="00847CB8" w:rsidRDefault="009E5910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00EE4DC2" w14:textId="71FF280E" w:rsidR="00AE75AA" w:rsidRPr="00847CB8" w:rsidRDefault="0035468A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Uznávajúc, že vojna na Ukrajine posilnila paralelný význam</w:t>
      </w:r>
      <w:r w:rsidR="00522A8C" w:rsidRPr="00847CB8">
        <w:rPr>
          <w:rFonts w:ascii="Times New Roman" w:hAnsi="Times New Roman" w:cs="Times New Roman"/>
        </w:rPr>
        <w:t xml:space="preserve"> pokračovať v riešení</w:t>
      </w:r>
      <w:r w:rsidRPr="00847CB8">
        <w:rPr>
          <w:rFonts w:ascii="Times New Roman" w:hAnsi="Times New Roman" w:cs="Times New Roman"/>
        </w:rPr>
        <w:t xml:space="preserve"> cieľov akcionárov v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Afrike a Iraku;</w:t>
      </w:r>
    </w:p>
    <w:p w14:paraId="5129A9E6" w14:textId="42B85D0F" w:rsidR="00AE75AA" w:rsidRPr="00847CB8" w:rsidRDefault="009E5910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2271AC3C" w14:textId="3F7DB9A4" w:rsidR="002A0F4D" w:rsidRPr="00847CB8" w:rsidRDefault="0035468A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Zdôrazňujúc, že prípadn</w:t>
      </w:r>
      <w:r w:rsidR="00522A8C" w:rsidRPr="00847CB8">
        <w:rPr>
          <w:rFonts w:ascii="Times New Roman" w:hAnsi="Times New Roman" w:cs="Times New Roman"/>
        </w:rPr>
        <w:t>é</w:t>
      </w:r>
      <w:r w:rsidRPr="00847CB8">
        <w:rPr>
          <w:rFonts w:ascii="Times New Roman" w:hAnsi="Times New Roman" w:cs="Times New Roman"/>
        </w:rPr>
        <w:t xml:space="preserve"> obmedzen</w:t>
      </w:r>
      <w:r w:rsidR="00522A8C" w:rsidRPr="00847CB8">
        <w:rPr>
          <w:rFonts w:ascii="Times New Roman" w:hAnsi="Times New Roman" w:cs="Times New Roman"/>
        </w:rPr>
        <w:t>é</w:t>
      </w:r>
      <w:r w:rsidRPr="00847CB8">
        <w:rPr>
          <w:rFonts w:ascii="Times New Roman" w:hAnsi="Times New Roman" w:cs="Times New Roman"/>
        </w:rPr>
        <w:t xml:space="preserve"> a postupn</w:t>
      </w:r>
      <w:r w:rsidR="00522A8C" w:rsidRPr="00847CB8">
        <w:rPr>
          <w:rFonts w:ascii="Times New Roman" w:hAnsi="Times New Roman" w:cs="Times New Roman"/>
        </w:rPr>
        <w:t>é</w:t>
      </w:r>
      <w:r w:rsidRPr="00847CB8">
        <w:rPr>
          <w:rFonts w:ascii="Times New Roman" w:hAnsi="Times New Roman" w:cs="Times New Roman"/>
        </w:rPr>
        <w:t xml:space="preserve"> </w:t>
      </w:r>
      <w:r w:rsidR="002A0F4D" w:rsidRPr="00847CB8">
        <w:rPr>
          <w:rFonts w:ascii="Times New Roman" w:hAnsi="Times New Roman" w:cs="Times New Roman"/>
        </w:rPr>
        <w:t>rozšírenie</w:t>
      </w:r>
      <w:r w:rsidRPr="00847CB8">
        <w:rPr>
          <w:rFonts w:ascii="Times New Roman" w:hAnsi="Times New Roman" w:cs="Times New Roman"/>
        </w:rPr>
        <w:t xml:space="preserve"> do nových</w:t>
      </w:r>
      <w:r w:rsidR="009F6751" w:rsidRPr="00847CB8">
        <w:rPr>
          <w:rFonts w:ascii="Times New Roman" w:hAnsi="Times New Roman" w:cs="Times New Roman"/>
        </w:rPr>
        <w:t xml:space="preserve"> </w:t>
      </w:r>
      <w:proofErr w:type="spellStart"/>
      <w:r w:rsidR="009F6751" w:rsidRPr="00847CB8">
        <w:rPr>
          <w:rFonts w:ascii="Times New Roman" w:hAnsi="Times New Roman" w:cs="Times New Roman"/>
        </w:rPr>
        <w:t>prijímateľských</w:t>
      </w:r>
      <w:proofErr w:type="spellEnd"/>
      <w:r w:rsidRPr="00847CB8">
        <w:rPr>
          <w:rFonts w:ascii="Times New Roman" w:hAnsi="Times New Roman" w:cs="Times New Roman"/>
        </w:rPr>
        <w:t xml:space="preserve"> krajín nesmie: zhoršiť schopnosť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anky podporovať</w:t>
      </w:r>
      <w:r w:rsidR="002A0F4D" w:rsidRPr="00847CB8">
        <w:rPr>
          <w:rFonts w:ascii="Times New Roman" w:hAnsi="Times New Roman" w:cs="Times New Roman"/>
        </w:rPr>
        <w:t xml:space="preserve"> jej</w:t>
      </w:r>
      <w:r w:rsidRPr="00847CB8">
        <w:rPr>
          <w:rFonts w:ascii="Times New Roman" w:hAnsi="Times New Roman" w:cs="Times New Roman"/>
        </w:rPr>
        <w:t xml:space="preserve"> súčasné</w:t>
      </w:r>
      <w:r w:rsidR="00805A79" w:rsidRPr="00847CB8">
        <w:rPr>
          <w:rFonts w:ascii="Times New Roman" w:hAnsi="Times New Roman" w:cs="Times New Roman"/>
        </w:rPr>
        <w:t xml:space="preserve"> </w:t>
      </w:r>
      <w:proofErr w:type="spellStart"/>
      <w:r w:rsidR="00805A79" w:rsidRPr="00847CB8">
        <w:rPr>
          <w:rFonts w:ascii="Times New Roman" w:hAnsi="Times New Roman" w:cs="Times New Roman"/>
        </w:rPr>
        <w:t>prijímateľské</w:t>
      </w:r>
      <w:proofErr w:type="spellEnd"/>
      <w:r w:rsidRPr="00847CB8">
        <w:rPr>
          <w:rFonts w:ascii="Times New Roman" w:hAnsi="Times New Roman" w:cs="Times New Roman"/>
        </w:rPr>
        <w:t xml:space="preserve"> krajiny, ohroziť rating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 xml:space="preserve">anky na úrovni AAA, viesť k požiadavke na dodatočné kapitálové príspevky alebo sa odchýliť od mandátu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anky zameraného na podporu transformácie a jej prevádzkových zásad doplnkovosti a zdravého bankovníctva;</w:t>
      </w:r>
    </w:p>
    <w:p w14:paraId="12576EA5" w14:textId="77777777" w:rsidR="00AE75AA" w:rsidRPr="00847CB8" w:rsidRDefault="009E5910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3F3C599A" w14:textId="77777777" w:rsidR="00AE75AA" w:rsidRPr="00847CB8" w:rsidRDefault="00C26338" w:rsidP="00847CB8">
      <w:pPr>
        <w:ind w:left="155" w:right="-5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Vyzdvihujúc dôležitosť </w:t>
      </w:r>
      <w:proofErr w:type="spellStart"/>
      <w:r w:rsidRPr="00847CB8">
        <w:rPr>
          <w:rFonts w:ascii="Times New Roman" w:hAnsi="Times New Roman" w:cs="Times New Roman"/>
        </w:rPr>
        <w:t>komplementarity</w:t>
      </w:r>
      <w:proofErr w:type="spellEnd"/>
      <w:r w:rsidRPr="00847CB8">
        <w:rPr>
          <w:rFonts w:ascii="Times New Roman" w:hAnsi="Times New Roman" w:cs="Times New Roman"/>
        </w:rPr>
        <w:t xml:space="preserve"> a spolupráce medzi rozvojovými partnermi, ktorí už pôsobia v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Afrike a Iraku, a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0946427D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67716B35" w14:textId="154608D6" w:rsidR="00AE75AA" w:rsidRPr="00847CB8" w:rsidRDefault="00C26338">
      <w:pPr>
        <w:spacing w:after="0" w:line="246" w:lineRule="auto"/>
        <w:ind w:left="170" w:right="58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Po posúdení správy</w:t>
      </w:r>
      <w:r w:rsidR="0007089A" w:rsidRPr="00847CB8">
        <w:rPr>
          <w:rFonts w:ascii="Times New Roman" w:hAnsi="Times New Roman" w:cs="Times New Roman"/>
        </w:rPr>
        <w:t xml:space="preserve"> Radou</w:t>
      </w:r>
      <w:r w:rsidR="002A0F4D" w:rsidRPr="00847CB8">
        <w:rPr>
          <w:rFonts w:ascii="Times New Roman" w:hAnsi="Times New Roman" w:cs="Times New Roman"/>
        </w:rPr>
        <w:t xml:space="preserve"> riaditeľov</w:t>
      </w:r>
      <w:r w:rsidRPr="00847CB8">
        <w:rPr>
          <w:rFonts w:ascii="Times New Roman" w:hAnsi="Times New Roman" w:cs="Times New Roman"/>
        </w:rPr>
        <w:t xml:space="preserve"> predloženej Rade guvernérov </w:t>
      </w:r>
      <w:r w:rsidRPr="00847CB8">
        <w:rPr>
          <w:rFonts w:ascii="Times New Roman" w:hAnsi="Times New Roman" w:cs="Times New Roman"/>
          <w:i/>
        </w:rPr>
        <w:t xml:space="preserve">„Zmena a doplnenie článku 1 Dohody o založení Európskej banky pre obnovu a rozvoj s cieľom umožniť obmedzené a postupné rozšírenie geografickej </w:t>
      </w:r>
      <w:r w:rsidR="002A0F4D" w:rsidRPr="00847CB8">
        <w:rPr>
          <w:rFonts w:ascii="Times New Roman" w:hAnsi="Times New Roman" w:cs="Times New Roman"/>
          <w:i/>
        </w:rPr>
        <w:t>mandátu</w:t>
      </w:r>
      <w:r w:rsidRPr="00847CB8">
        <w:rPr>
          <w:rFonts w:ascii="Times New Roman" w:hAnsi="Times New Roman" w:cs="Times New Roman"/>
          <w:i/>
        </w:rPr>
        <w:t xml:space="preserve"> operácií </w:t>
      </w:r>
      <w:r w:rsidR="00AF0EC2" w:rsidRPr="00847CB8">
        <w:rPr>
          <w:rFonts w:ascii="Times New Roman" w:hAnsi="Times New Roman" w:cs="Times New Roman"/>
          <w:i/>
        </w:rPr>
        <w:t>B</w:t>
      </w:r>
      <w:r w:rsidRPr="00847CB8">
        <w:rPr>
          <w:rFonts w:ascii="Times New Roman" w:hAnsi="Times New Roman" w:cs="Times New Roman"/>
          <w:i/>
        </w:rPr>
        <w:t xml:space="preserve">anky do </w:t>
      </w:r>
      <w:proofErr w:type="spellStart"/>
      <w:r w:rsidRPr="00847CB8">
        <w:rPr>
          <w:rFonts w:ascii="Times New Roman" w:hAnsi="Times New Roman" w:cs="Times New Roman"/>
          <w:i/>
        </w:rPr>
        <w:t>subsaharskej</w:t>
      </w:r>
      <w:proofErr w:type="spellEnd"/>
      <w:r w:rsidRPr="00847CB8">
        <w:rPr>
          <w:rFonts w:ascii="Times New Roman" w:hAnsi="Times New Roman" w:cs="Times New Roman"/>
          <w:i/>
        </w:rPr>
        <w:t xml:space="preserve"> Afriky a Iraku“</w:t>
      </w:r>
      <w:r w:rsidRPr="00847CB8">
        <w:rPr>
          <w:rFonts w:ascii="Times New Roman" w:hAnsi="Times New Roman" w:cs="Times New Roman"/>
        </w:rPr>
        <w:t xml:space="preserve"> a po odsúhlasení jej záverov, ktoré okrem iného uvádzajú, že</w:t>
      </w:r>
      <w:r w:rsidR="009E5910" w:rsidRPr="00847CB8">
        <w:rPr>
          <w:rFonts w:ascii="Times New Roman" w:hAnsi="Times New Roman" w:cs="Times New Roman"/>
        </w:rPr>
        <w:t xml:space="preserve">: </w:t>
      </w:r>
    </w:p>
    <w:p w14:paraId="052ABA22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  <w:r w:rsidRPr="00847CB8">
        <w:rPr>
          <w:rFonts w:ascii="Times New Roman" w:hAnsi="Times New Roman" w:cs="Times New Roman"/>
        </w:rPr>
        <w:tab/>
        <w:t xml:space="preserve"> </w:t>
      </w:r>
    </w:p>
    <w:p w14:paraId="533350B7" w14:textId="77777777" w:rsidR="00AE75AA" w:rsidRPr="00847CB8" w:rsidRDefault="009E5910">
      <w:pPr>
        <w:spacing w:after="43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72AC5651" w14:textId="7EFF7493" w:rsidR="00AE75AA" w:rsidRPr="00847CB8" w:rsidRDefault="00C26338" w:rsidP="00C26338">
      <w:pPr>
        <w:numPr>
          <w:ilvl w:val="0"/>
          <w:numId w:val="1"/>
        </w:numPr>
        <w:ind w:right="277" w:hanging="673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Analýza kapitálových a finančných dôsledkov opätovne potvrdzuje, že obmedzené a postupné rozšírenie do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Afriky a Iraku samo o sebe </w:t>
      </w:r>
      <w:r w:rsidRPr="00847CB8">
        <w:rPr>
          <w:rFonts w:ascii="Times New Roman" w:hAnsi="Times New Roman" w:cs="Times New Roman"/>
        </w:rPr>
        <w:lastRenderedPageBreak/>
        <w:t xml:space="preserve">neohrozí schopnosť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anky podporovať súčasné</w:t>
      </w:r>
      <w:r w:rsidR="002A0F4D" w:rsidRPr="00847CB8">
        <w:rPr>
          <w:rFonts w:ascii="Times New Roman" w:hAnsi="Times New Roman" w:cs="Times New Roman"/>
        </w:rPr>
        <w:t xml:space="preserve"> </w:t>
      </w:r>
      <w:proofErr w:type="spellStart"/>
      <w:r w:rsidR="002A0F4D" w:rsidRPr="00847CB8">
        <w:rPr>
          <w:rFonts w:ascii="Times New Roman" w:hAnsi="Times New Roman" w:cs="Times New Roman"/>
        </w:rPr>
        <w:t>prijímateľské</w:t>
      </w:r>
      <w:proofErr w:type="spellEnd"/>
      <w:r w:rsidRPr="00847CB8">
        <w:rPr>
          <w:rFonts w:ascii="Times New Roman" w:hAnsi="Times New Roman" w:cs="Times New Roman"/>
        </w:rPr>
        <w:t xml:space="preserve"> krajiny</w:t>
      </w:r>
      <w:r w:rsidR="00AF0EC2" w:rsidRPr="00847CB8">
        <w:rPr>
          <w:rFonts w:ascii="Times New Roman" w:hAnsi="Times New Roman" w:cs="Times New Roman"/>
        </w:rPr>
        <w:t>, neohrozí úverový rating B</w:t>
      </w:r>
      <w:r w:rsidRPr="00847CB8">
        <w:rPr>
          <w:rFonts w:ascii="Times New Roman" w:hAnsi="Times New Roman" w:cs="Times New Roman"/>
        </w:rPr>
        <w:t>anky na úrovni AAA ani nepovedie k žiadosti o dodatočné kapitálové príspevky</w:t>
      </w:r>
      <w:r w:rsidR="009E5910" w:rsidRPr="00847CB8">
        <w:rPr>
          <w:rFonts w:ascii="Times New Roman" w:hAnsi="Times New Roman" w:cs="Times New Roman"/>
        </w:rPr>
        <w:t xml:space="preserve">; </w:t>
      </w:r>
    </w:p>
    <w:p w14:paraId="58785976" w14:textId="77777777" w:rsidR="00AE75AA" w:rsidRPr="00847CB8" w:rsidRDefault="009E5910">
      <w:pPr>
        <w:spacing w:after="43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1C0CDD69" w14:textId="48F1D44A" w:rsidR="00AE75AA" w:rsidRPr="00847CB8" w:rsidRDefault="00C26338" w:rsidP="00C26338">
      <w:pPr>
        <w:numPr>
          <w:ilvl w:val="0"/>
          <w:numId w:val="1"/>
        </w:numPr>
        <w:ind w:right="277" w:hanging="673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Takéto obmedzené a postupné rozšírenie geografick</w:t>
      </w:r>
      <w:r w:rsidR="002A0F4D" w:rsidRPr="00847CB8">
        <w:rPr>
          <w:rFonts w:ascii="Times New Roman" w:hAnsi="Times New Roman" w:cs="Times New Roman"/>
        </w:rPr>
        <w:t>ého mandátu</w:t>
      </w:r>
      <w:r w:rsidRPr="00847CB8">
        <w:rPr>
          <w:rFonts w:ascii="Times New Roman" w:hAnsi="Times New Roman" w:cs="Times New Roman"/>
        </w:rPr>
        <w:t xml:space="preserve">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 xml:space="preserve">anky o </w:t>
      </w:r>
      <w:proofErr w:type="spellStart"/>
      <w:r w:rsidRPr="00847CB8">
        <w:rPr>
          <w:rFonts w:ascii="Times New Roman" w:hAnsi="Times New Roman" w:cs="Times New Roman"/>
        </w:rPr>
        <w:t>subsaharskú</w:t>
      </w:r>
      <w:proofErr w:type="spellEnd"/>
      <w:r w:rsidRPr="00847CB8">
        <w:rPr>
          <w:rFonts w:ascii="Times New Roman" w:hAnsi="Times New Roman" w:cs="Times New Roman"/>
        </w:rPr>
        <w:t xml:space="preserve"> Afriku a Irak by malo umožniť doplnenie článku 1 Dohody o založení Európskej banky pre obnovu a rozvoj (ďalej len "</w:t>
      </w:r>
      <w:r w:rsidR="002A0F4D" w:rsidRPr="00847CB8">
        <w:rPr>
          <w:rFonts w:ascii="Times New Roman" w:hAnsi="Times New Roman" w:cs="Times New Roman"/>
        </w:rPr>
        <w:t>d</w:t>
      </w:r>
      <w:r w:rsidRPr="00847CB8">
        <w:rPr>
          <w:rFonts w:ascii="Times New Roman" w:hAnsi="Times New Roman" w:cs="Times New Roman"/>
        </w:rPr>
        <w:t xml:space="preserve">ohoda") a 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3496BAF2" w14:textId="77777777" w:rsidR="00AE75AA" w:rsidRPr="00847CB8" w:rsidRDefault="009E5910">
      <w:pPr>
        <w:spacing w:after="107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158E996D" w14:textId="2BA6EBF8" w:rsidR="00AE75AA" w:rsidRPr="00847CB8" w:rsidRDefault="00C26338" w:rsidP="00AA17D3">
      <w:pPr>
        <w:numPr>
          <w:ilvl w:val="0"/>
          <w:numId w:val="1"/>
        </w:numPr>
        <w:ind w:right="277" w:hanging="673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Realizácia rozšírenia sa musí uskutočniť spôsobom, ktorý neoslabí zameranie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anky na podporu Ukrajiny a</w:t>
      </w:r>
      <w:r w:rsidR="0094362D" w:rsidRPr="00847CB8">
        <w:rPr>
          <w:rFonts w:ascii="Times New Roman" w:hAnsi="Times New Roman" w:cs="Times New Roman"/>
        </w:rPr>
        <w:t xml:space="preserve"> ostatných </w:t>
      </w:r>
      <w:proofErr w:type="spellStart"/>
      <w:r w:rsidR="0094362D" w:rsidRPr="00847CB8">
        <w:rPr>
          <w:rFonts w:ascii="Times New Roman" w:hAnsi="Times New Roman" w:cs="Times New Roman"/>
        </w:rPr>
        <w:t>prijímateľských</w:t>
      </w:r>
      <w:proofErr w:type="spellEnd"/>
      <w:r w:rsidRPr="00847CB8">
        <w:rPr>
          <w:rFonts w:ascii="Times New Roman" w:hAnsi="Times New Roman" w:cs="Times New Roman"/>
        </w:rPr>
        <w:t xml:space="preserve"> krajín</w:t>
      </w:r>
      <w:r w:rsidR="00AA17D3" w:rsidRPr="00847CB8">
        <w:rPr>
          <w:rFonts w:ascii="Times New Roman" w:hAnsi="Times New Roman" w:cs="Times New Roman"/>
        </w:rPr>
        <w:t xml:space="preserve"> postihnutých vojnou na Ukrajine</w:t>
      </w:r>
      <w:r w:rsidR="009E5910" w:rsidRPr="00847CB8">
        <w:rPr>
          <w:rFonts w:ascii="Times New Roman" w:hAnsi="Times New Roman" w:cs="Times New Roman"/>
        </w:rPr>
        <w:t xml:space="preserve">. </w:t>
      </w:r>
    </w:p>
    <w:p w14:paraId="1AA0B754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22A5C4FE" w14:textId="77777777" w:rsidR="00AE75AA" w:rsidRPr="00847CB8" w:rsidRDefault="00AA17D3">
      <w:pPr>
        <w:ind w:left="155" w:right="277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KONŠTATUJE, ŽE</w:t>
      </w:r>
      <w:r w:rsidR="009E5910" w:rsidRPr="00847CB8">
        <w:rPr>
          <w:rFonts w:ascii="Times New Roman" w:hAnsi="Times New Roman" w:cs="Times New Roman"/>
        </w:rPr>
        <w:t xml:space="preserve">: </w:t>
      </w:r>
    </w:p>
    <w:p w14:paraId="4C8315F2" w14:textId="77777777" w:rsidR="00AE75AA" w:rsidRPr="00847CB8" w:rsidRDefault="009E5910">
      <w:pPr>
        <w:spacing w:after="43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5BEDBE4D" w14:textId="34204B66" w:rsidR="00AE75AA" w:rsidRPr="00847CB8" w:rsidRDefault="00BA3829" w:rsidP="00BA3829">
      <w:pPr>
        <w:numPr>
          <w:ilvl w:val="0"/>
          <w:numId w:val="2"/>
        </w:numPr>
        <w:ind w:right="277" w:hanging="689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Článok 1 </w:t>
      </w:r>
      <w:r w:rsidR="0094362D" w:rsidRPr="00847CB8">
        <w:rPr>
          <w:rFonts w:ascii="Times New Roman" w:hAnsi="Times New Roman" w:cs="Times New Roman"/>
        </w:rPr>
        <w:t>d</w:t>
      </w:r>
      <w:r w:rsidRPr="00847CB8">
        <w:rPr>
          <w:rFonts w:ascii="Times New Roman" w:hAnsi="Times New Roman" w:cs="Times New Roman"/>
        </w:rPr>
        <w:t>ohody sa mení a dopĺňa nasledovne</w:t>
      </w:r>
      <w:r w:rsidR="009E5910" w:rsidRPr="00847CB8">
        <w:rPr>
          <w:rFonts w:ascii="Times New Roman" w:hAnsi="Times New Roman" w:cs="Times New Roman"/>
        </w:rPr>
        <w:t xml:space="preserve">: </w:t>
      </w:r>
    </w:p>
    <w:p w14:paraId="55F95348" w14:textId="58FCD915" w:rsidR="00847CB8" w:rsidRPr="00847CB8" w:rsidRDefault="00847CB8" w:rsidP="00847CB8">
      <w:pPr>
        <w:ind w:right="277"/>
        <w:rPr>
          <w:rFonts w:ascii="Times New Roman" w:hAnsi="Times New Roman" w:cs="Times New Roman"/>
        </w:rPr>
      </w:pPr>
    </w:p>
    <w:p w14:paraId="243C3093" w14:textId="77777777" w:rsidR="00847CB8" w:rsidRPr="00847CB8" w:rsidRDefault="009E5910" w:rsidP="00847CB8">
      <w:pPr>
        <w:pStyle w:val="Bezriadkovania"/>
        <w:jc w:val="both"/>
        <w:rPr>
          <w:rFonts w:ascii="Times New Roman" w:hAnsi="Times New Roman"/>
          <w:color w:val="494949"/>
          <w:sz w:val="21"/>
          <w:szCs w:val="21"/>
          <w:shd w:val="clear" w:color="auto" w:fill="FFFFFF"/>
        </w:rPr>
      </w:pPr>
      <w:r w:rsidRPr="00847CB8">
        <w:rPr>
          <w:rFonts w:ascii="Times New Roman" w:hAnsi="Times New Roman"/>
        </w:rPr>
        <w:t xml:space="preserve"> </w:t>
      </w:r>
      <w:r w:rsidR="00847CB8" w:rsidRPr="00847CB8">
        <w:rPr>
          <w:rFonts w:ascii="Times New Roman" w:hAnsi="Times New Roman"/>
          <w:sz w:val="24"/>
          <w:szCs w:val="24"/>
        </w:rPr>
        <w:t>„V rámci prispievania k hospodárskemu pokroku a obnove je účelom banky podpora prechodu k otvorenému, trhovo zameranému hospodárstvu a podpora súkromnej a podnikateľskej iniciatívy v krajinách strednej a východnej Európy, ktoré sa zaviazali dodržiavať zásady demokracie viacerých strán, pluralizmu a trhového hospodárstva a ktoré tieto zásady uplatňujú. Cieľ banky sa môže za rovnakých podmienok dosahovať aj v </w:t>
      </w:r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>(i)</w:t>
      </w:r>
      <w:r w:rsidR="00847CB8" w:rsidRPr="00847CB8">
        <w:rPr>
          <w:rFonts w:ascii="Times New Roman" w:hAnsi="Times New Roman"/>
          <w:sz w:val="24"/>
          <w:szCs w:val="24"/>
        </w:rPr>
        <w:t xml:space="preserve"> Mongolsku</w:t>
      </w:r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>; (ii)</w:t>
      </w:r>
      <w:r w:rsidR="00847CB8" w:rsidRPr="00847CB8">
        <w:rPr>
          <w:rFonts w:ascii="Times New Roman" w:hAnsi="Times New Roman"/>
          <w:sz w:val="24"/>
          <w:szCs w:val="24"/>
        </w:rPr>
        <w:t xml:space="preserve"> </w:t>
      </w:r>
      <w:r w:rsidR="00847CB8" w:rsidRPr="00847CB8">
        <w:rPr>
          <w:rFonts w:ascii="Times New Roman" w:hAnsi="Times New Roman"/>
          <w:i/>
          <w:strike/>
          <w:sz w:val="24"/>
          <w:szCs w:val="24"/>
          <w:u w:val="single"/>
        </w:rPr>
        <w:t>a v</w:t>
      </w:r>
      <w:r w:rsidR="00847CB8" w:rsidRPr="00847CB8">
        <w:rPr>
          <w:rFonts w:ascii="Times New Roman" w:hAnsi="Times New Roman"/>
          <w:sz w:val="24"/>
          <w:szCs w:val="24"/>
        </w:rPr>
        <w:t xml:space="preserve"> členských krajinách južného a východného Stredozemia</w:t>
      </w:r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 xml:space="preserve">; a (iii) v obmedzenom počte krajín </w:t>
      </w:r>
      <w:proofErr w:type="spellStart"/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>subsaharskej</w:t>
      </w:r>
      <w:proofErr w:type="spellEnd"/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 xml:space="preserve"> Afriky, v každom prípade podľa bodov (ii) a (iii)</w:t>
      </w:r>
      <w:r w:rsidR="00847CB8" w:rsidRPr="00847CB8">
        <w:rPr>
          <w:rFonts w:ascii="Times New Roman" w:hAnsi="Times New Roman"/>
          <w:sz w:val="24"/>
          <w:szCs w:val="24"/>
        </w:rPr>
        <w:t xml:space="preserve">, na základe rozhodnutia banky pri schválení najmenej dvomi tretinami guvernérov, ktorí predstavujú najmenej tri štvrtiny celkového počtu hlasov členov. Preto akýkoľvek odkaz na „krajiny strednej a východnej Európy“, „krajiny zo strednej a východnej Európy“, „prijímajúcu krajinu (alebo krajiny)“ alebo na „prijímajúcu členskú krajinu (alebo krajiny)“, uvedený v tejto dohode a jej prílohách, sa vzťahuje aj na Mongolsko a na každú z týchto krajín južného a východného Stredozemia </w:t>
      </w:r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>a </w:t>
      </w:r>
      <w:proofErr w:type="spellStart"/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>subsaharskej</w:t>
      </w:r>
      <w:proofErr w:type="spellEnd"/>
      <w:r w:rsidR="00847CB8" w:rsidRPr="00847CB8">
        <w:rPr>
          <w:rFonts w:ascii="Times New Roman" w:hAnsi="Times New Roman"/>
          <w:i/>
          <w:sz w:val="24"/>
          <w:szCs w:val="24"/>
          <w:u w:val="single"/>
        </w:rPr>
        <w:t xml:space="preserve"> Afriky</w:t>
      </w:r>
      <w:r w:rsidR="00847CB8" w:rsidRPr="00847CB8">
        <w:rPr>
          <w:rFonts w:ascii="Times New Roman" w:hAnsi="Times New Roman"/>
          <w:sz w:val="24"/>
          <w:szCs w:val="24"/>
        </w:rPr>
        <w:t>.“</w:t>
      </w:r>
    </w:p>
    <w:p w14:paraId="4AAA8490" w14:textId="77777777" w:rsidR="00AE75AA" w:rsidRPr="00847CB8" w:rsidRDefault="00AE75AA" w:rsidP="007C09F1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54CFF82A" w14:textId="2AF3170F" w:rsidR="00AE75AA" w:rsidRPr="00847CB8" w:rsidRDefault="00A51EE5" w:rsidP="007C09F1">
      <w:pPr>
        <w:pStyle w:val="Odsekzoznamu"/>
        <w:numPr>
          <w:ilvl w:val="0"/>
          <w:numId w:val="4"/>
        </w:numPr>
        <w:ind w:right="277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Pod pojmom „</w:t>
      </w:r>
      <w:proofErr w:type="spellStart"/>
      <w:r w:rsidRPr="00847CB8">
        <w:rPr>
          <w:rFonts w:ascii="Times New Roman" w:hAnsi="Times New Roman" w:cs="Times New Roman"/>
        </w:rPr>
        <w:t>subsaharská</w:t>
      </w:r>
      <w:proofErr w:type="spellEnd"/>
      <w:r w:rsidRPr="00847CB8">
        <w:rPr>
          <w:rFonts w:ascii="Times New Roman" w:hAnsi="Times New Roman" w:cs="Times New Roman"/>
        </w:rPr>
        <w:t xml:space="preserve"> Afrika“ </w:t>
      </w:r>
      <w:r w:rsidR="00E35BF2" w:rsidRPr="00847CB8">
        <w:rPr>
          <w:rFonts w:ascii="Times New Roman" w:hAnsi="Times New Roman" w:cs="Times New Roman"/>
        </w:rPr>
        <w:t xml:space="preserve">uvedeným v článku 1 </w:t>
      </w:r>
      <w:r w:rsidR="00241AB3" w:rsidRPr="00847CB8">
        <w:rPr>
          <w:rFonts w:ascii="Times New Roman" w:hAnsi="Times New Roman" w:cs="Times New Roman"/>
        </w:rPr>
        <w:t>d</w:t>
      </w:r>
      <w:r w:rsidR="00E35BF2" w:rsidRPr="00847CB8">
        <w:rPr>
          <w:rFonts w:ascii="Times New Roman" w:hAnsi="Times New Roman" w:cs="Times New Roman"/>
        </w:rPr>
        <w:t>ohody</w:t>
      </w:r>
      <w:r w:rsidRPr="00847CB8">
        <w:rPr>
          <w:rFonts w:ascii="Times New Roman" w:hAnsi="Times New Roman" w:cs="Times New Roman"/>
        </w:rPr>
        <w:t xml:space="preserve"> sa roz</w:t>
      </w:r>
      <w:r w:rsidR="00865183" w:rsidRPr="00847CB8">
        <w:rPr>
          <w:rFonts w:ascii="Times New Roman" w:hAnsi="Times New Roman" w:cs="Times New Roman"/>
        </w:rPr>
        <w:t xml:space="preserve">umie región </w:t>
      </w:r>
      <w:proofErr w:type="spellStart"/>
      <w:r w:rsidR="00865183" w:rsidRPr="00847CB8">
        <w:rPr>
          <w:rFonts w:ascii="Times New Roman" w:hAnsi="Times New Roman" w:cs="Times New Roman"/>
        </w:rPr>
        <w:t>subsaharskej</w:t>
      </w:r>
      <w:proofErr w:type="spellEnd"/>
      <w:r w:rsidR="00865183" w:rsidRPr="00847CB8">
        <w:rPr>
          <w:rFonts w:ascii="Times New Roman" w:hAnsi="Times New Roman" w:cs="Times New Roman"/>
        </w:rPr>
        <w:t xml:space="preserve"> Afriky</w:t>
      </w:r>
      <w:r w:rsidRPr="00847CB8">
        <w:rPr>
          <w:rFonts w:ascii="Times New Roman" w:hAnsi="Times New Roman" w:cs="Times New Roman"/>
        </w:rPr>
        <w:t xml:space="preserve"> </w:t>
      </w:r>
      <w:r w:rsidR="00865183" w:rsidRPr="00847CB8">
        <w:rPr>
          <w:rFonts w:ascii="Times New Roman" w:hAnsi="Times New Roman" w:cs="Times New Roman"/>
        </w:rPr>
        <w:t>podľa definície</w:t>
      </w:r>
      <w:r w:rsidRPr="00847CB8">
        <w:rPr>
          <w:rFonts w:ascii="Times New Roman" w:hAnsi="Times New Roman" w:cs="Times New Roman"/>
        </w:rPr>
        <w:t xml:space="preserve"> Skupin</w:t>
      </w:r>
      <w:r w:rsidR="00865183" w:rsidRPr="00847CB8">
        <w:rPr>
          <w:rFonts w:ascii="Times New Roman" w:hAnsi="Times New Roman" w:cs="Times New Roman"/>
        </w:rPr>
        <w:t>y</w:t>
      </w:r>
      <w:r w:rsidRPr="00847CB8">
        <w:rPr>
          <w:rFonts w:ascii="Times New Roman" w:hAnsi="Times New Roman" w:cs="Times New Roman"/>
        </w:rPr>
        <w:t xml:space="preserve"> Svetovej banky.</w:t>
      </w:r>
    </w:p>
    <w:p w14:paraId="497054B3" w14:textId="77777777" w:rsidR="00AE75AA" w:rsidRPr="00847CB8" w:rsidRDefault="009E5910" w:rsidP="007C09F1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  <w:r w:rsidRPr="00847CB8">
        <w:rPr>
          <w:rFonts w:ascii="Times New Roman" w:hAnsi="Times New Roman" w:cs="Times New Roman"/>
        </w:rPr>
        <w:tab/>
        <w:t xml:space="preserve"> </w:t>
      </w:r>
    </w:p>
    <w:p w14:paraId="1F5B4610" w14:textId="67B768FE" w:rsidR="00950162" w:rsidRPr="00847CB8" w:rsidRDefault="00950162" w:rsidP="007C09F1">
      <w:pPr>
        <w:pStyle w:val="Odsekzoznamu"/>
        <w:numPr>
          <w:ilvl w:val="0"/>
          <w:numId w:val="4"/>
        </w:numPr>
        <w:spacing w:after="27" w:line="259" w:lineRule="auto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Obmedzenie počtu členských krajín </w:t>
      </w:r>
      <w:proofErr w:type="spellStart"/>
      <w:r w:rsidRPr="00847CB8">
        <w:rPr>
          <w:rFonts w:ascii="Times New Roman" w:hAnsi="Times New Roman" w:cs="Times New Roman"/>
        </w:rPr>
        <w:t>subsaharskej</w:t>
      </w:r>
      <w:proofErr w:type="spellEnd"/>
      <w:r w:rsidRPr="00847CB8">
        <w:rPr>
          <w:rFonts w:ascii="Times New Roman" w:hAnsi="Times New Roman" w:cs="Times New Roman"/>
        </w:rPr>
        <w:t xml:space="preserve"> Afriky, v ktorých môže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anka realizovať svoj</w:t>
      </w:r>
      <w:r w:rsidR="00241AB3" w:rsidRPr="00847CB8">
        <w:rPr>
          <w:rFonts w:ascii="Times New Roman" w:hAnsi="Times New Roman" w:cs="Times New Roman"/>
        </w:rPr>
        <w:t xml:space="preserve"> cieľ</w:t>
      </w:r>
      <w:r w:rsidR="00E35BF2" w:rsidRPr="00847CB8">
        <w:rPr>
          <w:rFonts w:ascii="Times New Roman" w:hAnsi="Times New Roman" w:cs="Times New Roman"/>
        </w:rPr>
        <w:t>,</w:t>
      </w:r>
      <w:r w:rsidRPr="00847CB8">
        <w:rPr>
          <w:rFonts w:ascii="Times New Roman" w:hAnsi="Times New Roman" w:cs="Times New Roman"/>
        </w:rPr>
        <w:t xml:space="preserve"> </w:t>
      </w:r>
      <w:r w:rsidR="00E35BF2" w:rsidRPr="00847CB8">
        <w:rPr>
          <w:rFonts w:ascii="Times New Roman" w:hAnsi="Times New Roman" w:cs="Times New Roman"/>
        </w:rPr>
        <w:t xml:space="preserve">uvedené v článku 1 </w:t>
      </w:r>
      <w:r w:rsidR="00241AB3" w:rsidRPr="00847CB8">
        <w:rPr>
          <w:rFonts w:ascii="Times New Roman" w:hAnsi="Times New Roman" w:cs="Times New Roman"/>
        </w:rPr>
        <w:t>d</w:t>
      </w:r>
      <w:r w:rsidR="00E35BF2" w:rsidRPr="00847CB8">
        <w:rPr>
          <w:rFonts w:ascii="Times New Roman" w:hAnsi="Times New Roman" w:cs="Times New Roman"/>
        </w:rPr>
        <w:t>ohody</w:t>
      </w:r>
      <w:r w:rsidR="00865183" w:rsidRPr="00847CB8">
        <w:rPr>
          <w:rFonts w:ascii="Times New Roman" w:hAnsi="Times New Roman" w:cs="Times New Roman"/>
        </w:rPr>
        <w:t>,</w:t>
      </w:r>
      <w:r w:rsidRPr="00847CB8">
        <w:rPr>
          <w:rFonts w:ascii="Times New Roman" w:hAnsi="Times New Roman" w:cs="Times New Roman"/>
        </w:rPr>
        <w:t xml:space="preserve"> má umožniť obmedzené a postupné rozširovanie geografick</w:t>
      </w:r>
      <w:r w:rsidR="00241AB3" w:rsidRPr="00847CB8">
        <w:rPr>
          <w:rFonts w:ascii="Times New Roman" w:hAnsi="Times New Roman" w:cs="Times New Roman"/>
        </w:rPr>
        <w:t>ého mandátu</w:t>
      </w:r>
      <w:r w:rsidRPr="00847CB8">
        <w:rPr>
          <w:rFonts w:ascii="Times New Roman" w:hAnsi="Times New Roman" w:cs="Times New Roman"/>
        </w:rPr>
        <w:t xml:space="preserve"> </w:t>
      </w:r>
      <w:r w:rsidR="00AF0EC2" w:rsidRPr="00847CB8">
        <w:rPr>
          <w:rFonts w:ascii="Times New Roman" w:hAnsi="Times New Roman" w:cs="Times New Roman"/>
        </w:rPr>
        <w:t>B</w:t>
      </w:r>
      <w:r w:rsidRPr="00847CB8">
        <w:rPr>
          <w:rFonts w:ascii="Times New Roman" w:hAnsi="Times New Roman" w:cs="Times New Roman"/>
        </w:rPr>
        <w:t>anky v súlade s opatreniami a mechanizmami uv</w:t>
      </w:r>
      <w:r w:rsidR="00865183" w:rsidRPr="00847CB8">
        <w:rPr>
          <w:rFonts w:ascii="Times New Roman" w:hAnsi="Times New Roman" w:cs="Times New Roman"/>
        </w:rPr>
        <w:t xml:space="preserve">edenými v správe </w:t>
      </w:r>
      <w:r w:rsidR="00241AB3" w:rsidRPr="00847CB8">
        <w:rPr>
          <w:rFonts w:ascii="Times New Roman" w:hAnsi="Times New Roman" w:cs="Times New Roman"/>
        </w:rPr>
        <w:t>Rady riaditeľov</w:t>
      </w:r>
    </w:p>
    <w:p w14:paraId="0B9BA4F7" w14:textId="2B692436" w:rsidR="00AE75AA" w:rsidRPr="00847CB8" w:rsidRDefault="00865183" w:rsidP="007C09F1">
      <w:pPr>
        <w:ind w:left="708" w:right="85" w:firstLine="0"/>
        <w:rPr>
          <w:rFonts w:ascii="Times New Roman" w:hAnsi="Times New Roman" w:cs="Times New Roman"/>
        </w:rPr>
      </w:pPr>
      <w:r w:rsidRPr="007C09F1">
        <w:rPr>
          <w:rFonts w:ascii="Times New Roman" w:hAnsi="Times New Roman" w:cs="Times New Roman"/>
          <w:i/>
        </w:rPr>
        <w:t>„Zmena a doplnenie článku 1 Dohody o založení Európskej banky pre obnovu a rozvoj s cieľom umožniť obmedzené a postupné rozšírenie geografick</w:t>
      </w:r>
      <w:r w:rsidR="0022227B" w:rsidRPr="007C09F1">
        <w:rPr>
          <w:rFonts w:ascii="Times New Roman" w:hAnsi="Times New Roman" w:cs="Times New Roman"/>
          <w:i/>
        </w:rPr>
        <w:t>ého mandátu</w:t>
      </w:r>
      <w:r w:rsidRPr="007C09F1">
        <w:rPr>
          <w:rFonts w:ascii="Times New Roman" w:hAnsi="Times New Roman" w:cs="Times New Roman"/>
          <w:i/>
        </w:rPr>
        <w:t xml:space="preserve"> operácií </w:t>
      </w:r>
      <w:r w:rsidR="00AF0EC2" w:rsidRPr="007C09F1">
        <w:rPr>
          <w:rFonts w:ascii="Times New Roman" w:hAnsi="Times New Roman" w:cs="Times New Roman"/>
          <w:i/>
        </w:rPr>
        <w:t>B</w:t>
      </w:r>
      <w:r w:rsidRPr="007C09F1">
        <w:rPr>
          <w:rFonts w:ascii="Times New Roman" w:hAnsi="Times New Roman" w:cs="Times New Roman"/>
          <w:i/>
        </w:rPr>
        <w:t xml:space="preserve">anky do </w:t>
      </w:r>
      <w:proofErr w:type="spellStart"/>
      <w:r w:rsidRPr="007C09F1">
        <w:rPr>
          <w:rFonts w:ascii="Times New Roman" w:hAnsi="Times New Roman" w:cs="Times New Roman"/>
          <w:i/>
        </w:rPr>
        <w:t>subsaharskej</w:t>
      </w:r>
      <w:proofErr w:type="spellEnd"/>
      <w:r w:rsidRPr="007C09F1">
        <w:rPr>
          <w:rFonts w:ascii="Times New Roman" w:hAnsi="Times New Roman" w:cs="Times New Roman"/>
          <w:i/>
        </w:rPr>
        <w:t xml:space="preserve"> Afriky a Iraku“</w:t>
      </w:r>
      <w:r w:rsidR="009E5910" w:rsidRPr="007C09F1">
        <w:rPr>
          <w:rFonts w:ascii="Times New Roman" w:hAnsi="Times New Roman" w:cs="Times New Roman"/>
          <w:i/>
        </w:rPr>
        <w:t>.</w:t>
      </w:r>
      <w:r w:rsidR="009E5910" w:rsidRPr="00847CB8">
        <w:rPr>
          <w:rFonts w:ascii="Times New Roman" w:hAnsi="Times New Roman" w:cs="Times New Roman"/>
        </w:rPr>
        <w:t xml:space="preserve"> </w:t>
      </w:r>
      <w:r w:rsidRPr="00847CB8">
        <w:rPr>
          <w:rFonts w:ascii="Times New Roman" w:hAnsi="Times New Roman" w:cs="Times New Roman"/>
        </w:rPr>
        <w:t xml:space="preserve">V tejto súvislosti sa na schválenie akéhokoľvek ďalšieho rozšírenia vyžaduje súhlas najmenej troch štvrtín </w:t>
      </w:r>
      <w:r w:rsidR="0022227B" w:rsidRPr="00847CB8">
        <w:rPr>
          <w:rFonts w:ascii="Times New Roman" w:hAnsi="Times New Roman" w:cs="Times New Roman"/>
        </w:rPr>
        <w:t>g</w:t>
      </w:r>
      <w:r w:rsidRPr="00847CB8">
        <w:rPr>
          <w:rFonts w:ascii="Times New Roman" w:hAnsi="Times New Roman" w:cs="Times New Roman"/>
        </w:rPr>
        <w:t>uvernérov, ktorí predstavujú najmenej štyri pätiny celkového počtu hlasov členov</w:t>
      </w:r>
      <w:r w:rsidR="007659F2" w:rsidRPr="00847CB8">
        <w:rPr>
          <w:rFonts w:ascii="Times New Roman" w:hAnsi="Times New Roman" w:cs="Times New Roman"/>
        </w:rPr>
        <w:t>.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3CF534AE" w14:textId="04A29296" w:rsidR="00AE75AA" w:rsidRPr="007C09F1" w:rsidRDefault="00E35BF2" w:rsidP="00320698">
      <w:pPr>
        <w:pStyle w:val="Odsekzoznamu"/>
        <w:numPr>
          <w:ilvl w:val="0"/>
          <w:numId w:val="4"/>
        </w:numPr>
        <w:spacing w:after="27" w:line="259" w:lineRule="auto"/>
        <w:rPr>
          <w:rFonts w:ascii="Times New Roman" w:hAnsi="Times New Roman" w:cs="Times New Roman"/>
        </w:rPr>
      </w:pPr>
      <w:r w:rsidRPr="007C09F1">
        <w:rPr>
          <w:rFonts w:ascii="Times New Roman" w:hAnsi="Times New Roman" w:cs="Times New Roman"/>
        </w:rPr>
        <w:lastRenderedPageBreak/>
        <w:t xml:space="preserve">Irak sa na účely tejto </w:t>
      </w:r>
      <w:r w:rsidR="007659F2" w:rsidRPr="007C09F1">
        <w:rPr>
          <w:rFonts w:ascii="Times New Roman" w:hAnsi="Times New Roman" w:cs="Times New Roman"/>
        </w:rPr>
        <w:t>d</w:t>
      </w:r>
      <w:r w:rsidRPr="007C09F1">
        <w:rPr>
          <w:rFonts w:ascii="Times New Roman" w:hAnsi="Times New Roman" w:cs="Times New Roman"/>
        </w:rPr>
        <w:t xml:space="preserve">ohody začleňuje do regiónu južného a východného Stredozemia, a teda pojem „južné a východné Stredozemie“ uvedený v článku 1 </w:t>
      </w:r>
      <w:r w:rsidR="007659F2" w:rsidRPr="007C09F1">
        <w:rPr>
          <w:rFonts w:ascii="Times New Roman" w:hAnsi="Times New Roman" w:cs="Times New Roman"/>
        </w:rPr>
        <w:t>d</w:t>
      </w:r>
      <w:r w:rsidRPr="007C09F1">
        <w:rPr>
          <w:rFonts w:ascii="Times New Roman" w:hAnsi="Times New Roman" w:cs="Times New Roman"/>
        </w:rPr>
        <w:t>ohody označuje región pozostávajúci z krajín, ktoré ležia na pobreží Stredozemného mora, ako aj Jordánska a Iraku, ktoré sú do tohto regiónu úzko začlenené.</w:t>
      </w:r>
    </w:p>
    <w:p w14:paraId="25F2C06B" w14:textId="77777777" w:rsidR="00AE75AA" w:rsidRPr="00847CB8" w:rsidRDefault="009E5910" w:rsidP="007C09F1">
      <w:pPr>
        <w:spacing w:after="43" w:line="259" w:lineRule="auto"/>
        <w:ind w:left="0" w:firstLine="0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6CCC8E1A" w14:textId="77777777" w:rsidR="00AE75AA" w:rsidRPr="00847CB8" w:rsidRDefault="001B32D9" w:rsidP="007C09F1">
      <w:pPr>
        <w:numPr>
          <w:ilvl w:val="0"/>
          <w:numId w:val="2"/>
        </w:numPr>
        <w:ind w:right="277" w:hanging="689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Členovia Banky budú požiadaní, aby sa vyjadrili, či súhlasia s uvedenou zmenou a doplnením tak, že (a) vyhotovia a uložia v Banke </w:t>
      </w:r>
      <w:r w:rsidR="007F29AC" w:rsidRPr="00847CB8">
        <w:rPr>
          <w:rFonts w:ascii="Times New Roman" w:hAnsi="Times New Roman" w:cs="Times New Roman"/>
        </w:rPr>
        <w:t>listinu</w:t>
      </w:r>
      <w:r w:rsidRPr="00847CB8">
        <w:rPr>
          <w:rFonts w:ascii="Times New Roman" w:hAnsi="Times New Roman" w:cs="Times New Roman"/>
        </w:rPr>
        <w:t xml:space="preserve">, v </w:t>
      </w:r>
      <w:r w:rsidR="007F29AC" w:rsidRPr="00847CB8">
        <w:rPr>
          <w:rFonts w:ascii="Times New Roman" w:hAnsi="Times New Roman" w:cs="Times New Roman"/>
        </w:rPr>
        <w:t>ktorej</w:t>
      </w:r>
      <w:r w:rsidRPr="00847CB8">
        <w:rPr>
          <w:rFonts w:ascii="Times New Roman" w:hAnsi="Times New Roman" w:cs="Times New Roman"/>
        </w:rPr>
        <w:t xml:space="preserve"> uvedú, že takýto člen prijal uvedenú zmenu a doplnenie v súlade so svojím právom, a </w:t>
      </w:r>
      <w:r w:rsidR="007F29AC" w:rsidRPr="00847CB8">
        <w:rPr>
          <w:rFonts w:ascii="Times New Roman" w:hAnsi="Times New Roman" w:cs="Times New Roman"/>
        </w:rPr>
        <w:t>(</w:t>
      </w:r>
      <w:r w:rsidRPr="00847CB8">
        <w:rPr>
          <w:rFonts w:ascii="Times New Roman" w:hAnsi="Times New Roman" w:cs="Times New Roman"/>
        </w:rPr>
        <w:t xml:space="preserve">b) predložia Banke dôkaz vo forme a obsahu, ktoré sú pre ňu uspokojivé, že zmena a doplnenie boli prijaté a </w:t>
      </w:r>
      <w:r w:rsidR="007F29AC" w:rsidRPr="00847CB8">
        <w:rPr>
          <w:rFonts w:ascii="Times New Roman" w:hAnsi="Times New Roman" w:cs="Times New Roman"/>
        </w:rPr>
        <w:t>listina</w:t>
      </w:r>
      <w:r w:rsidRPr="00847CB8">
        <w:rPr>
          <w:rFonts w:ascii="Times New Roman" w:hAnsi="Times New Roman" w:cs="Times New Roman"/>
        </w:rPr>
        <w:t xml:space="preserve"> o prijatí bola vyhotovená a uložená v súlade s právom tohto člena.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7E74755A" w14:textId="77777777" w:rsidR="00AE75AA" w:rsidRPr="00847CB8" w:rsidRDefault="009E5910">
      <w:pPr>
        <w:spacing w:after="107" w:line="259" w:lineRule="auto"/>
        <w:ind w:left="16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54C6EBEA" w14:textId="6BDE3E09" w:rsidR="00AE75AA" w:rsidRPr="00847CB8" w:rsidRDefault="007F29AC" w:rsidP="007F29AC">
      <w:pPr>
        <w:numPr>
          <w:ilvl w:val="0"/>
          <w:numId w:val="2"/>
        </w:numPr>
        <w:ind w:right="277" w:hanging="689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Uvedená zmena nadobudne platnosť tri (3) mesiace po dni, keď Banka formálne potvrdí svojim členom, že boli splnené požiadavky na prijatie uvedenej zmeny, v súlade s článkom 56 </w:t>
      </w:r>
      <w:r w:rsidR="001F58E4" w:rsidRPr="00847CB8">
        <w:rPr>
          <w:rFonts w:ascii="Times New Roman" w:hAnsi="Times New Roman" w:cs="Times New Roman"/>
        </w:rPr>
        <w:t>d</w:t>
      </w:r>
      <w:r w:rsidRPr="00847CB8">
        <w:rPr>
          <w:rFonts w:ascii="Times New Roman" w:hAnsi="Times New Roman" w:cs="Times New Roman"/>
        </w:rPr>
        <w:t>ohody.</w:t>
      </w:r>
      <w:r w:rsidR="009E5910" w:rsidRPr="00847CB8">
        <w:rPr>
          <w:rFonts w:ascii="Times New Roman" w:hAnsi="Times New Roman" w:cs="Times New Roman"/>
        </w:rPr>
        <w:t xml:space="preserve"> </w:t>
      </w:r>
    </w:p>
    <w:p w14:paraId="6E555156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5A1E4E92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57B91A78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733948DB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77ACDC89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3D957206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29442C91" w14:textId="77777777" w:rsidR="00AE75AA" w:rsidRPr="00847CB8" w:rsidRDefault="009E591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 xml:space="preserve"> </w:t>
      </w:r>
    </w:p>
    <w:p w14:paraId="376E8F18" w14:textId="77777777" w:rsidR="00AE75AA" w:rsidRPr="00847CB8" w:rsidRDefault="007F29AC" w:rsidP="007F29AC">
      <w:pPr>
        <w:spacing w:after="0" w:line="259" w:lineRule="auto"/>
        <w:ind w:left="0" w:firstLine="0"/>
        <w:jc w:val="right"/>
        <w:rPr>
          <w:rFonts w:ascii="Times New Roman" w:hAnsi="Times New Roman" w:cs="Times New Roman"/>
        </w:rPr>
      </w:pPr>
      <w:r w:rsidRPr="00847CB8">
        <w:rPr>
          <w:rFonts w:ascii="Times New Roman" w:hAnsi="Times New Roman" w:cs="Times New Roman"/>
        </w:rPr>
        <w:t>(Prijaté 18. mája 2023)</w:t>
      </w:r>
      <w:r w:rsidR="009E5910" w:rsidRPr="00847CB8">
        <w:rPr>
          <w:rFonts w:ascii="Times New Roman" w:hAnsi="Times New Roman" w:cs="Times New Roman"/>
        </w:rPr>
        <w:t xml:space="preserve"> </w:t>
      </w:r>
    </w:p>
    <w:sectPr w:rsidR="00AE75AA" w:rsidRPr="008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2"/>
      <w:pgMar w:top="1466" w:right="1581" w:bottom="2767" w:left="1442" w:header="697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85E2" w14:textId="77777777" w:rsidR="005662BD" w:rsidRDefault="005662BD">
      <w:pPr>
        <w:spacing w:after="0" w:line="240" w:lineRule="auto"/>
      </w:pPr>
      <w:r>
        <w:separator/>
      </w:r>
    </w:p>
  </w:endnote>
  <w:endnote w:type="continuationSeparator" w:id="0">
    <w:p w14:paraId="5A8AB2D7" w14:textId="77777777" w:rsidR="005662BD" w:rsidRDefault="0056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A7C9" w14:textId="77777777" w:rsidR="00AE75AA" w:rsidRDefault="009E5910">
    <w:pPr>
      <w:spacing w:after="0" w:line="259" w:lineRule="auto"/>
      <w:ind w:left="169" w:firstLine="0"/>
      <w:jc w:val="center"/>
    </w:pPr>
    <w:r>
      <w:rPr>
        <w:rFonts w:ascii="Arial" w:eastAsia="Arial" w:hAnsi="Arial" w:cs="Arial"/>
        <w:color w:val="00C000"/>
        <w:sz w:val="18"/>
      </w:rPr>
      <w:t>PUBLIC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99E2" w14:textId="6E32294F" w:rsidR="00AE75AA" w:rsidRPr="007F29AC" w:rsidRDefault="00AE75AA" w:rsidP="007C09F1">
    <w:pPr>
      <w:pStyle w:val="Pta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04FFF" w14:textId="77777777" w:rsidR="00AE75AA" w:rsidRDefault="009E5910">
    <w:pPr>
      <w:spacing w:after="0" w:line="259" w:lineRule="auto"/>
      <w:ind w:left="169" w:firstLine="0"/>
      <w:jc w:val="center"/>
    </w:pPr>
    <w:r>
      <w:rPr>
        <w:rFonts w:ascii="Arial" w:eastAsia="Arial" w:hAnsi="Arial" w:cs="Arial"/>
        <w:color w:val="00C000"/>
        <w:sz w:val="18"/>
      </w:rPr>
      <w:t>PUBLIC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6376" w14:textId="77777777" w:rsidR="005662BD" w:rsidRDefault="005662BD">
      <w:pPr>
        <w:spacing w:after="0" w:line="240" w:lineRule="auto"/>
      </w:pPr>
      <w:r>
        <w:separator/>
      </w:r>
    </w:p>
  </w:footnote>
  <w:footnote w:type="continuationSeparator" w:id="0">
    <w:p w14:paraId="6C1290BF" w14:textId="77777777" w:rsidR="005662BD" w:rsidRDefault="0056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366A" w14:textId="77777777" w:rsidR="00AE75AA" w:rsidRDefault="009E5910">
    <w:pPr>
      <w:spacing w:after="0" w:line="259" w:lineRule="auto"/>
      <w:ind w:left="169" w:firstLine="0"/>
      <w:jc w:val="center"/>
    </w:pPr>
    <w:r>
      <w:rPr>
        <w:rFonts w:ascii="Arial" w:eastAsia="Arial" w:hAnsi="Arial" w:cs="Arial"/>
        <w:color w:val="00C000"/>
        <w:sz w:val="18"/>
      </w:rPr>
      <w:t>PUBLIC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19FA6" w14:textId="77777777" w:rsidR="00E239F9" w:rsidRDefault="00E239F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B8513" w14:textId="77777777" w:rsidR="00AE75AA" w:rsidRDefault="009E5910">
    <w:pPr>
      <w:spacing w:after="0" w:line="259" w:lineRule="auto"/>
      <w:ind w:left="169" w:firstLine="0"/>
      <w:jc w:val="center"/>
    </w:pPr>
    <w:r>
      <w:rPr>
        <w:rFonts w:ascii="Arial" w:eastAsia="Arial" w:hAnsi="Arial" w:cs="Arial"/>
        <w:color w:val="00C000"/>
        <w:sz w:val="18"/>
      </w:rPr>
      <w:t>PUBLIC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4160"/>
    <w:multiLevelType w:val="hybridMultilevel"/>
    <w:tmpl w:val="5784F486"/>
    <w:lvl w:ilvl="0" w:tplc="041B0019">
      <w:start w:val="1"/>
      <w:numFmt w:val="lowerLetter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A452A8"/>
    <w:multiLevelType w:val="hybridMultilevel"/>
    <w:tmpl w:val="4A949CF8"/>
    <w:lvl w:ilvl="0" w:tplc="517A32F6">
      <w:start w:val="1"/>
      <w:numFmt w:val="decimal"/>
      <w:lvlText w:val="%1."/>
      <w:lvlJc w:val="left"/>
      <w:pPr>
        <w:ind w:left="1186"/>
      </w:pPr>
      <w:rPr>
        <w:rFonts w:ascii="Times New Roman" w:eastAsia="Franklin Gothic Book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86D1A">
      <w:start w:val="1"/>
      <w:numFmt w:val="lowerLetter"/>
      <w:lvlText w:val="%2."/>
      <w:lvlJc w:val="left"/>
      <w:pPr>
        <w:ind w:left="1506"/>
      </w:pPr>
      <w:rPr>
        <w:rFonts w:ascii="Times New Roman" w:eastAsia="Franklin Gothic Book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44126">
      <w:start w:val="1"/>
      <w:numFmt w:val="lowerRoman"/>
      <w:lvlText w:val="%3"/>
      <w:lvlJc w:val="left"/>
      <w:pPr>
        <w:ind w:left="22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E5A6E">
      <w:start w:val="1"/>
      <w:numFmt w:val="decimal"/>
      <w:lvlText w:val="%4"/>
      <w:lvlJc w:val="left"/>
      <w:pPr>
        <w:ind w:left="29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033A4">
      <w:start w:val="1"/>
      <w:numFmt w:val="lowerLetter"/>
      <w:lvlText w:val="%5"/>
      <w:lvlJc w:val="left"/>
      <w:pPr>
        <w:ind w:left="36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A6688">
      <w:start w:val="1"/>
      <w:numFmt w:val="lowerRoman"/>
      <w:lvlText w:val="%6"/>
      <w:lvlJc w:val="left"/>
      <w:pPr>
        <w:ind w:left="44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E545C">
      <w:start w:val="1"/>
      <w:numFmt w:val="decimal"/>
      <w:lvlText w:val="%7"/>
      <w:lvlJc w:val="left"/>
      <w:pPr>
        <w:ind w:left="51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8CAE8">
      <w:start w:val="1"/>
      <w:numFmt w:val="lowerLetter"/>
      <w:lvlText w:val="%8"/>
      <w:lvlJc w:val="left"/>
      <w:pPr>
        <w:ind w:left="58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071A">
      <w:start w:val="1"/>
      <w:numFmt w:val="lowerRoman"/>
      <w:lvlText w:val="%9"/>
      <w:lvlJc w:val="left"/>
      <w:pPr>
        <w:ind w:left="65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FF47FF"/>
    <w:multiLevelType w:val="hybridMultilevel"/>
    <w:tmpl w:val="A1B05098"/>
    <w:lvl w:ilvl="0" w:tplc="42B0A6AE">
      <w:start w:val="1"/>
      <w:numFmt w:val="lowerRoman"/>
      <w:lvlText w:val="(%1)"/>
      <w:lvlJc w:val="left"/>
      <w:pPr>
        <w:ind w:left="1170"/>
      </w:pPr>
      <w:rPr>
        <w:rFonts w:ascii="Times New Roman" w:eastAsia="Franklin Gothic Book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1" w:tplc="1AF6BEF4">
      <w:start w:val="1"/>
      <w:numFmt w:val="lowerLetter"/>
      <w:lvlText w:val="%2"/>
      <w:lvlJc w:val="left"/>
      <w:pPr>
        <w:ind w:left="157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2" w:tplc="4D949D62">
      <w:start w:val="1"/>
      <w:numFmt w:val="lowerRoman"/>
      <w:lvlText w:val="%3"/>
      <w:lvlJc w:val="left"/>
      <w:pPr>
        <w:ind w:left="229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3" w:tplc="59EE69D6">
      <w:start w:val="1"/>
      <w:numFmt w:val="decimal"/>
      <w:lvlText w:val="%4"/>
      <w:lvlJc w:val="left"/>
      <w:pPr>
        <w:ind w:left="301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4" w:tplc="95349A72">
      <w:start w:val="1"/>
      <w:numFmt w:val="lowerLetter"/>
      <w:lvlText w:val="%5"/>
      <w:lvlJc w:val="left"/>
      <w:pPr>
        <w:ind w:left="373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5" w:tplc="B360DE8C">
      <w:start w:val="1"/>
      <w:numFmt w:val="lowerRoman"/>
      <w:lvlText w:val="%6"/>
      <w:lvlJc w:val="left"/>
      <w:pPr>
        <w:ind w:left="445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6" w:tplc="5A8408D0">
      <w:start w:val="1"/>
      <w:numFmt w:val="decimal"/>
      <w:lvlText w:val="%7"/>
      <w:lvlJc w:val="left"/>
      <w:pPr>
        <w:ind w:left="517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7" w:tplc="59848A8C">
      <w:start w:val="1"/>
      <w:numFmt w:val="lowerLetter"/>
      <w:lvlText w:val="%8"/>
      <w:lvlJc w:val="left"/>
      <w:pPr>
        <w:ind w:left="589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8" w:tplc="C1CEAE90">
      <w:start w:val="1"/>
      <w:numFmt w:val="lowerRoman"/>
      <w:lvlText w:val="%9"/>
      <w:lvlJc w:val="left"/>
      <w:pPr>
        <w:ind w:left="661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F0433E"/>
    <w:multiLevelType w:val="hybridMultilevel"/>
    <w:tmpl w:val="ED94DBCC"/>
    <w:lvl w:ilvl="0" w:tplc="041B0019">
      <w:start w:val="1"/>
      <w:numFmt w:val="lowerLetter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AA"/>
    <w:rsid w:val="0007089A"/>
    <w:rsid w:val="0008742A"/>
    <w:rsid w:val="000A319F"/>
    <w:rsid w:val="001B32D9"/>
    <w:rsid w:val="001F58E4"/>
    <w:rsid w:val="0022227B"/>
    <w:rsid w:val="00241AB3"/>
    <w:rsid w:val="00272519"/>
    <w:rsid w:val="0029537E"/>
    <w:rsid w:val="002A0F4D"/>
    <w:rsid w:val="0031225B"/>
    <w:rsid w:val="00335B48"/>
    <w:rsid w:val="00343A14"/>
    <w:rsid w:val="0035468A"/>
    <w:rsid w:val="003A0BA1"/>
    <w:rsid w:val="003A457D"/>
    <w:rsid w:val="003B472E"/>
    <w:rsid w:val="00522A8C"/>
    <w:rsid w:val="005662BD"/>
    <w:rsid w:val="005B22F0"/>
    <w:rsid w:val="006F61E3"/>
    <w:rsid w:val="007659F2"/>
    <w:rsid w:val="007C09F1"/>
    <w:rsid w:val="007F29AC"/>
    <w:rsid w:val="00805A79"/>
    <w:rsid w:val="00847CB8"/>
    <w:rsid w:val="00865183"/>
    <w:rsid w:val="00872D18"/>
    <w:rsid w:val="009254FA"/>
    <w:rsid w:val="0094362D"/>
    <w:rsid w:val="00950162"/>
    <w:rsid w:val="009B44D1"/>
    <w:rsid w:val="009E5910"/>
    <w:rsid w:val="009F6751"/>
    <w:rsid w:val="00A1206B"/>
    <w:rsid w:val="00A51EE5"/>
    <w:rsid w:val="00A60AF9"/>
    <w:rsid w:val="00AA17D3"/>
    <w:rsid w:val="00AE75AA"/>
    <w:rsid w:val="00AF0EC2"/>
    <w:rsid w:val="00BA3829"/>
    <w:rsid w:val="00BB0900"/>
    <w:rsid w:val="00C26338"/>
    <w:rsid w:val="00D218D2"/>
    <w:rsid w:val="00D254E3"/>
    <w:rsid w:val="00E239F9"/>
    <w:rsid w:val="00E35BF2"/>
    <w:rsid w:val="00F44072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02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53" w:lineRule="auto"/>
      <w:ind w:left="129" w:hanging="10"/>
      <w:jc w:val="both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29" w:hanging="10"/>
      <w:jc w:val="center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950162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7F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F29AC"/>
    <w:rPr>
      <w:rFonts w:ascii="Franklin Gothic Book" w:eastAsia="Franklin Gothic Book" w:hAnsi="Franklin Gothic Book" w:cs="Franklin Gothic Book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254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54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54FA"/>
    <w:rPr>
      <w:rFonts w:ascii="Franklin Gothic Book" w:eastAsia="Franklin Gothic Book" w:hAnsi="Franklin Gothic Book" w:cs="Franklin Gothic Book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4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4FA"/>
    <w:rPr>
      <w:rFonts w:ascii="Franklin Gothic Book" w:eastAsia="Franklin Gothic Book" w:hAnsi="Franklin Gothic Book" w:cs="Franklin Gothic Book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4FA"/>
    <w:rPr>
      <w:rFonts w:ascii="Segoe UI" w:eastAsia="Franklin Gothic Book" w:hAnsi="Segoe UI" w:cs="Segoe UI"/>
      <w:color w:val="000000"/>
      <w:sz w:val="18"/>
      <w:szCs w:val="18"/>
    </w:rPr>
  </w:style>
  <w:style w:type="paragraph" w:styleId="Bezriadkovania">
    <w:name w:val="No Spacing"/>
    <w:uiPriority w:val="1"/>
    <w:qFormat/>
    <w:rsid w:val="0031225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C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09F1"/>
    <w:rPr>
      <w:rFonts w:ascii="Franklin Gothic Book" w:eastAsia="Franklin Gothic Book" w:hAnsi="Franklin Gothic Book" w:cs="Franklin Gothic Book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</sisl>
</file>

<file path=customXml/item2.xml><?xml version="1.0" encoding="utf-8"?>
<f:fields xmlns:f="http://schemas.fabasoft.com/folio/2007/fields">
  <f:record>
    <f:field ref="objname" par="" text="Resolution 259" edit="true"/>
    <f:field ref="objsubject" par="" text="" edit="true"/>
    <f:field ref="objcreatedby" par="" text="Blažej, Matej, Ing., MSc."/>
    <f:field ref="objcreatedat" par="" date="2023-06-29T15:29:03" text="29.6.2023 15:29:03"/>
    <f:field ref="objchangedby" par="" text="Blažej, Matej, Ing., MSc."/>
    <f:field ref="objmodifiedat" par="" date="2023-06-29T15:29:03" text="29.6.2023 15:29:03"/>
    <f:field ref="doc_FSCFOLIO_1_1001_FieldDocumentNumber" par="" text=""/>
    <f:field ref="doc_FSCFOLIO_1_1001_FieldSubject" par="" text=""/>
    <f:field ref="FSCFOLIO_1_1001_FieldCurrentUser" par="" text="Viera Moncmanová"/>
    <f:field ref="CCAPRECONFIG_15_1001_Objektname" par="" text="Resolution 259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5AF57FF-B3C6-492A-8B9B-2F4BCEAA70D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2023-07-31T11:21:00Z</dcterms:created>
  <dcterms:modified xsi:type="dcterms:W3CDTF">2023-07-31T11:21:00Z</dcterms:modified>
  <cp:contentStatus/>
</cp:coreProperties>
</file>