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DE0E"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6D638D3C"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1F2E21F2"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6D744056" w14:textId="77777777" w:rsidTr="000800FC">
        <w:tc>
          <w:tcPr>
            <w:tcW w:w="9180" w:type="dxa"/>
            <w:gridSpan w:val="11"/>
            <w:tcBorders>
              <w:bottom w:val="single" w:sz="4" w:space="0" w:color="FFFFFF"/>
            </w:tcBorders>
            <w:shd w:val="clear" w:color="auto" w:fill="E2E2E2"/>
          </w:tcPr>
          <w:p w14:paraId="47D9112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4D3C6F7D" w14:textId="77777777" w:rsidTr="000800FC">
        <w:tc>
          <w:tcPr>
            <w:tcW w:w="9180" w:type="dxa"/>
            <w:gridSpan w:val="11"/>
            <w:tcBorders>
              <w:bottom w:val="single" w:sz="4" w:space="0" w:color="FFFFFF"/>
            </w:tcBorders>
            <w:shd w:val="clear" w:color="auto" w:fill="E2E2E2"/>
          </w:tcPr>
          <w:p w14:paraId="1FD51968"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40F4B187" w14:textId="77777777" w:rsidTr="000800FC">
        <w:tc>
          <w:tcPr>
            <w:tcW w:w="9180" w:type="dxa"/>
            <w:gridSpan w:val="11"/>
            <w:tcBorders>
              <w:top w:val="single" w:sz="4" w:space="0" w:color="FFFFFF"/>
              <w:bottom w:val="single" w:sz="4" w:space="0" w:color="auto"/>
            </w:tcBorders>
          </w:tcPr>
          <w:p w14:paraId="228DFDE8" w14:textId="32E33483" w:rsidR="001B23B7" w:rsidRPr="00612E08" w:rsidRDefault="00890777" w:rsidP="000800FC">
            <w:pPr>
              <w:rPr>
                <w:rFonts w:ascii="Times New Roman" w:eastAsia="Times New Roman" w:hAnsi="Times New Roman" w:cs="Times New Roman"/>
                <w:sz w:val="20"/>
                <w:szCs w:val="20"/>
                <w:lang w:eastAsia="sk-SK"/>
              </w:rPr>
            </w:pPr>
            <w:r w:rsidRPr="003A7B4C">
              <w:rPr>
                <w:rFonts w:ascii="Times" w:hAnsi="Times" w:cs="Times"/>
                <w:iCs/>
                <w:sz w:val="20"/>
                <w:szCs w:val="20"/>
              </w:rPr>
              <w:t xml:space="preserve">Návrh na uzavretie </w:t>
            </w:r>
            <w:r>
              <w:rPr>
                <w:rFonts w:ascii="Times" w:hAnsi="Times" w:cs="Times"/>
                <w:iCs/>
                <w:sz w:val="20"/>
                <w:szCs w:val="20"/>
              </w:rPr>
              <w:t>Rámcovej d</w:t>
            </w:r>
            <w:r w:rsidRPr="003A7B4C">
              <w:rPr>
                <w:rFonts w:ascii="Times" w:hAnsi="Times" w:cs="Times"/>
                <w:iCs/>
                <w:sz w:val="20"/>
                <w:szCs w:val="20"/>
              </w:rPr>
              <w:t>ohody o</w:t>
            </w:r>
            <w:r>
              <w:rPr>
                <w:rFonts w:ascii="Times" w:hAnsi="Times" w:cs="Times"/>
                <w:iCs/>
                <w:sz w:val="20"/>
                <w:szCs w:val="20"/>
              </w:rPr>
              <w:t xml:space="preserve"> komplexnom </w:t>
            </w:r>
            <w:r w:rsidRPr="003A7B4C">
              <w:rPr>
                <w:rFonts w:ascii="Times" w:hAnsi="Times" w:cs="Times"/>
                <w:iCs/>
                <w:sz w:val="20"/>
                <w:szCs w:val="20"/>
              </w:rPr>
              <w:t>partnerstve a spolupráci medzi Európskou úniou a jej členskými štátmi na jednej strane a</w:t>
            </w:r>
            <w:r>
              <w:rPr>
                <w:rFonts w:ascii="Times" w:hAnsi="Times" w:cs="Times"/>
                <w:iCs/>
                <w:sz w:val="20"/>
                <w:szCs w:val="20"/>
              </w:rPr>
              <w:t> Thajským kráľovstvom</w:t>
            </w:r>
            <w:r w:rsidRPr="003A7B4C">
              <w:rPr>
                <w:rFonts w:ascii="Times" w:hAnsi="Times" w:cs="Times"/>
                <w:iCs/>
                <w:sz w:val="20"/>
                <w:szCs w:val="20"/>
              </w:rPr>
              <w:t xml:space="preserve"> na strane druhej</w:t>
            </w:r>
          </w:p>
          <w:p w14:paraId="3C526B8C"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1233CC97"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064B4F74"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16F2316F"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31A996D" w14:textId="77777777" w:rsidR="001B23B7" w:rsidRDefault="00890777" w:rsidP="000800FC">
            <w:pPr>
              <w:rPr>
                <w:rFonts w:ascii="Times" w:hAnsi="Times" w:cs="Times"/>
                <w:sz w:val="20"/>
                <w:szCs w:val="20"/>
              </w:rPr>
            </w:pPr>
            <w:r w:rsidRPr="003A7B4C">
              <w:rPr>
                <w:rFonts w:ascii="Times" w:hAnsi="Times" w:cs="Times"/>
                <w:sz w:val="20"/>
                <w:szCs w:val="20"/>
              </w:rPr>
              <w:t>Ministerstvo zahraničných vecí a európskych záležitostí Slovenskej republiky</w:t>
            </w:r>
          </w:p>
          <w:p w14:paraId="740FA321" w14:textId="3225116F" w:rsidR="00890777" w:rsidRPr="00612E08" w:rsidRDefault="00890777" w:rsidP="000800FC">
            <w:pPr>
              <w:rPr>
                <w:rFonts w:ascii="Times New Roman" w:eastAsia="Times New Roman" w:hAnsi="Times New Roman" w:cs="Times New Roman"/>
                <w:sz w:val="20"/>
                <w:szCs w:val="20"/>
                <w:lang w:eastAsia="sk-SK"/>
              </w:rPr>
            </w:pPr>
          </w:p>
        </w:tc>
      </w:tr>
      <w:tr w:rsidR="00612E08" w:rsidRPr="00612E08" w14:paraId="7DA3817E"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45F4052"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5337131"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18A31C1" w14:textId="77777777"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2161D8D1" w14:textId="77777777" w:rsidTr="000800FC">
        <w:tc>
          <w:tcPr>
            <w:tcW w:w="4212" w:type="dxa"/>
            <w:gridSpan w:val="2"/>
            <w:vMerge/>
            <w:tcBorders>
              <w:top w:val="nil"/>
              <w:left w:val="single" w:sz="4" w:space="0" w:color="auto"/>
              <w:bottom w:val="single" w:sz="4" w:space="0" w:color="FFFFFF"/>
            </w:tcBorders>
            <w:shd w:val="clear" w:color="auto" w:fill="E2E2E2"/>
          </w:tcPr>
          <w:p w14:paraId="04ABAA73"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8B6B201" w14:textId="573A83CF" w:rsidR="001B23B7" w:rsidRPr="00612E08" w:rsidRDefault="00890777"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3D79AFE" w14:textId="77777777"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6743A923" w14:textId="77777777" w:rsidTr="000800FC">
        <w:tc>
          <w:tcPr>
            <w:tcW w:w="4212" w:type="dxa"/>
            <w:gridSpan w:val="2"/>
            <w:vMerge/>
            <w:tcBorders>
              <w:top w:val="nil"/>
              <w:left w:val="single" w:sz="4" w:space="0" w:color="auto"/>
              <w:bottom w:val="single" w:sz="4" w:space="0" w:color="auto"/>
            </w:tcBorders>
            <w:shd w:val="clear" w:color="auto" w:fill="E2E2E2"/>
          </w:tcPr>
          <w:p w14:paraId="41C79BE6"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1B49575"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7D6673F"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16B2762C"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29BC87F8"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40B91048"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11ACD77"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76C2B8F"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BCFE1EA"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389ABA85"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4900A9"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7AB103D" w14:textId="6779250B" w:rsidR="001B23B7" w:rsidRPr="00890777" w:rsidRDefault="00890777" w:rsidP="000800FC">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o</w:t>
            </w:r>
            <w:r w:rsidRPr="00890777">
              <w:rPr>
                <w:rFonts w:ascii="Times New Roman" w:eastAsia="Times New Roman" w:hAnsi="Times New Roman" w:cs="Times New Roman"/>
                <w:iCs/>
                <w:sz w:val="20"/>
                <w:szCs w:val="20"/>
                <w:lang w:eastAsia="sk-SK"/>
              </w:rPr>
              <w:t xml:space="preserve">któber </w:t>
            </w:r>
            <w:r>
              <w:rPr>
                <w:rFonts w:ascii="Times New Roman" w:eastAsia="Times New Roman" w:hAnsi="Times New Roman" w:cs="Times New Roman"/>
                <w:iCs/>
                <w:sz w:val="20"/>
                <w:szCs w:val="20"/>
                <w:lang w:eastAsia="sk-SK"/>
              </w:rPr>
              <w:t>2023</w:t>
            </w:r>
          </w:p>
        </w:tc>
      </w:tr>
      <w:tr w:rsidR="00612E08" w:rsidRPr="00612E08" w14:paraId="52A1CCE1"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2F2494C"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3F2BF4D"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7F3DFE15"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43DC0C3" w14:textId="77777777"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018B754" w14:textId="7D3F5D2C" w:rsidR="001B23B7" w:rsidRPr="00B74B2D" w:rsidRDefault="00B74B2D" w:rsidP="000800FC">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december 2023</w:t>
            </w:r>
          </w:p>
        </w:tc>
      </w:tr>
      <w:tr w:rsidR="00612E08" w:rsidRPr="00612E08" w14:paraId="04DFCEF0" w14:textId="77777777" w:rsidTr="000800FC">
        <w:tc>
          <w:tcPr>
            <w:tcW w:w="9180" w:type="dxa"/>
            <w:gridSpan w:val="11"/>
            <w:tcBorders>
              <w:top w:val="single" w:sz="4" w:space="0" w:color="auto"/>
              <w:left w:val="nil"/>
              <w:bottom w:val="single" w:sz="4" w:space="0" w:color="auto"/>
              <w:right w:val="nil"/>
            </w:tcBorders>
            <w:shd w:val="clear" w:color="auto" w:fill="FFFFFF"/>
          </w:tcPr>
          <w:p w14:paraId="0849737A"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77181D5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1288D5"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36F53286"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3AAB52C" w14:textId="40C19035" w:rsidR="001B23B7" w:rsidRPr="00612E08" w:rsidRDefault="00B74B2D" w:rsidP="00B74B2D">
            <w:pPr>
              <w:jc w:val="both"/>
              <w:rPr>
                <w:rFonts w:ascii="Times New Roman" w:eastAsia="Times New Roman" w:hAnsi="Times New Roman" w:cs="Times New Roman"/>
                <w:b/>
                <w:sz w:val="20"/>
                <w:szCs w:val="20"/>
                <w:lang w:eastAsia="sk-SK"/>
              </w:rPr>
            </w:pPr>
            <w:r w:rsidRPr="003A7B4C">
              <w:rPr>
                <w:rFonts w:ascii="Times" w:hAnsi="Times" w:cs="Times"/>
                <w:sz w:val="20"/>
                <w:szCs w:val="20"/>
              </w:rPr>
              <w:t xml:space="preserve">Absentujúca úprava formou partnerskej dohody medzi EÚ a jej členskými štátmi na jednej strane </w:t>
            </w:r>
            <w:r>
              <w:rPr>
                <w:rFonts w:ascii="Times" w:hAnsi="Times" w:cs="Times"/>
                <w:sz w:val="20"/>
                <w:szCs w:val="20"/>
              </w:rPr>
              <w:t>a Thajským kráľovstvom</w:t>
            </w:r>
            <w:r w:rsidRPr="003A7B4C">
              <w:rPr>
                <w:rFonts w:ascii="Times" w:hAnsi="Times" w:cs="Times"/>
                <w:sz w:val="20"/>
                <w:szCs w:val="20"/>
              </w:rPr>
              <w:t xml:space="preserve"> na strane druhej, ktorá by aktívne a postačujúco posilňovala celkové partnerstvo medzi zmluvnými stranami, prehlbovala spoluprácu v otázkach spoločného záujmu pri zohľadnení spoločných hodnôt a zásad, a to aj zintenzívnením dialógu na vysokej úrovni.</w:t>
            </w:r>
          </w:p>
        </w:tc>
      </w:tr>
      <w:tr w:rsidR="00612E08" w:rsidRPr="00612E08" w14:paraId="543293FA"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7A01AD7"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3AC6549C"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755345B" w14:textId="17CB33FA" w:rsidR="001B23B7" w:rsidRPr="00612E08" w:rsidRDefault="00B74B2D" w:rsidP="00B74B2D">
            <w:pPr>
              <w:rPr>
                <w:rFonts w:ascii="Times New Roman" w:eastAsia="Times New Roman" w:hAnsi="Times New Roman" w:cs="Times New Roman"/>
                <w:sz w:val="20"/>
                <w:szCs w:val="20"/>
                <w:lang w:eastAsia="sk-SK"/>
              </w:rPr>
            </w:pPr>
            <w:r w:rsidRPr="003A7B4C">
              <w:rPr>
                <w:rFonts w:ascii="Times" w:hAnsi="Times" w:cs="Times"/>
                <w:sz w:val="20"/>
                <w:szCs w:val="20"/>
              </w:rPr>
              <w:t>Dohoda má za cieľ vytvoriť posilnené partnerstvo medzi zmluvnými stranami a prehĺbiť a posilniť spoluprácu v otázkach spoločného záujmu, pri zohľadnení spoločných hodnôt a zásad, a to aj zintenzívnením dialógu na vysokej úrovni.</w:t>
            </w:r>
          </w:p>
        </w:tc>
      </w:tr>
      <w:tr w:rsidR="00612E08" w:rsidRPr="00612E08" w14:paraId="159E9965"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5A8BE6F"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56FDB547"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4DFBFBF5" w14:textId="03C5D521" w:rsidR="001B23B7" w:rsidRPr="00612E08" w:rsidRDefault="00B74B2D" w:rsidP="00B74B2D">
            <w:pPr>
              <w:rPr>
                <w:rFonts w:ascii="Times New Roman" w:eastAsia="Times New Roman" w:hAnsi="Times New Roman" w:cs="Times New Roman"/>
                <w:i/>
                <w:sz w:val="20"/>
                <w:szCs w:val="20"/>
                <w:lang w:eastAsia="sk-SK"/>
              </w:rPr>
            </w:pPr>
            <w:r w:rsidRPr="003A7B4C">
              <w:rPr>
                <w:rFonts w:ascii="Times" w:hAnsi="Times" w:cs="Times"/>
                <w:sz w:val="20"/>
                <w:szCs w:val="20"/>
              </w:rPr>
              <w:t>Dotknutými subjektmi z pohľadu medzinárodného práva sú zmluvné strany viazané partnerskou dohodou, a teda Európska únia a jej členské štáty a</w:t>
            </w:r>
            <w:r>
              <w:rPr>
                <w:rFonts w:ascii="Times" w:hAnsi="Times" w:cs="Times"/>
                <w:sz w:val="20"/>
                <w:szCs w:val="20"/>
              </w:rPr>
              <w:t> Thajské kráľovstvo</w:t>
            </w:r>
            <w:r w:rsidRPr="003A7B4C">
              <w:rPr>
                <w:rFonts w:ascii="Times" w:hAnsi="Times" w:cs="Times"/>
                <w:sz w:val="20"/>
                <w:szCs w:val="20"/>
              </w:rPr>
              <w:t>.</w:t>
            </w:r>
          </w:p>
        </w:tc>
      </w:tr>
      <w:tr w:rsidR="00612E08" w:rsidRPr="00612E08" w14:paraId="18CA1F1A"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E2050D7"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1C626B40" w14:textId="77777777" w:rsidTr="00780ED7">
        <w:trPr>
          <w:trHeight w:val="1146"/>
        </w:trPr>
        <w:tc>
          <w:tcPr>
            <w:tcW w:w="9180" w:type="dxa"/>
            <w:gridSpan w:val="11"/>
            <w:tcBorders>
              <w:top w:val="nil"/>
              <w:left w:val="single" w:sz="4" w:space="0" w:color="auto"/>
              <w:bottom w:val="single" w:sz="4" w:space="0" w:color="auto"/>
              <w:right w:val="single" w:sz="4" w:space="0" w:color="auto"/>
            </w:tcBorders>
            <w:shd w:val="clear" w:color="auto" w:fill="FFFFFF"/>
          </w:tcPr>
          <w:p w14:paraId="11C70DA0" w14:textId="4660745E" w:rsidR="001B23B7" w:rsidRPr="00780ED7" w:rsidRDefault="006D33C8" w:rsidP="000800FC">
            <w:pPr>
              <w:jc w:val="both"/>
              <w:rPr>
                <w:rFonts w:ascii="Times New Roman" w:eastAsia="Times New Roman" w:hAnsi="Times New Roman" w:cs="Times New Roman"/>
                <w:iCs/>
                <w:sz w:val="20"/>
                <w:szCs w:val="20"/>
                <w:lang w:eastAsia="sk-SK"/>
              </w:rPr>
            </w:pPr>
            <w:r w:rsidRPr="006D33C8">
              <w:rPr>
                <w:rFonts w:ascii="Times New Roman" w:eastAsia="Times New Roman" w:hAnsi="Times New Roman" w:cs="Times New Roman"/>
                <w:iCs/>
                <w:sz w:val="20"/>
                <w:szCs w:val="20"/>
                <w:lang w:eastAsia="sk-SK"/>
              </w:rPr>
              <w:t>Alternatívn</w:t>
            </w:r>
            <w:r w:rsidR="00780ED7">
              <w:rPr>
                <w:rFonts w:ascii="Times New Roman" w:eastAsia="Times New Roman" w:hAnsi="Times New Roman" w:cs="Times New Roman"/>
                <w:iCs/>
                <w:sz w:val="20"/>
                <w:szCs w:val="20"/>
                <w:lang w:eastAsia="sk-SK"/>
              </w:rPr>
              <w:t xml:space="preserve">ym riešením za súčasného stavu rozdelenia kompetencií medzi EÚ a jej členskými štátmi je nulový variant, </w:t>
            </w:r>
            <w:proofErr w:type="spellStart"/>
            <w:r w:rsidR="00780ED7">
              <w:rPr>
                <w:rFonts w:ascii="Times New Roman" w:eastAsia="Times New Roman" w:hAnsi="Times New Roman" w:cs="Times New Roman"/>
                <w:iCs/>
                <w:sz w:val="20"/>
                <w:szCs w:val="20"/>
                <w:lang w:eastAsia="sk-SK"/>
              </w:rPr>
              <w:t>t.j</w:t>
            </w:r>
            <w:proofErr w:type="spellEnd"/>
            <w:r w:rsidR="00780ED7">
              <w:rPr>
                <w:rFonts w:ascii="Times New Roman" w:eastAsia="Times New Roman" w:hAnsi="Times New Roman" w:cs="Times New Roman"/>
                <w:iCs/>
                <w:sz w:val="20"/>
                <w:szCs w:val="20"/>
                <w:lang w:eastAsia="sk-SK"/>
              </w:rPr>
              <w:t xml:space="preserve">. absencia </w:t>
            </w:r>
            <w:r w:rsidR="00C45E36">
              <w:rPr>
                <w:rFonts w:ascii="Times New Roman" w:eastAsia="Times New Roman" w:hAnsi="Times New Roman" w:cs="Times New Roman"/>
                <w:iCs/>
                <w:sz w:val="20"/>
                <w:szCs w:val="20"/>
                <w:lang w:eastAsia="sk-SK"/>
              </w:rPr>
              <w:t xml:space="preserve">partnerskej </w:t>
            </w:r>
            <w:r w:rsidR="00780ED7">
              <w:rPr>
                <w:rFonts w:ascii="Times New Roman" w:eastAsia="Times New Roman" w:hAnsi="Times New Roman" w:cs="Times New Roman"/>
                <w:iCs/>
                <w:sz w:val="20"/>
                <w:szCs w:val="20"/>
                <w:lang w:eastAsia="sk-SK"/>
              </w:rPr>
              <w:t>zmluvy. Dohoda je úplne prvou dvojstrannou dohodou medzi EÚ a Thajskom a ide nad súčasný právny rámec dohody o spolupráci medzi Európskym hospodárskym spoločenstvom a členskými štátmi Združenia národov juhovýchodnej Ázie z roku 1980.</w:t>
            </w:r>
          </w:p>
        </w:tc>
      </w:tr>
      <w:tr w:rsidR="00612E08" w:rsidRPr="00612E08" w14:paraId="08CA730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6B92B9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14:paraId="39D4B6DD" w14:textId="77777777" w:rsidTr="000800FC">
        <w:tc>
          <w:tcPr>
            <w:tcW w:w="6203" w:type="dxa"/>
            <w:gridSpan w:val="7"/>
            <w:tcBorders>
              <w:top w:val="single" w:sz="4" w:space="0" w:color="FFFFFF"/>
              <w:left w:val="single" w:sz="4" w:space="0" w:color="auto"/>
              <w:bottom w:val="nil"/>
              <w:right w:val="nil"/>
            </w:tcBorders>
            <w:shd w:val="clear" w:color="auto" w:fill="FFFFFF"/>
          </w:tcPr>
          <w:p w14:paraId="59AAF92E"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F26314E" w14:textId="77777777" w:rsidR="001B23B7" w:rsidRPr="00612E08" w:rsidRDefault="00824C5F"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73E3DC6" w14:textId="44FE762E" w:rsidR="001B23B7" w:rsidRPr="00612E08" w:rsidRDefault="00824C5F"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780ED7">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4C6F6359"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0688E2BF" w14:textId="77777777" w:rsidR="001B23B7" w:rsidRPr="00612E08" w:rsidRDefault="001B23B7" w:rsidP="00780ED7">
            <w:pPr>
              <w:rPr>
                <w:rFonts w:ascii="Times New Roman" w:eastAsia="Times New Roman" w:hAnsi="Times New Roman" w:cs="Times New Roman"/>
                <w:sz w:val="20"/>
                <w:szCs w:val="20"/>
                <w:lang w:eastAsia="sk-SK"/>
              </w:rPr>
            </w:pPr>
          </w:p>
        </w:tc>
      </w:tr>
      <w:tr w:rsidR="00612E08" w:rsidRPr="00612E08" w14:paraId="71A4A747"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431C61"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7AF828D1"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546E4256" w14:textId="77777777">
              <w:trPr>
                <w:trHeight w:val="90"/>
              </w:trPr>
              <w:tc>
                <w:tcPr>
                  <w:tcW w:w="8643" w:type="dxa"/>
                </w:tcPr>
                <w:p w14:paraId="15637CB8" w14:textId="77777777" w:rsidR="00780ED7" w:rsidRPr="002E7C8B" w:rsidRDefault="00780ED7" w:rsidP="00780ED7">
                  <w:pPr>
                    <w:rPr>
                      <w:rFonts w:ascii="Times New Roman" w:hAnsi="Times New Roman" w:cs="Times New Roman"/>
                      <w:sz w:val="20"/>
                      <w:szCs w:val="20"/>
                    </w:rPr>
                  </w:pPr>
                  <w:r w:rsidRPr="002E7C8B">
                    <w:rPr>
                      <w:rFonts w:ascii="Times New Roman" w:hAnsi="Times New Roman" w:cs="Times New Roman"/>
                      <w:sz w:val="20"/>
                      <w:szCs w:val="20"/>
                    </w:rPr>
                    <w:t>Materiálom nedochádza k transpozícii práva EÚ.</w:t>
                  </w:r>
                </w:p>
                <w:p w14:paraId="63C84687" w14:textId="77777777" w:rsidR="002E7C8B" w:rsidRPr="002E7C8B" w:rsidRDefault="002E7C8B" w:rsidP="002E7C8B">
                  <w:pPr>
                    <w:rPr>
                      <w:rFonts w:ascii="Times New Roman" w:hAnsi="Times New Roman" w:cs="Times New Roman"/>
                      <w:sz w:val="20"/>
                      <w:szCs w:val="20"/>
                    </w:rPr>
                  </w:pPr>
                  <w:r w:rsidRPr="002E7C8B">
                    <w:rPr>
                      <w:rFonts w:ascii="Times New Roman" w:hAnsi="Times New Roman" w:cs="Times New Roman"/>
                      <w:i/>
                      <w:iCs/>
                      <w:sz w:val="20"/>
                      <w:szCs w:val="20"/>
                    </w:rPr>
                    <w:lastRenderedPageBreak/>
                    <w:t xml:space="preserve">Uveďte, či v predkladanom návrhu právneho predpisu dochádza ku </w:t>
                  </w:r>
                  <w:proofErr w:type="spellStart"/>
                  <w:r w:rsidRPr="002E7C8B">
                    <w:rPr>
                      <w:rFonts w:ascii="Times New Roman" w:hAnsi="Times New Roman" w:cs="Times New Roman"/>
                      <w:i/>
                      <w:iCs/>
                      <w:sz w:val="20"/>
                      <w:szCs w:val="20"/>
                    </w:rPr>
                    <w:t>goldplatingu</w:t>
                  </w:r>
                  <w:proofErr w:type="spellEnd"/>
                  <w:r w:rsidRPr="002E7C8B">
                    <w:rPr>
                      <w:rFonts w:ascii="Times New Roman" w:hAnsi="Times New Roman" w:cs="Times New Roman"/>
                      <w:i/>
                      <w:iCs/>
                      <w:sz w:val="20"/>
                      <w:szCs w:val="20"/>
                    </w:rPr>
                    <w:t xml:space="preserve"> podľa tabuľky zhody, resp. či ku </w:t>
                  </w:r>
                  <w:proofErr w:type="spellStart"/>
                  <w:r w:rsidRPr="002E7C8B">
                    <w:rPr>
                      <w:rFonts w:ascii="Times New Roman" w:hAnsi="Times New Roman" w:cs="Times New Roman"/>
                      <w:i/>
                      <w:iCs/>
                      <w:sz w:val="20"/>
                      <w:szCs w:val="20"/>
                    </w:rPr>
                    <w:t>goldplatingu</w:t>
                  </w:r>
                  <w:proofErr w:type="spellEnd"/>
                  <w:r w:rsidRPr="002E7C8B">
                    <w:rPr>
                      <w:rFonts w:ascii="Times New Roman" w:hAnsi="Times New Roman" w:cs="Times New Roman"/>
                      <w:i/>
                      <w:iCs/>
                      <w:sz w:val="20"/>
                      <w:szCs w:val="20"/>
                    </w:rPr>
                    <w:t xml:space="preserve"> dochádza pri implementácii práva EÚ.</w:t>
                  </w:r>
                </w:p>
                <w:p w14:paraId="54B23A2A" w14:textId="65AC130B" w:rsidR="00A7788F" w:rsidRPr="00780ED7" w:rsidRDefault="00A7788F" w:rsidP="007C5312">
                  <w:pPr>
                    <w:pStyle w:val="Default"/>
                    <w:rPr>
                      <w:color w:val="auto"/>
                    </w:rPr>
                  </w:pPr>
                </w:p>
              </w:tc>
            </w:tr>
            <w:tr w:rsidR="00612E08" w:rsidRPr="00612E08" w14:paraId="10588A76" w14:textId="77777777">
              <w:trPr>
                <w:trHeight w:val="296"/>
              </w:trPr>
              <w:tc>
                <w:tcPr>
                  <w:tcW w:w="8643" w:type="dxa"/>
                </w:tcPr>
                <w:p w14:paraId="1BB1D582" w14:textId="5DE1E10B" w:rsidR="00A7788F" w:rsidRPr="00184D0D" w:rsidRDefault="00A7788F" w:rsidP="00184D0D">
                  <w:pPr>
                    <w:pStyle w:val="Default"/>
                    <w:tabs>
                      <w:tab w:val="right" w:pos="8643"/>
                    </w:tabs>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2E7C8B">
                        <w:rPr>
                          <w:rFonts w:ascii="MS Gothic" w:eastAsia="MS Gothic" w:hAnsi="MS Gothic" w:hint="eastAsia"/>
                          <w:b/>
                          <w:iCs/>
                          <w:color w:val="auto"/>
                          <w:sz w:val="20"/>
                          <w:szCs w:val="20"/>
                        </w:rPr>
                        <w:t>☒</w:t>
                      </w:r>
                    </w:sdtContent>
                  </w:sdt>
                  <w:r w:rsidRPr="00612E08">
                    <w:rPr>
                      <w:b/>
                      <w:iCs/>
                      <w:color w:val="auto"/>
                      <w:sz w:val="20"/>
                      <w:szCs w:val="20"/>
                    </w:rPr>
                    <w:t xml:space="preserve"> Nie</w:t>
                  </w:r>
                  <w:r w:rsidR="00184D0D">
                    <w:rPr>
                      <w:b/>
                      <w:iCs/>
                      <w:color w:val="auto"/>
                      <w:sz w:val="20"/>
                      <w:szCs w:val="20"/>
                    </w:rPr>
                    <w:tab/>
                  </w:r>
                </w:p>
              </w:tc>
            </w:tr>
            <w:tr w:rsidR="00612E08" w:rsidRPr="00612E08" w14:paraId="218050DC" w14:textId="77777777">
              <w:trPr>
                <w:trHeight w:val="296"/>
              </w:trPr>
              <w:tc>
                <w:tcPr>
                  <w:tcW w:w="8643" w:type="dxa"/>
                </w:tcPr>
                <w:p w14:paraId="2FC4871E" w14:textId="77777777" w:rsidR="00A7788F" w:rsidRPr="00612E08" w:rsidRDefault="00A7788F" w:rsidP="00A7788F">
                  <w:pPr>
                    <w:pStyle w:val="Default"/>
                    <w:rPr>
                      <w:rFonts w:ascii="Segoe UI Symbol" w:hAnsi="Segoe UI Symbol" w:cs="Segoe UI Symbol"/>
                      <w:color w:val="auto"/>
                      <w:sz w:val="20"/>
                      <w:szCs w:val="20"/>
                    </w:rPr>
                  </w:pPr>
                </w:p>
              </w:tc>
            </w:tr>
          </w:tbl>
          <w:p w14:paraId="52AABBEC" w14:textId="77777777"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14:paraId="2A12C603" w14:textId="77777777" w:rsidTr="002E7C8B">
        <w:trPr>
          <w:trHeight w:val="65"/>
        </w:trPr>
        <w:tc>
          <w:tcPr>
            <w:tcW w:w="9180" w:type="dxa"/>
            <w:gridSpan w:val="11"/>
            <w:tcBorders>
              <w:top w:val="nil"/>
              <w:left w:val="single" w:sz="4" w:space="0" w:color="000000"/>
              <w:bottom w:val="single" w:sz="4" w:space="0" w:color="000000"/>
              <w:right w:val="single" w:sz="4" w:space="0" w:color="000000"/>
            </w:tcBorders>
            <w:shd w:val="clear" w:color="auto" w:fill="FFFFFF"/>
          </w:tcPr>
          <w:p w14:paraId="1D42E332" w14:textId="77777777" w:rsidR="001B23B7" w:rsidRPr="00612E08" w:rsidRDefault="001B23B7" w:rsidP="00184D0D">
            <w:pPr>
              <w:jc w:val="right"/>
              <w:rPr>
                <w:rFonts w:ascii="Times New Roman" w:eastAsia="Times New Roman" w:hAnsi="Times New Roman" w:cs="Times New Roman"/>
                <w:sz w:val="20"/>
                <w:szCs w:val="20"/>
                <w:lang w:eastAsia="sk-SK"/>
              </w:rPr>
            </w:pPr>
          </w:p>
        </w:tc>
      </w:tr>
      <w:tr w:rsidR="00612E08" w:rsidRPr="00612E08" w14:paraId="072A2EC8"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D433A8E"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35A7DCAE" w14:textId="77777777" w:rsidTr="00184D0D">
        <w:trPr>
          <w:trHeight w:val="1233"/>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394CCAF" w14:textId="77777777" w:rsidR="00184D0D" w:rsidRDefault="00184D0D" w:rsidP="00184D0D">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Riadne fungovanie a vykonávanie dohody sa zabezpečuje prostredníctvom Spoločného výboru zloženého zo zástupcov zmluvných strán na najvyššej možnej úrovni.</w:t>
            </w:r>
          </w:p>
          <w:p w14:paraId="29D17D2B" w14:textId="04CABF85" w:rsidR="00184D0D" w:rsidRDefault="00184D0D" w:rsidP="00184D0D">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Dohoda sa uzatvára na obdobie piatich rokov a automaticky sa predlžuje vždy o ďalší rok, pokiaľ niektorá zo zmluvná strán šesť mesiacov pred koncom ktoréhokoľvek ďalšieho jednoročného obdobia písomne neoznámi druhej zmluvnej strane svoj úmysel platnosť dohody nepredĺžiť. </w:t>
            </w:r>
          </w:p>
          <w:p w14:paraId="2488F83C" w14:textId="7121F92D" w:rsidR="001B23B7" w:rsidRPr="00184D0D" w:rsidRDefault="001B23B7" w:rsidP="00184D0D">
            <w:pPr>
              <w:rPr>
                <w:rFonts w:ascii="Times New Roman" w:eastAsia="Times New Roman" w:hAnsi="Times New Roman" w:cs="Times New Roman"/>
                <w:iCs/>
                <w:sz w:val="20"/>
                <w:szCs w:val="20"/>
                <w:lang w:eastAsia="sk-SK"/>
              </w:rPr>
            </w:pPr>
          </w:p>
        </w:tc>
      </w:tr>
      <w:tr w:rsidR="00612E08" w:rsidRPr="00612E08" w14:paraId="54C10163"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66AEA371"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0CDA06C7"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0B5F1CEB"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AE510B4" w14:textId="77777777" w:rsidR="001B23B7" w:rsidRPr="00612E08" w:rsidRDefault="003145AE"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0BE9F1C"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BEAC738" w14:textId="49EB197B" w:rsidR="001B23B7" w:rsidRPr="00612E08" w:rsidRDefault="004B7E12"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8E98537"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1A8489B" w14:textId="77777777" w:rsidR="001B23B7" w:rsidRPr="00612E08" w:rsidRDefault="00203EE3" w:rsidP="000800FC">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FF60993" w14:textId="77777777"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745D5FF3" w14:textId="77777777" w:rsidTr="004C6831">
        <w:tc>
          <w:tcPr>
            <w:tcW w:w="3812" w:type="dxa"/>
            <w:tcBorders>
              <w:top w:val="nil"/>
              <w:left w:val="single" w:sz="4" w:space="0" w:color="auto"/>
              <w:bottom w:val="nil"/>
              <w:right w:val="single" w:sz="4" w:space="0" w:color="auto"/>
            </w:tcBorders>
            <w:shd w:val="clear" w:color="auto" w:fill="E2E2E2"/>
          </w:tcPr>
          <w:p w14:paraId="2342AC04"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4FCDDB9F"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276F53DE"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4F1396C" w14:textId="77777777" w:rsidR="001B23B7" w:rsidRPr="00612E08" w:rsidRDefault="003145AE"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534D2E7"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68BCCB3" w14:textId="77777777"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C38AE45"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5824C3C" w14:textId="77777777"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2B351FE"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5DC1E0E7" w14:textId="77777777" w:rsidTr="004C6831">
        <w:tc>
          <w:tcPr>
            <w:tcW w:w="3812" w:type="dxa"/>
            <w:tcBorders>
              <w:top w:val="nil"/>
              <w:left w:val="single" w:sz="4" w:space="0" w:color="auto"/>
              <w:bottom w:val="nil"/>
              <w:right w:val="single" w:sz="4" w:space="0" w:color="auto"/>
            </w:tcBorders>
            <w:shd w:val="clear" w:color="auto" w:fill="E2E2E2"/>
          </w:tcPr>
          <w:p w14:paraId="3D36F5F2"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0862ABF"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6228F18"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6D85DEA" w14:textId="5E78957C" w:rsidR="003145AE" w:rsidRPr="00612E08" w:rsidRDefault="004B7E12"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597C947"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B117883"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84943FB"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793D5C5"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71DDED42"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69E3FA08"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9FBE4E3"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F88CC73"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E185EE0"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7FC7E08"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C7BDDC3"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6F7480B"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615C2414"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4D7C9F23" w14:textId="77777777"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0F1E0E0" w14:textId="77777777"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A4CBF14" w14:textId="77777777"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D4B239B" w14:textId="77777777"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6A1B3C6" w14:textId="77777777"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47A6AD3" w14:textId="77777777"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7610DD2" w14:textId="77777777"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60A186D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26E0F799"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F876461"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8228EC5"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0CBD184" w14:textId="008167C6" w:rsidR="007F587A" w:rsidRPr="00612E08" w:rsidRDefault="004B7E12"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6318667"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4FDE1E8"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AD03582"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73874427"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2FBF561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A56F56A"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11D8C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8B5E1AC" w14:textId="0CD2375A" w:rsidR="007F587A" w:rsidRPr="00612E08" w:rsidRDefault="004B7E1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49F50BC"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EE9208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0929C6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021036F" w14:textId="77777777" w:rsidTr="00203EE3">
        <w:tc>
          <w:tcPr>
            <w:tcW w:w="3812" w:type="dxa"/>
            <w:tcBorders>
              <w:top w:val="nil"/>
              <w:left w:val="single" w:sz="4" w:space="0" w:color="000000"/>
              <w:bottom w:val="nil"/>
              <w:right w:val="single" w:sz="4" w:space="0" w:color="000000"/>
            </w:tcBorders>
            <w:shd w:val="clear" w:color="auto" w:fill="E2E2E2"/>
          </w:tcPr>
          <w:p w14:paraId="274E8E78"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0BBC66A4"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5BA5B46"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94C6106"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232FFCB"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98BD5B3"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49234C1"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7FEAC33"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22778A69"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7D8D8A2B"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39FA9373"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CF7781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1CC812D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287397D"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8B54E85"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E92238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76AACE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CA4586C"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F05A0FB"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5FD97EB"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CBA114D"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936856D" w14:textId="24CEF81B" w:rsidR="007F587A" w:rsidRPr="00612E08" w:rsidRDefault="004B7E1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BA960E5"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BF6F0C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B80F0D7"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2AC3D42"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57E10BDD"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F90F4F3"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711FC0D"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7FF363E" w14:textId="29844D28" w:rsidR="007F587A" w:rsidRPr="00612E08" w:rsidRDefault="004B7E1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4D0D938"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B29F404"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382F98D"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7AD02860"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34B6FF2B" w14:textId="77777777" w:rsidR="007F587A" w:rsidRPr="00612E08" w:rsidRDefault="007F587A" w:rsidP="007F587A">
            <w:pPr>
              <w:rPr>
                <w:rFonts w:ascii="Times New Roman" w:eastAsia="Times New Roman" w:hAnsi="Times New Roman" w:cs="Times New Roman"/>
                <w:sz w:val="20"/>
                <w:szCs w:val="20"/>
                <w:lang w:eastAsia="sk-SK"/>
              </w:rPr>
            </w:pPr>
          </w:p>
          <w:p w14:paraId="6B67E790"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C2B8271"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C37D7BA"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55C00FF"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59EE505"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BC4B501" w14:textId="73D4512B" w:rsidR="007F587A" w:rsidRPr="00612E08" w:rsidRDefault="004B7E1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460A614"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2C63A9A5"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1EA9E64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6F43849"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2204A73"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D4D00D" w14:textId="7033480F" w:rsidR="007F587A" w:rsidRPr="00612E08" w:rsidRDefault="004B7E1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E3E7E5B"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E8237C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4A3D65E"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0E719844"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66FDC16"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0C5AF3DD"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84A1DC9" w14:textId="77777777"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6E6559D8"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134ABA7"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CAA0CFF"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2C1589F" w14:textId="77777777"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14:paraId="18FE94EF" w14:textId="77777777" w:rsidTr="00B547F5">
        <w:tc>
          <w:tcPr>
            <w:tcW w:w="3812" w:type="dxa"/>
            <w:tcBorders>
              <w:top w:val="nil"/>
              <w:left w:val="single" w:sz="4" w:space="0" w:color="auto"/>
              <w:bottom w:val="nil"/>
              <w:right w:val="single" w:sz="4" w:space="0" w:color="auto"/>
            </w:tcBorders>
            <w:shd w:val="clear" w:color="auto" w:fill="E2E2E2"/>
          </w:tcPr>
          <w:p w14:paraId="36EB2DA3" w14:textId="77777777"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742A43F"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2A40384"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927B7E4" w14:textId="5C1F89E6" w:rsidR="000F2BE9" w:rsidRPr="00612E08" w:rsidRDefault="004B7E1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03C696F9"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49A8CB8"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8156CDF"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E429253" w14:textId="77777777" w:rsidTr="00B547F5">
        <w:tc>
          <w:tcPr>
            <w:tcW w:w="3812" w:type="dxa"/>
            <w:tcBorders>
              <w:top w:val="nil"/>
              <w:left w:val="single" w:sz="4" w:space="0" w:color="auto"/>
              <w:bottom w:val="nil"/>
              <w:right w:val="single" w:sz="4" w:space="0" w:color="auto"/>
            </w:tcBorders>
            <w:shd w:val="clear" w:color="auto" w:fill="E2E2E2"/>
          </w:tcPr>
          <w:p w14:paraId="79A45A34" w14:textId="77777777"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12584BD"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7620647"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6978D6F" w14:textId="56B5614B" w:rsidR="000F2BE9" w:rsidRPr="00612E08" w:rsidRDefault="004B7E1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F19CBA5"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BA63721"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29DE40C"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1A88B167"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AF45E8F" w14:textId="77777777"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BDC56B6"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EF757E3"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1F37C26" w14:textId="6126EE56" w:rsidR="00A340BB" w:rsidRPr="00612E08" w:rsidRDefault="004B7E1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4EEB219"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43318F6"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75171D4"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90A78AA"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7EABDDE1"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71C3C6BB"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6931E21D"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0673AEC" w14:textId="77777777" w:rsidR="004B7E12" w:rsidRDefault="004B7E12" w:rsidP="004B7E12">
            <w:pPr>
              <w:jc w:val="both"/>
              <w:rPr>
                <w:rFonts w:ascii="Times" w:hAnsi="Times" w:cs="Times"/>
                <w:sz w:val="20"/>
                <w:szCs w:val="20"/>
              </w:rPr>
            </w:pPr>
            <w:r w:rsidRPr="003A7B4C">
              <w:rPr>
                <w:rFonts w:ascii="Times" w:hAnsi="Times" w:cs="Times"/>
                <w:sz w:val="20"/>
                <w:szCs w:val="20"/>
              </w:rPr>
              <w:t>Aj napriek tomu, že vykonávanie predmetnej dohody nebude mať vplyvy na vybrané oblasti, dohoda môže mať nepriame pozitívne vplyvy na podnikateľské subjekty, ktoré však v tejto chvíli nie je možné popísať ani kvantifikovať. Pôjde o dôsledok zintenzívnenia dialógu a spolupráce v oblasti obchodu a investícií (čl. 9), riešenia technických prekážok obchodu (čl. 1</w:t>
            </w:r>
            <w:r>
              <w:rPr>
                <w:rFonts w:ascii="Times" w:hAnsi="Times" w:cs="Times"/>
                <w:sz w:val="20"/>
                <w:szCs w:val="20"/>
              </w:rPr>
              <w:t>2</w:t>
            </w:r>
            <w:r w:rsidRPr="003A7B4C">
              <w:rPr>
                <w:rFonts w:ascii="Times" w:hAnsi="Times" w:cs="Times"/>
                <w:sz w:val="20"/>
                <w:szCs w:val="20"/>
              </w:rPr>
              <w:t xml:space="preserve">), </w:t>
            </w:r>
            <w:r>
              <w:rPr>
                <w:rFonts w:ascii="Times" w:hAnsi="Times" w:cs="Times"/>
                <w:sz w:val="20"/>
                <w:szCs w:val="20"/>
              </w:rPr>
              <w:t>colnej spolupráce a uľahčenia obchodu</w:t>
            </w:r>
            <w:r w:rsidRPr="003A7B4C">
              <w:rPr>
                <w:rFonts w:ascii="Times" w:hAnsi="Times" w:cs="Times"/>
                <w:sz w:val="20"/>
                <w:szCs w:val="20"/>
              </w:rPr>
              <w:t xml:space="preserve"> (čl. 1</w:t>
            </w:r>
            <w:r>
              <w:rPr>
                <w:rFonts w:ascii="Times" w:hAnsi="Times" w:cs="Times"/>
                <w:sz w:val="20"/>
                <w:szCs w:val="20"/>
              </w:rPr>
              <w:t>3</w:t>
            </w:r>
            <w:r w:rsidRPr="003A7B4C">
              <w:rPr>
                <w:rFonts w:ascii="Times" w:hAnsi="Times" w:cs="Times"/>
                <w:sz w:val="20"/>
                <w:szCs w:val="20"/>
              </w:rPr>
              <w:t>), rozvoja a podpory investícií (čl. 1</w:t>
            </w:r>
            <w:r>
              <w:rPr>
                <w:rFonts w:ascii="Times" w:hAnsi="Times" w:cs="Times"/>
                <w:sz w:val="20"/>
                <w:szCs w:val="20"/>
              </w:rPr>
              <w:t>5</w:t>
            </w:r>
            <w:r w:rsidRPr="003A7B4C">
              <w:rPr>
                <w:rFonts w:ascii="Times" w:hAnsi="Times" w:cs="Times"/>
                <w:sz w:val="20"/>
                <w:szCs w:val="20"/>
              </w:rPr>
              <w:t>), či zintenzívnenia podpory</w:t>
            </w:r>
            <w:r>
              <w:rPr>
                <w:rFonts w:ascii="Times" w:hAnsi="Times" w:cs="Times"/>
                <w:sz w:val="20"/>
                <w:szCs w:val="20"/>
              </w:rPr>
              <w:t xml:space="preserve"> a ochrany</w:t>
            </w:r>
            <w:r w:rsidRPr="003A7B4C">
              <w:rPr>
                <w:rFonts w:ascii="Times" w:hAnsi="Times" w:cs="Times"/>
                <w:sz w:val="20"/>
                <w:szCs w:val="20"/>
              </w:rPr>
              <w:t xml:space="preserve"> hospodárskej súťaže (čl. 1</w:t>
            </w:r>
            <w:r>
              <w:rPr>
                <w:rFonts w:ascii="Times" w:hAnsi="Times" w:cs="Times"/>
                <w:sz w:val="20"/>
                <w:szCs w:val="20"/>
              </w:rPr>
              <w:t>6</w:t>
            </w:r>
            <w:r w:rsidRPr="003A7B4C">
              <w:rPr>
                <w:rFonts w:ascii="Times" w:hAnsi="Times" w:cs="Times"/>
                <w:sz w:val="20"/>
                <w:szCs w:val="20"/>
              </w:rPr>
              <w:t>)</w:t>
            </w:r>
            <w:r>
              <w:rPr>
                <w:rFonts w:ascii="Times" w:hAnsi="Times" w:cs="Times"/>
                <w:sz w:val="20"/>
                <w:szCs w:val="20"/>
              </w:rPr>
              <w:t>, spolupráce v oblasti služieb (čl. 17), ochrany práv duševného vlastníctva (čl. 18) a digitálneho obchodu (čl. 19)</w:t>
            </w:r>
            <w:r w:rsidRPr="003A7B4C">
              <w:rPr>
                <w:rFonts w:ascii="Times" w:hAnsi="Times" w:cs="Times"/>
                <w:sz w:val="20"/>
                <w:szCs w:val="20"/>
              </w:rPr>
              <w:t xml:space="preserve">. </w:t>
            </w:r>
          </w:p>
          <w:p w14:paraId="4B9D5C7F" w14:textId="77777777" w:rsidR="004B7E12" w:rsidRPr="004B7E12" w:rsidRDefault="004B7E12" w:rsidP="000800FC">
            <w:pPr>
              <w:jc w:val="both"/>
              <w:rPr>
                <w:rFonts w:ascii="Times New Roman" w:eastAsia="Times New Roman" w:hAnsi="Times New Roman" w:cs="Times New Roman"/>
                <w:iCs/>
                <w:sz w:val="20"/>
                <w:szCs w:val="20"/>
                <w:lang w:eastAsia="sk-SK"/>
              </w:rPr>
            </w:pPr>
          </w:p>
          <w:p w14:paraId="2747E5BD" w14:textId="42E057A3" w:rsidR="004B7E12" w:rsidRPr="004B7E12" w:rsidRDefault="004B7E12" w:rsidP="000800FC">
            <w:pPr>
              <w:jc w:val="both"/>
              <w:rPr>
                <w:rFonts w:ascii="Times New Roman" w:hAnsi="Times New Roman" w:cs="Times New Roman"/>
                <w:sz w:val="20"/>
                <w:szCs w:val="20"/>
              </w:rPr>
            </w:pPr>
            <w:r>
              <w:rPr>
                <w:rFonts w:ascii="Times New Roman" w:eastAsia="Times New Roman" w:hAnsi="Times New Roman" w:cs="Times New Roman"/>
                <w:iCs/>
                <w:sz w:val="20"/>
                <w:szCs w:val="20"/>
                <w:lang w:eastAsia="sk-SK"/>
              </w:rPr>
              <w:t>Z</w:t>
            </w:r>
            <w:r w:rsidRPr="004B7E12">
              <w:rPr>
                <w:rFonts w:ascii="Times New Roman" w:hAnsi="Times New Roman" w:cs="Times New Roman"/>
                <w:sz w:val="20"/>
                <w:szCs w:val="20"/>
              </w:rPr>
              <w:t xml:space="preserve"> predloženého návrhu nevyplývajú zvýšené požiadavky na rozpočet verejnej správy a všetky prípadné rozpočtové dôsledky budú zabezpečené v rámci schválených limitov rozpočtov dotknutých kapitol na príslušný rozpočtový rok.</w:t>
            </w:r>
          </w:p>
          <w:p w14:paraId="65939116" w14:textId="77777777" w:rsidR="001B23B7" w:rsidRPr="00612E08" w:rsidRDefault="001B23B7" w:rsidP="004B7E12">
            <w:pPr>
              <w:jc w:val="both"/>
              <w:rPr>
                <w:rFonts w:ascii="Times New Roman" w:eastAsia="Calibri" w:hAnsi="Times New Roman" w:cs="Times New Roman"/>
                <w:b/>
              </w:rPr>
            </w:pPr>
          </w:p>
        </w:tc>
      </w:tr>
      <w:tr w:rsidR="00612E08" w:rsidRPr="00612E08" w14:paraId="0CA1B8D0"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9BC6CAB"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4B7E12" w:rsidRPr="00612E08" w14:paraId="1320C0DF"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33BAB20" w14:textId="54165A00" w:rsidR="004B7E12" w:rsidRPr="004B7E12" w:rsidRDefault="004B7E12" w:rsidP="004B7E12">
            <w:pPr>
              <w:rPr>
                <w:rFonts w:ascii="Times New Roman" w:eastAsia="Times New Roman" w:hAnsi="Times New Roman" w:cs="Times New Roman"/>
                <w:i/>
                <w:sz w:val="20"/>
                <w:szCs w:val="20"/>
                <w:lang w:eastAsia="sk-SK"/>
              </w:rPr>
            </w:pPr>
            <w:r w:rsidRPr="004B7E12">
              <w:rPr>
                <w:rFonts w:ascii="Times New Roman" w:hAnsi="Times New Roman" w:cs="Times New Roman"/>
                <w:sz w:val="20"/>
                <w:szCs w:val="20"/>
              </w:rPr>
              <w:t xml:space="preserve">Mgr. Jana </w:t>
            </w:r>
            <w:proofErr w:type="spellStart"/>
            <w:r w:rsidRPr="004B7E12">
              <w:rPr>
                <w:rFonts w:ascii="Times New Roman" w:hAnsi="Times New Roman" w:cs="Times New Roman"/>
                <w:sz w:val="20"/>
                <w:szCs w:val="20"/>
              </w:rPr>
              <w:t>Vnuková</w:t>
            </w:r>
            <w:proofErr w:type="spellEnd"/>
            <w:r w:rsidRPr="004B7E12">
              <w:rPr>
                <w:rFonts w:ascii="Times New Roman" w:hAnsi="Times New Roman" w:cs="Times New Roman"/>
                <w:sz w:val="20"/>
                <w:szCs w:val="20"/>
              </w:rPr>
              <w:br/>
              <w:t>Odbor právneho štátu, základných hodnôt a práva EÚ, Sekcia európskych záležitostí, MZVEZ SR</w:t>
            </w:r>
            <w:r w:rsidRPr="004B7E12">
              <w:rPr>
                <w:rFonts w:ascii="Times New Roman" w:hAnsi="Times New Roman" w:cs="Times New Roman"/>
                <w:sz w:val="20"/>
                <w:szCs w:val="20"/>
              </w:rPr>
              <w:br/>
              <w:t xml:space="preserve">t. č.: 02/5978 3533; e-mail: jana.vnukova@mzv.sk </w:t>
            </w:r>
          </w:p>
        </w:tc>
      </w:tr>
      <w:tr w:rsidR="004B7E12" w:rsidRPr="00612E08" w14:paraId="462FCE8E"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A93E11C" w14:textId="77777777" w:rsidR="004B7E12" w:rsidRPr="00612E08" w:rsidRDefault="004B7E12" w:rsidP="004B7E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4B7E12" w:rsidRPr="00612E08" w14:paraId="7B95E073"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2685DD1" w14:textId="77777777" w:rsidR="004B7E12" w:rsidRDefault="004B7E12" w:rsidP="004B7E12">
            <w:pPr>
              <w:jc w:val="both"/>
              <w:rPr>
                <w:rFonts w:ascii="Times" w:hAnsi="Times" w:cs="Times"/>
                <w:sz w:val="20"/>
                <w:szCs w:val="20"/>
              </w:rPr>
            </w:pPr>
            <w:r w:rsidRPr="003A7B4C">
              <w:rPr>
                <w:rFonts w:ascii="Times" w:hAnsi="Times" w:cs="Times"/>
                <w:sz w:val="20"/>
                <w:szCs w:val="20"/>
              </w:rPr>
              <w:t>Úradný vestník Európskej únie</w:t>
            </w:r>
          </w:p>
          <w:p w14:paraId="21583324" w14:textId="77777777" w:rsidR="004B7E12" w:rsidRPr="00612E08" w:rsidRDefault="004B7E12" w:rsidP="004B7E12">
            <w:pPr>
              <w:rPr>
                <w:rFonts w:ascii="Times New Roman" w:eastAsia="Times New Roman" w:hAnsi="Times New Roman" w:cs="Times New Roman"/>
                <w:i/>
                <w:sz w:val="20"/>
                <w:szCs w:val="20"/>
                <w:lang w:eastAsia="sk-SK"/>
              </w:rPr>
            </w:pPr>
          </w:p>
          <w:p w14:paraId="4FAEAFAA" w14:textId="77777777" w:rsidR="004B7E12" w:rsidRPr="00612E08" w:rsidRDefault="004B7E12" w:rsidP="004B7E12">
            <w:pPr>
              <w:rPr>
                <w:rFonts w:ascii="Times New Roman" w:eastAsia="Times New Roman" w:hAnsi="Times New Roman" w:cs="Times New Roman"/>
                <w:b/>
                <w:sz w:val="20"/>
                <w:szCs w:val="20"/>
                <w:lang w:eastAsia="sk-SK"/>
              </w:rPr>
            </w:pPr>
          </w:p>
        </w:tc>
      </w:tr>
      <w:tr w:rsidR="004B7E12" w:rsidRPr="00612E08" w14:paraId="09EB93F7"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D097DC" w14:textId="77777777" w:rsidR="004B7E12" w:rsidRPr="00612E08" w:rsidRDefault="004B7E12" w:rsidP="004B7E12">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405EA4F8" w14:textId="77777777" w:rsidR="004B7E12" w:rsidRPr="00612E08" w:rsidRDefault="004B7E12" w:rsidP="004B7E12">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4B7E12" w:rsidRPr="00612E08" w14:paraId="5E0DF22A"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D98245A" w14:textId="77777777" w:rsidR="004B7E12" w:rsidRPr="00612E08" w:rsidRDefault="004B7E12" w:rsidP="004B7E12">
            <w:pPr>
              <w:rPr>
                <w:rFonts w:ascii="Times New Roman" w:eastAsia="Times New Roman" w:hAnsi="Times New Roman" w:cs="Times New Roman"/>
                <w:b/>
                <w:sz w:val="20"/>
                <w:szCs w:val="20"/>
                <w:lang w:eastAsia="sk-SK"/>
              </w:rPr>
            </w:pPr>
          </w:p>
          <w:p w14:paraId="7D8BD545" w14:textId="77777777" w:rsidR="004B7E12" w:rsidRDefault="004B7E12" w:rsidP="004B7E12">
            <w:pPr>
              <w:rPr>
                <w:rFonts w:ascii="Times" w:hAnsi="Times" w:cs="Times"/>
                <w:sz w:val="20"/>
                <w:szCs w:val="20"/>
              </w:rPr>
            </w:pPr>
            <w:r w:rsidRPr="00594D1F">
              <w:rPr>
                <w:rFonts w:ascii="Times" w:hAnsi="Times" w:cs="Times"/>
                <w:sz w:val="20"/>
                <w:szCs w:val="20"/>
              </w:rPr>
              <w:t>Keďže nebol identifikovaný žiadny z vybraných vplyvov, v súlade s bodom 6.1 Jednotnej metodiky na posudzovanie vybraných vplyvov materiál nie je predkladaný na PPK.</w:t>
            </w:r>
          </w:p>
          <w:p w14:paraId="1267AF15" w14:textId="77777777" w:rsidR="004B7E12" w:rsidRPr="00612E08" w:rsidRDefault="004B7E12" w:rsidP="004B7E12">
            <w:pPr>
              <w:rPr>
                <w:rFonts w:ascii="Times New Roman" w:eastAsia="Times New Roman" w:hAnsi="Times New Roman" w:cs="Times New Roman"/>
                <w:b/>
                <w:sz w:val="20"/>
                <w:szCs w:val="20"/>
                <w:lang w:eastAsia="sk-SK"/>
              </w:rPr>
            </w:pPr>
          </w:p>
          <w:p w14:paraId="2EB482E2" w14:textId="77777777" w:rsidR="004B7E12" w:rsidRPr="00612E08" w:rsidRDefault="004B7E12" w:rsidP="004B7E12">
            <w:pPr>
              <w:rPr>
                <w:rFonts w:ascii="Times New Roman" w:eastAsia="Times New Roman" w:hAnsi="Times New Roman" w:cs="Times New Roman"/>
                <w:b/>
                <w:sz w:val="20"/>
                <w:szCs w:val="20"/>
                <w:lang w:eastAsia="sk-SK"/>
              </w:rPr>
            </w:pPr>
          </w:p>
        </w:tc>
      </w:tr>
      <w:tr w:rsidR="004B7E12" w:rsidRPr="00612E08" w14:paraId="7D08ADC4"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8101BD5" w14:textId="77777777" w:rsidR="004B7E12" w:rsidRPr="00612E08" w:rsidRDefault="004B7E12" w:rsidP="004B7E12">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4B7E12" w:rsidRPr="00612E08" w14:paraId="6294BECC" w14:textId="77777777" w:rsidTr="000800FC">
        <w:tblPrEx>
          <w:tblBorders>
            <w:insideH w:val="single" w:sz="4" w:space="0" w:color="FFFFFF"/>
            <w:insideV w:val="single" w:sz="4" w:space="0" w:color="FFFFFF"/>
          </w:tblBorders>
        </w:tblPrEx>
        <w:tc>
          <w:tcPr>
            <w:tcW w:w="9176" w:type="dxa"/>
            <w:shd w:val="clear" w:color="auto" w:fill="FFFFFF"/>
          </w:tcPr>
          <w:p w14:paraId="0BCA1503" w14:textId="4148E8B6" w:rsidR="004B7E12" w:rsidRPr="004B7E12" w:rsidRDefault="004B7E12" w:rsidP="004B7E12">
            <w:pPr>
              <w:rPr>
                <w:rFonts w:ascii="Times New Roman" w:eastAsia="Times New Roman" w:hAnsi="Times New Roman" w:cs="Times New Roman"/>
                <w:bCs/>
                <w:sz w:val="20"/>
                <w:szCs w:val="20"/>
                <w:lang w:eastAsia="sk-SK"/>
              </w:rPr>
            </w:pPr>
            <w:r w:rsidRPr="004B7E12">
              <w:rPr>
                <w:rFonts w:ascii="Times New Roman" w:eastAsia="Times New Roman" w:hAnsi="Times New Roman" w:cs="Times New Roman"/>
                <w:bCs/>
                <w:sz w:val="20"/>
                <w:szCs w:val="20"/>
                <w:lang w:eastAsia="sk-SK"/>
              </w:rPr>
              <w:t>Neuskutočnilo sa.</w:t>
            </w:r>
          </w:p>
        </w:tc>
      </w:tr>
    </w:tbl>
    <w:p w14:paraId="7F68867A" w14:textId="77777777" w:rsidR="00274130" w:rsidRPr="00612E08" w:rsidRDefault="00824C5F"/>
    <w:sectPr w:rsidR="00274130" w:rsidRPr="00612E08" w:rsidSect="00184D0D">
      <w:footerReference w:type="default" r:id="rId9"/>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8356" w14:textId="77777777" w:rsidR="003A381E" w:rsidRDefault="003A381E" w:rsidP="001B23B7">
      <w:pPr>
        <w:spacing w:after="0" w:line="240" w:lineRule="auto"/>
      </w:pPr>
      <w:r>
        <w:separator/>
      </w:r>
    </w:p>
  </w:endnote>
  <w:endnote w:type="continuationSeparator" w:id="0">
    <w:p w14:paraId="43F29845" w14:textId="77777777" w:rsidR="003A381E" w:rsidRDefault="003A381E"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32809154" w14:textId="77777777" w:rsidR="00184D0D" w:rsidRPr="00612E08" w:rsidRDefault="00184D0D" w:rsidP="00184D0D">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095407EE" w14:textId="77777777" w:rsidR="00184D0D" w:rsidRPr="00612E08" w:rsidRDefault="00184D0D" w:rsidP="00184D0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77C0E2B7" w14:textId="77777777" w:rsidR="00184D0D" w:rsidRPr="00612E08" w:rsidRDefault="00184D0D" w:rsidP="00184D0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F7D2BB2" w14:textId="3DC67B98"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12E08">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30023F5B"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E583" w14:textId="77777777" w:rsidR="003A381E" w:rsidRDefault="003A381E" w:rsidP="001B23B7">
      <w:pPr>
        <w:spacing w:after="0" w:line="240" w:lineRule="auto"/>
      </w:pPr>
      <w:r>
        <w:separator/>
      </w:r>
    </w:p>
  </w:footnote>
  <w:footnote w:type="continuationSeparator" w:id="0">
    <w:p w14:paraId="433424E8" w14:textId="77777777" w:rsidR="003A381E" w:rsidRDefault="003A381E"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50747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43706"/>
    <w:rsid w:val="00097069"/>
    <w:rsid w:val="000D348F"/>
    <w:rsid w:val="000F2BE9"/>
    <w:rsid w:val="00113AE4"/>
    <w:rsid w:val="00156064"/>
    <w:rsid w:val="00184D0D"/>
    <w:rsid w:val="00187182"/>
    <w:rsid w:val="001B23B7"/>
    <w:rsid w:val="001E3562"/>
    <w:rsid w:val="00203EE3"/>
    <w:rsid w:val="002243BB"/>
    <w:rsid w:val="0023360B"/>
    <w:rsid w:val="00243652"/>
    <w:rsid w:val="002E7C8B"/>
    <w:rsid w:val="002F6ADB"/>
    <w:rsid w:val="003145AE"/>
    <w:rsid w:val="003553ED"/>
    <w:rsid w:val="003A057B"/>
    <w:rsid w:val="003A381E"/>
    <w:rsid w:val="00411898"/>
    <w:rsid w:val="0049476D"/>
    <w:rsid w:val="004A4383"/>
    <w:rsid w:val="004B7E12"/>
    <w:rsid w:val="004C6831"/>
    <w:rsid w:val="00591EC6"/>
    <w:rsid w:val="00591ED3"/>
    <w:rsid w:val="00612E08"/>
    <w:rsid w:val="006D33C8"/>
    <w:rsid w:val="006F678E"/>
    <w:rsid w:val="006F6B62"/>
    <w:rsid w:val="00720322"/>
    <w:rsid w:val="0075197E"/>
    <w:rsid w:val="00761208"/>
    <w:rsid w:val="007756BE"/>
    <w:rsid w:val="00780ED7"/>
    <w:rsid w:val="007B40C1"/>
    <w:rsid w:val="007C5312"/>
    <w:rsid w:val="007D6F2C"/>
    <w:rsid w:val="007F587A"/>
    <w:rsid w:val="0080042A"/>
    <w:rsid w:val="00824C5F"/>
    <w:rsid w:val="00865E81"/>
    <w:rsid w:val="008801B5"/>
    <w:rsid w:val="00881E07"/>
    <w:rsid w:val="00890777"/>
    <w:rsid w:val="008B222D"/>
    <w:rsid w:val="008C79B7"/>
    <w:rsid w:val="009431E3"/>
    <w:rsid w:val="009475F5"/>
    <w:rsid w:val="009717F5"/>
    <w:rsid w:val="0098472E"/>
    <w:rsid w:val="009C424C"/>
    <w:rsid w:val="009E09F7"/>
    <w:rsid w:val="009F4832"/>
    <w:rsid w:val="00A340BB"/>
    <w:rsid w:val="00A60413"/>
    <w:rsid w:val="00A7788F"/>
    <w:rsid w:val="00AC30D6"/>
    <w:rsid w:val="00B00B6E"/>
    <w:rsid w:val="00B547F5"/>
    <w:rsid w:val="00B74B2D"/>
    <w:rsid w:val="00B84F87"/>
    <w:rsid w:val="00BA2BF4"/>
    <w:rsid w:val="00C45E36"/>
    <w:rsid w:val="00C76709"/>
    <w:rsid w:val="00C86714"/>
    <w:rsid w:val="00C94E4E"/>
    <w:rsid w:val="00CB08AE"/>
    <w:rsid w:val="00CD6E04"/>
    <w:rsid w:val="00CE6AAE"/>
    <w:rsid w:val="00CF1A25"/>
    <w:rsid w:val="00D2313B"/>
    <w:rsid w:val="00D50F1E"/>
    <w:rsid w:val="00DF357C"/>
    <w:rsid w:val="00E440B4"/>
    <w:rsid w:val="00ED165A"/>
    <w:rsid w:val="00ED1AC0"/>
    <w:rsid w:val="00F50A84"/>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E125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6_dolozka-vybranych-vplyvov-po-MPK"/>
    <f:field ref="objsubject" par="" edit="true" text=""/>
    <f:field ref="objcreatedby" par="" text="Bezáková, Katarína"/>
    <f:field ref="objcreatedat" par="" text="16.11.2023 13:49:36"/>
    <f:field ref="objchangedby" par="" text="Administrator, System"/>
    <f:field ref="objmodifiedat" par="" text="16.11.2023 13:49: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DF836FA-8205-4FB5-BB14-B4B7ED06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Vnukova Jana /OPEU/MZV</cp:lastModifiedBy>
  <cp:revision>3</cp:revision>
  <dcterms:created xsi:type="dcterms:W3CDTF">2023-12-14T10:18:00Z</dcterms:created>
  <dcterms:modified xsi:type="dcterms:W3CDTF">2023-12-14T10:18:00Z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medzinárodného práva</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Medzinárodné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Katarína Bezáková</vt:lpwstr>
  </property>
  <property fmtid="{D5CDD505-2E9C-101B-9397-08002B2CF9AE}" pid="12" name="FSC#SKEDITIONSLOVLEX@103.510:zodppredkladatel">
    <vt:lpwstr>Miroslav Wlachovský</vt:lpwstr>
  </property>
  <property fmtid="{D5CDD505-2E9C-101B-9397-08002B2CF9AE}" pid="13" name="FSC#SKEDITIONSLOVLEX@103.510:dalsipredkladatel">
    <vt:lpwstr/>
  </property>
  <property fmtid="{D5CDD505-2E9C-101B-9397-08002B2CF9AE}" pid="14" name="FSC#SKEDITIONSLOVLEX@103.510:nazovpredpis">
    <vt:lpwstr> Návrh na uzavretie Rámcovej dohody o komplexnom partnerstve a spolupráci medzi Európskou úniou a jej členskými štátmi na jednej strane a Thajským kráľovstvom na strane druhej</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Návrh na uzavretie Rámcovej dohody o komplexnom partnerstve a spolupráci medzi Európskou úniou a jej členskými štátmi na jednej strane a Thajským kráľovstvom na strane druhej</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018969/2023-OPEU-17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&lt;p&gt;Aj napriek tomu, že vykonávanie predmetnej dohody nebude mať vplyvy na vybrané oblasti, dohoda môže mať nepriame pozitívne vplyvy na podnikateľské subjekty, ktoré však v tejto chvíli nie je možné popísať ani kvantifikovať. Pôjde o&amp;nbsp;dôsledok zintenzívnenia dialógu a&amp;nbsp;spolupráce v&amp;nbsp;oblasti obchodu a&amp;nbsp;investícií (čl. 9), riešenia technických prekážok obchodu (čl. 12), colnej spolupráce a&amp;nbsp;uľahčenia obchodu (čl. 13), rozvoja a podpory investícií (čl. 15), či zintenzívnenia podpory a ochrany hospodárskej súťaže (čl. 16), spolupráce v&amp;nbsp;oblasti služieb (čl. 17), ochrany práv duševného vlastníctva (čl. 18) a&amp;nbsp;digitálneho obchodu (čl. 19).&lt;/p&gt;</vt:lpwstr>
  </property>
  <property fmtid="{D5CDD505-2E9C-101B-9397-08002B2CF9AE}" pid="66" name="FSC#SKEDITIONSLOVLEX@103.510:AttrStrListDocPropAltRiesenia">
    <vt:lpwstr>Alternatívne riešenia neboli zvažované.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_x000d_
minister zahraničných vecí a európskych záležitostí </vt:lpwstr>
  </property>
  <property fmtid="{D5CDD505-2E9C-101B-9397-08002B2CF9AE}" pid="137" name="FSC#SKEDITIONSLOVLEX@103.510:AttrStrListDocPropUznesenieNaVedomie">
    <vt:lpwstr>prezidentka SR_x000d_
predseda Národnej rady SR</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záležitostí SR</vt:lpwstr>
  </property>
  <property fmtid="{D5CDD505-2E9C-101B-9397-08002B2CF9AE}" pid="142" name="FSC#SKEDITIONSLOVLEX@103.510:funkciaZodpPredAkuzativ">
    <vt:lpwstr>ministra zahraničných vecí a európskych záležitostí SR</vt:lpwstr>
  </property>
  <property fmtid="{D5CDD505-2E9C-101B-9397-08002B2CF9AE}" pid="143" name="FSC#SKEDITIONSLOVLEX@103.510:funkciaZodpPredDativ">
    <vt:lpwstr>ministrovi zahraničných vecí a európskych záležitostí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Miroslav Wlachovský_x000d_
minister zahraničných vecí a európskych záležitostí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 zahraničných vecí a európskych záležitostí Slovenskej republiky predkladá na rokovanie Legislatívnej rady vlády Slovenskej republiky&amp;nbsp;&lt;em&gt;Návrh na uzavretie Rámcovej dohody o&amp;nbsp;komplexnom partnerstve a spolupráci medzi Európskou úniou a jej členskými štátmi na jednej strane a&amp;nbsp;Thajským kráľovstvom na strane druhej&amp;nbsp;&lt;/em&gt;(ďalej len „dohoda“) ako iniciatívny materiál.&lt;/p&gt;&lt;p style="text-align: justify;"&gt;Cieľom dohody je posilniť spoluprácu medzi zmluvnými stranami v&amp;nbsp;širokom spektre politických oblastí, vrátane ľudských práv, nešírenia zbraní hromadného ničenia, boja proti terorizmu, boja proti korupcii a&amp;nbsp;organizovanej trestnej činnosti, obchodu migrácie, životného prostredia, energetiky, zmeny klímy, dopravy, vedy a&amp;nbsp;techniky, zamestnanosti a&amp;nbsp;sociálnych vecí, vzdelávania a&amp;nbsp;poľnohospodárstva.&amp;nbsp; Dohoda je ďalším krokom na ceste k intenzívnejšej politickej a hospodárskej prítomnosti EÚ v juhovýchodnej Ázii prostredníctvom spolupráce s&amp;nbsp;krajinami Združenia národov juhovýchodnej Ázie (ASEAN).&lt;/p&gt;&lt;p style="text-align: justify;"&gt;Za Slovenskú republiku bola dohoda s&amp;nbsp;výhradou ratifikácie podpísaná stálou predstaviteľkou Slovenskej republiky pri Európskej únii Petrou Vargovou na okraj zasadnutia Výboru stálych predstaviteľov (COREPER2) dňa 14. decembra 2022 v Bruseli. Za EÚ bola dohoda podpísaná rovnako dňa 14. decembra 2022 na okraj samitu EÚ-ASEAN v&amp;nbsp;Bruseli. &amp;nbsp;&lt;/p&gt;&lt;p style="text-align: justify;"&gt;Dohoda predstavuje tzv.&amp;nbsp;&lt;em&gt;zmiešanú úniovú zmluvu&lt;/em&gt;&amp;nbsp;t. j. medzinárodnú zmluvu, ktorá pokrýva oblasť spoločných právomocí EÚ a jej členských štátov, a ktorej zmluvnými stranami sú EÚ a&amp;nbsp;jej členské štáty na jednej strane a tretia krajina – v tomto prípade Thajské kráľovstvo - &amp;nbsp;na&amp;nbsp;strane druhej.&lt;/p&gt;&lt;p style="text-align: justify;"&gt;Z&amp;nbsp;hľadiska slovenského zmluvného práva je dohoda medzinárodnou zmluvou prezidentskej povahy. V&amp;nbsp;zmysle článku 7 ods. 4 Ústavy Slovenskej republiky je totiž dohoda medzinárodnou politickou zmluvou. Z&amp;nbsp;toho dôvodu je potrebné, aby s&amp;nbsp;ňou vyslovila súhlas Národná rada Slovenskej republiky. Súčasne je potrebné, aby Národná rada SR rozhodla podľa článku 86 písm. d) Ústavy SR o tom, že dohoda má prednosť pred zákonmi podľa článku 7 ods. 5 Ústavy SR. Z&amp;nbsp;kategórií vymedzených v&amp;nbsp;článku 7 ods. 5 Ústavy Slovenskej republiky ide o&amp;nbsp;medzinárodnú zmluvu, na vykonanie ktorej nie je potrebný zákon. V súlade s&amp;nbsp;&amp;nbsp;článkom 3 ods. 3 Pravidiel pre uzatváranie medzinárodných zmlúv a zmluvnú prax je dohoda predložená na rokovanie vlády SR až po jej podpise. Vnútroštátny schvaľovací proces bude ukončený ratifikáciou prezidentkou SR.&lt;/p&gt;&lt;p style="text-align: justify;"&gt;V&amp;nbsp;zmysle vlastného článku 59, dohoda nadobudne platnosť tridsať dní odo dňa, keď posledná zmluvná strana oznámila druhej zmluvnej strane ukončenie svojich príslušných vnútorných právnych postupov potrebných na tento účel. Dohoda platí počas obdobia piatich rokov. Automaticky sa predlžuje vždy o&amp;nbsp;ďalší rok, pokiaľ niektorá zo zmluvných strán šesť mesiacov pred koncom ktoréhokoľvek ďalšieho jednoročného obdobia písomne neoznámi druhej zmluvnej strane svoj úmysel platnosť tejto dohody nepredĺžiť.&lt;/p&gt;&lt;p style="text-align: justify;"&gt;Dohoda je v súlade so zahraničnopolitickými záujmami, medzinárodnoprávnymi záväzkami, ako aj s právnym poriadkom Slovenskej republiky. Vykonávanie dohody nebude mať vplyv na rozpočet verejnej správy, životné prostredie, podnikateľské prostredie, na informatizáciu spoločnosti a&amp;nbsp;nebude mať ani sociálny vplyv, rovnako tak ani vplyv na služby verejnej správy pre občana, či vplyvy na manželstvo, rodičovstvo a&amp;nbsp;rodinu.&lt;/p&gt;&lt;p&gt;&amp;nbsp;&lt;/p&gt;</vt:lpwstr>
  </property>
  <property fmtid="{D5CDD505-2E9C-101B-9397-08002B2CF9AE}" pid="150" name="FSC#SKEDITIONSLOVLEX@103.510:vytvorenedna">
    <vt:lpwstr>16. 11. 2023</vt:lpwstr>
  </property>
  <property fmtid="{D5CDD505-2E9C-101B-9397-08002B2CF9AE}" pid="151" name="FSC#COOSYSTEM@1.1:Container">
    <vt:lpwstr>COO.2145.1000.3.5932363</vt:lpwstr>
  </property>
  <property fmtid="{D5CDD505-2E9C-101B-9397-08002B2CF9AE}" pid="152" name="FSC#FSCFOLIO@1.1001:docpropproject">
    <vt:lpwstr/>
  </property>
</Properties>
</file>