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54048">
        <w:rPr>
          <w:sz w:val="22"/>
          <w:szCs w:val="22"/>
        </w:rPr>
        <w:t>99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47911">
      <w:pPr>
        <w:pStyle w:val="rozhodnutia"/>
      </w:pPr>
      <w:r>
        <w:t>15</w:t>
      </w:r>
      <w:r w:rsidR="00D73BD2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812804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C36BA4">
        <w:rPr>
          <w:rFonts w:cs="Arial"/>
          <w:szCs w:val="22"/>
        </w:rPr>
        <w:t>skupiny 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863CD9" w:rsidRPr="00863CD9">
        <w:rPr>
          <w:rFonts w:cs="Arial"/>
          <w:szCs w:val="22"/>
        </w:rPr>
        <w:t xml:space="preserve">na vydanie zákona, </w:t>
      </w:r>
      <w:r w:rsidR="00D73BD2" w:rsidRPr="00D73BD2">
        <w:rPr>
          <w:rFonts w:cs="Arial"/>
        </w:rPr>
        <w:t>ktorým sa mení zákon č. 300/2005 Z. z. Trestný zák</w:t>
      </w:r>
      <w:r w:rsidR="00D73BD2">
        <w:rPr>
          <w:rFonts w:cs="Arial"/>
        </w:rPr>
        <w:t xml:space="preserve">on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</w:t>
      </w:r>
      <w:r w:rsidR="00D73BD2">
        <w:rPr>
          <w:rFonts w:cs="Arial"/>
          <w:szCs w:val="22"/>
        </w:rPr>
        <w:t>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0F6B99">
        <w:rPr>
          <w:rFonts w:cs="Arial"/>
          <w:szCs w:val="22"/>
        </w:rPr>
        <w:br/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D73BD2" w:rsidRDefault="00370627" w:rsidP="00D73BD2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73BD2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73BD2" w:rsidRPr="0033038C">
        <w:rPr>
          <w:rFonts w:ascii="Arial" w:hAnsi="Arial" w:cs="Arial"/>
          <w:sz w:val="22"/>
          <w:szCs w:val="22"/>
        </w:rPr>
        <w:t>Ústavnoprávny výbor Národnej rady Slovenskej republiky,</w:t>
      </w:r>
      <w:r w:rsidR="00D73B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:rsidR="00D73BD2" w:rsidRPr="00E66789" w:rsidRDefault="00D73BD2" w:rsidP="00D73BD2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D73BD2" w:rsidP="00D73BD2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 gestorskom výbore  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2804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2547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2024-01-16T12:59:00Z</cp:lastPrinted>
  <dcterms:created xsi:type="dcterms:W3CDTF">2024-01-16T07:17:00Z</dcterms:created>
  <dcterms:modified xsi:type="dcterms:W3CDTF">2024-01-16T12:59:00Z</dcterms:modified>
</cp:coreProperties>
</file>