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FC" w:rsidRPr="006E60E4" w:rsidRDefault="00C515FC" w:rsidP="00C515F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6E60E4">
        <w:rPr>
          <w:b/>
          <w:bCs/>
        </w:rPr>
        <w:t>NÁRODNÁ RADA SLOVENSKEJ REPUBLIKY</w:t>
      </w:r>
    </w:p>
    <w:p w:rsidR="00C515FC" w:rsidRPr="006E60E4" w:rsidRDefault="0067482C" w:rsidP="00C515F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IX</w:t>
      </w:r>
      <w:r w:rsidR="00C515FC" w:rsidRPr="006E60E4">
        <w:rPr>
          <w:bCs/>
        </w:rPr>
        <w:t>. volebné obdobie</w:t>
      </w:r>
    </w:p>
    <w:p w:rsidR="00C515FC" w:rsidRPr="006E60E4" w:rsidRDefault="00C515FC" w:rsidP="00C515FC">
      <w:pPr>
        <w:widowControl w:val="0"/>
        <w:autoSpaceDE w:val="0"/>
        <w:autoSpaceDN w:val="0"/>
        <w:jc w:val="both"/>
      </w:pPr>
    </w:p>
    <w:p w:rsidR="00C515FC" w:rsidRDefault="0066239A" w:rsidP="00C515FC">
      <w:pPr>
        <w:widowControl w:val="0"/>
        <w:autoSpaceDE w:val="0"/>
        <w:autoSpaceDN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147</w:t>
      </w:r>
    </w:p>
    <w:p w:rsidR="00C515FC" w:rsidRPr="006E60E4" w:rsidRDefault="00C515FC" w:rsidP="00C515FC">
      <w:pPr>
        <w:widowControl w:val="0"/>
        <w:autoSpaceDE w:val="0"/>
        <w:autoSpaceDN w:val="0"/>
        <w:jc w:val="center"/>
      </w:pPr>
    </w:p>
    <w:p w:rsidR="00C515FC" w:rsidRPr="00185CC3" w:rsidRDefault="00335C2A" w:rsidP="00C515FC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VLÁDNY NÁVRH</w:t>
      </w:r>
    </w:p>
    <w:p w:rsidR="00C515FC" w:rsidRPr="00185CC3" w:rsidRDefault="00C515FC" w:rsidP="00C515FC">
      <w:pPr>
        <w:widowControl w:val="0"/>
        <w:autoSpaceDE w:val="0"/>
        <w:autoSpaceDN w:val="0"/>
        <w:jc w:val="center"/>
        <w:rPr>
          <w:b/>
          <w:bCs/>
        </w:rPr>
      </w:pPr>
    </w:p>
    <w:p w:rsidR="005D53D5" w:rsidRPr="0015698A" w:rsidRDefault="00354122" w:rsidP="005D53D5">
      <w:pPr>
        <w:jc w:val="center"/>
        <w:rPr>
          <w:b/>
        </w:rPr>
      </w:pPr>
      <w:r w:rsidRPr="0015698A">
        <w:rPr>
          <w:b/>
        </w:rPr>
        <w:t xml:space="preserve">na skrátené legislatívne konanie o vládnom návrhu zákona, ktorým </w:t>
      </w:r>
      <w:r w:rsidR="008376E6" w:rsidRPr="0015698A">
        <w:rPr>
          <w:b/>
        </w:rPr>
        <w:t>sa mení a dopĺňa zákon č. 50/1976 Zb. o územnom plánovaní a stavebnom poriadku (stavebný zákon) v znení neskorších predpisov a ktorým sa menia a dopĺňajú niektoré zákony</w:t>
      </w:r>
    </w:p>
    <w:p w:rsidR="005D53D5" w:rsidRPr="0015698A" w:rsidRDefault="005D53D5" w:rsidP="005D53D5">
      <w:pPr>
        <w:jc w:val="both"/>
      </w:pPr>
    </w:p>
    <w:p w:rsidR="00354122" w:rsidRPr="0015698A" w:rsidRDefault="00354122" w:rsidP="00354122">
      <w:pPr>
        <w:ind w:firstLine="426"/>
        <w:jc w:val="both"/>
      </w:pPr>
      <w:r w:rsidRPr="0015698A">
        <w:t xml:space="preserve">Vláda Slovenskej republiky predkladá návrh na skrátené legislatívne konanie o vládnom návrhu zákona, ktorým sa mení a dopĺňa zákon </w:t>
      </w:r>
      <w:r w:rsidR="008376E6" w:rsidRPr="0015698A">
        <w:t>č. 50/1976 Zb. o územnom plánovaní a stavebnom poriadku (stavebný zákon) v znení neskorších predpisov a ktorým sa menia a dopĺňajú niektoré zákony</w:t>
      </w:r>
      <w:r w:rsidRPr="0015698A">
        <w:t>.</w:t>
      </w:r>
    </w:p>
    <w:p w:rsidR="008376E6" w:rsidRPr="0015698A" w:rsidRDefault="008376E6" w:rsidP="008376E6">
      <w:pPr>
        <w:spacing w:before="120"/>
        <w:ind w:firstLine="425"/>
        <w:jc w:val="both"/>
      </w:pPr>
      <w:r w:rsidRPr="0015698A">
        <w:t>Zákonom č. 200/2022 Z.</w:t>
      </w:r>
      <w:r w:rsidR="0015698A" w:rsidRPr="0015698A">
        <w:t> </w:t>
      </w:r>
      <w:r w:rsidRPr="0015698A">
        <w:t>z. o územnom plánovaní v znení neskorších predpisov (ďalej len „zákon o územnom plánovaní“) a zákonom č. 201/2022 Z. z. o výstavbe v znení neskorších predpisov (ďalej len „zákon o výstavbe“) došlo k schváleniu reformy stavebnej legislatívy s tým, že bola vytvorená legisvakačná lehota na prípravu nadväzujúcic</w:t>
      </w:r>
      <w:bookmarkStart w:id="0" w:name="_GoBack"/>
      <w:bookmarkEnd w:id="0"/>
      <w:r w:rsidRPr="0015698A">
        <w:t xml:space="preserve">h právnych predpisov a organizačno-technických predpokladov pre jej uvedenie do života. Schválené nadobudnutie účinnosti zákona o výstavbe a nadväzujúcich právnych predpisov je od 1. apríla 2024. </w:t>
      </w:r>
    </w:p>
    <w:p w:rsidR="008376E6" w:rsidRPr="0015698A" w:rsidRDefault="008376E6" w:rsidP="008376E6">
      <w:pPr>
        <w:spacing w:before="120"/>
        <w:ind w:firstLine="425"/>
        <w:jc w:val="both"/>
      </w:pPr>
      <w:r w:rsidRPr="0015698A">
        <w:t xml:space="preserve">K tomuto termínu malo dôjsť k prenosu pôsobnosti všeobecných stavebných úradov prvého stupňa z obcí na Úrad pre územné plánovanie a výstavbu Slovenskej republiky (ďalej len „Úrad“). Súčasne malo prísť k prevzatiu pôsobnosti špeciálnych stavebných úradov v oblasti dopravy ako aj pôsobnosti okresných úradov v sídle kraja v oblasti územného plánovania, vyvlastňovania a stavebného poriadku Úradom. Zároveň schválené zákony predpokladali vytvorenie informačného systému územného plánovania a výstavby. V oblasti povoľovacích procesov sa od 1. apríla 2024 mali aplikovať nové postupy územného plánovania a nové povoľovacie procesy a inštitúty v oblasti výstavby novo definovanými vecne príslušnými orgánmi. Právna úprava počítala aj s vydaním celého radu vykonávacích právnych predpisov, ktoré podstatným spôsobom dotvárajú právny režim nových procesov v oblasti územného plánovania a výstavby. </w:t>
      </w:r>
    </w:p>
    <w:p w:rsidR="008376E6" w:rsidRPr="0015698A" w:rsidRDefault="008376E6" w:rsidP="008376E6">
      <w:pPr>
        <w:tabs>
          <w:tab w:val="num" w:pos="2160"/>
        </w:tabs>
        <w:spacing w:before="120"/>
        <w:ind w:firstLine="567"/>
        <w:jc w:val="both"/>
        <w:rPr>
          <w:rFonts w:eastAsiaTheme="minorHAnsi"/>
        </w:rPr>
      </w:pPr>
      <w:r w:rsidRPr="0015698A">
        <w:t xml:space="preserve">Vzhľadom na súčasný stav nepripravenosti podmienok na aplikáciu zákona o výstavbe po stránke </w:t>
      </w:r>
      <w:r w:rsidRPr="0015698A">
        <w:rPr>
          <w:bCs/>
        </w:rPr>
        <w:t xml:space="preserve">technickej, organizačnej a legislatívnej </w:t>
      </w:r>
      <w:r w:rsidRPr="0015698A">
        <w:rPr>
          <w:rFonts w:eastAsiaTheme="minorHAnsi"/>
        </w:rPr>
        <w:t>je naliehavá potreba oddialiť nadchádzajúcu účinnosť novej právnej úpravy v oblasti výstavby</w:t>
      </w:r>
      <w:r w:rsidRPr="0015698A">
        <w:rPr>
          <w:bCs/>
        </w:rPr>
        <w:t xml:space="preserve"> a vykonať úpravy ďalších nadväzujúcich právnych predpisov o jeden rok, t. j. do 01. apríla 2025.</w:t>
      </w:r>
      <w:r w:rsidRPr="0015698A">
        <w:rPr>
          <w:rFonts w:eastAsiaTheme="minorHAnsi"/>
        </w:rPr>
        <w:t xml:space="preserve"> </w:t>
      </w:r>
    </w:p>
    <w:p w:rsidR="008376E6" w:rsidRPr="0015698A" w:rsidRDefault="008376E6" w:rsidP="008376E6">
      <w:pPr>
        <w:spacing w:before="120"/>
        <w:ind w:firstLine="567"/>
        <w:jc w:val="both"/>
      </w:pPr>
      <w:r w:rsidRPr="0015698A">
        <w:t xml:space="preserve">Hlavnými nedostatkami sú: </w:t>
      </w:r>
    </w:p>
    <w:p w:rsidR="008376E6" w:rsidRPr="0015698A" w:rsidRDefault="008376E6" w:rsidP="008376E6">
      <w:pPr>
        <w:pStyle w:val="Odsekzoznamu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5698A">
        <w:rPr>
          <w:rFonts w:ascii="Times New Roman" w:hAnsi="Times New Roman"/>
          <w:sz w:val="24"/>
          <w:szCs w:val="24"/>
        </w:rPr>
        <w:t>nepripravenosť integrácie povoľovacích procesov stavieb, ktoré podliehajú procesu posudzovania vplyvov na životné prostredie,</w:t>
      </w:r>
    </w:p>
    <w:p w:rsidR="008376E6" w:rsidRPr="0015698A" w:rsidRDefault="008376E6" w:rsidP="008376E6">
      <w:pPr>
        <w:pStyle w:val="Odsekzoznamu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5698A">
        <w:rPr>
          <w:rFonts w:ascii="Times New Roman" w:hAnsi="Times New Roman"/>
          <w:sz w:val="24"/>
          <w:szCs w:val="24"/>
        </w:rPr>
        <w:t>časový sklz pri príprave vykonávacích právnych predpisov,</w:t>
      </w:r>
    </w:p>
    <w:p w:rsidR="008376E6" w:rsidRPr="0015698A" w:rsidRDefault="008376E6" w:rsidP="008376E6">
      <w:pPr>
        <w:pStyle w:val="Odsekzoznamu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5698A">
        <w:rPr>
          <w:rFonts w:ascii="Times New Roman" w:hAnsi="Times New Roman"/>
          <w:sz w:val="24"/>
          <w:szCs w:val="24"/>
        </w:rPr>
        <w:t xml:space="preserve">nutnosť opravy vád a chýbajúcich častí právnej úpravy nadväzujúcej na zákon o výstavbe, </w:t>
      </w:r>
    </w:p>
    <w:p w:rsidR="008376E6" w:rsidRPr="0015698A" w:rsidRDefault="008376E6" w:rsidP="008376E6">
      <w:pPr>
        <w:pStyle w:val="Odsekzoznamu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5698A">
        <w:rPr>
          <w:rFonts w:ascii="Times New Roman" w:hAnsi="Times New Roman"/>
          <w:sz w:val="24"/>
          <w:szCs w:val="24"/>
        </w:rPr>
        <w:t>časový sklz prípravy formulárov a digitalizácie konaní vo výstavbe a technického vybavenia,</w:t>
      </w:r>
    </w:p>
    <w:p w:rsidR="008376E6" w:rsidRPr="0015698A" w:rsidRDefault="008376E6" w:rsidP="008376E6">
      <w:pPr>
        <w:pStyle w:val="Odsekzoznamu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5698A">
        <w:rPr>
          <w:rFonts w:ascii="Times New Roman" w:hAnsi="Times New Roman"/>
          <w:sz w:val="24"/>
          <w:szCs w:val="24"/>
        </w:rPr>
        <w:t xml:space="preserve">nedostatočné personálne obsadenie Úradu vyškolenými odbornými zamestnancami pre realizáciu preberaného rozsahu povoľovacích konaní.  </w:t>
      </w:r>
    </w:p>
    <w:p w:rsidR="008376E6" w:rsidRDefault="008376E6" w:rsidP="008376E6">
      <w:pPr>
        <w:spacing w:before="120"/>
        <w:ind w:firstLine="567"/>
        <w:jc w:val="both"/>
        <w:rPr>
          <w:rFonts w:eastAsiaTheme="minorHAnsi"/>
        </w:rPr>
      </w:pPr>
      <w:r>
        <w:rPr>
          <w:rFonts w:eastAsiaTheme="minorHAnsi"/>
        </w:rPr>
        <w:lastRenderedPageBreak/>
        <w:t>S cieľom eliminovať popísané negatívne dopady bol spracovaný vládny návrh zákona, ktorým sa mení a dopĺňa zákon č. 50/1976 Zb. o územnom plánovaní a stavebnom poriadku (stavebný zákon) v znení neskorších predpisov a ktorým sa menia a dopĺňajú niektoré zákony (ďalej len „návrh zákona“).</w:t>
      </w:r>
    </w:p>
    <w:p w:rsidR="008376E6" w:rsidRPr="006051B4" w:rsidRDefault="008376E6" w:rsidP="008376E6">
      <w:pPr>
        <w:spacing w:before="120"/>
        <w:ind w:firstLine="567"/>
        <w:jc w:val="both"/>
        <w:rPr>
          <w:rFonts w:eastAsiaTheme="minorHAnsi"/>
        </w:rPr>
      </w:pPr>
      <w:r w:rsidRPr="006051B4">
        <w:rPr>
          <w:rFonts w:eastAsiaTheme="minorHAnsi"/>
        </w:rPr>
        <w:t>Návrh zákona súčasne obsahuje ustanovenia, ktoré smerujú k skráteniu doby prípravy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stavieb, najmä doby administratívneho posudzovania vo fáze povoľovania stavieb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v</w:t>
      </w:r>
      <w:r>
        <w:rPr>
          <w:rFonts w:eastAsiaTheme="minorHAnsi"/>
        </w:rPr>
        <w:t> </w:t>
      </w:r>
      <w:r w:rsidRPr="006051B4">
        <w:rPr>
          <w:rFonts w:eastAsiaTheme="minorHAnsi"/>
        </w:rPr>
        <w:t>prechodnom období.</w:t>
      </w:r>
    </w:p>
    <w:p w:rsidR="008376E6" w:rsidRPr="006051B4" w:rsidRDefault="008376E6" w:rsidP="008376E6">
      <w:pPr>
        <w:spacing w:before="120"/>
        <w:ind w:firstLine="567"/>
        <w:jc w:val="both"/>
        <w:rPr>
          <w:rFonts w:eastAsiaTheme="minorHAnsi"/>
        </w:rPr>
      </w:pPr>
      <w:r w:rsidRPr="006051B4">
        <w:rPr>
          <w:rFonts w:eastAsiaTheme="minorHAnsi"/>
        </w:rPr>
        <w:t>Aktuálna nepripravenosť podmienok na aplikáciu zákona o výstavbe by po nadobudnutí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jeho účinnosti znemožnila realizovať povoľovacie procesy stavieb vyžadujúcich posúdenie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vplyvov na životné prostredie (ktoré sa malo podľa novej úpravy realizovať integrovaným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konaním), čo sú takmer všetky významnejšie verejné ale aj súkromné investície. Predstavovala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by tiež priame ohrozenie pripravenosti na čerpanie investícií z fondov EÚ, najmä z</w:t>
      </w:r>
      <w:r>
        <w:rPr>
          <w:rFonts w:eastAsiaTheme="minorHAnsi"/>
        </w:rPr>
        <w:t> </w:t>
      </w:r>
      <w:r w:rsidRPr="006051B4">
        <w:rPr>
          <w:rFonts w:eastAsiaTheme="minorHAnsi"/>
        </w:rPr>
        <w:t>Plánu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obnovy a odolnosti a vážnym spôsobom by zasiahla aj do možnosti povoľovať stavby bežných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stavebníkov. Zastavenie procesu prípravy stavieb by spôsobila investorom vážne ekonomické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škody a sekundárne by znamenala aj výrazný pokles stavebných zákaziek, a tým aj zníženie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výkonnosti už aj tak zákazkami nedostatočne saturovaného stavebného trhu, vrátane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negatívneho dopadu na výnosovú časť verejných rozpočtov.</w:t>
      </w:r>
    </w:p>
    <w:p w:rsidR="008376E6" w:rsidRDefault="008376E6" w:rsidP="008376E6">
      <w:pPr>
        <w:spacing w:before="120"/>
        <w:ind w:firstLine="567"/>
        <w:jc w:val="both"/>
        <w:rPr>
          <w:rFonts w:eastAsiaTheme="minorHAnsi"/>
        </w:rPr>
      </w:pPr>
      <w:r w:rsidRPr="006051B4">
        <w:rPr>
          <w:rFonts w:eastAsiaTheme="minorHAnsi"/>
        </w:rPr>
        <w:t>Absencia právnej úpravy v oblasti správnych poplatkov v súvislosti so zákonom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o</w:t>
      </w:r>
      <w:r>
        <w:rPr>
          <w:rFonts w:eastAsiaTheme="minorHAnsi"/>
        </w:rPr>
        <w:t> </w:t>
      </w:r>
      <w:r w:rsidRPr="006051B4">
        <w:rPr>
          <w:rFonts w:eastAsiaTheme="minorHAnsi"/>
        </w:rPr>
        <w:t>výstavbe by mala za následok výpadok príjmov štátneho rozpočtu, keďže za tieto úkony by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nebolo možné vyberať žiadne správne poplatky.</w:t>
      </w:r>
      <w:r>
        <w:rPr>
          <w:rFonts w:eastAsiaTheme="minorHAnsi"/>
        </w:rPr>
        <w:t xml:space="preserve"> </w:t>
      </w:r>
    </w:p>
    <w:p w:rsidR="008376E6" w:rsidRPr="006051B4" w:rsidRDefault="008376E6" w:rsidP="008376E6">
      <w:pPr>
        <w:spacing w:before="120"/>
        <w:ind w:firstLine="567"/>
        <w:jc w:val="both"/>
        <w:rPr>
          <w:rFonts w:eastAsiaTheme="minorHAnsi"/>
        </w:rPr>
      </w:pPr>
      <w:r w:rsidRPr="006051B4">
        <w:rPr>
          <w:rFonts w:eastAsiaTheme="minorHAnsi"/>
        </w:rPr>
        <w:t>Vzhľadom na uvedené konštatujeme, že navrhované skrátené legislatívne konanie je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odôvodnené prítomnosťou mimoriadnych okolností, pri ktorých štátu hrozia značné hospodárske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škody.</w:t>
      </w:r>
    </w:p>
    <w:p w:rsidR="008376E6" w:rsidRDefault="008376E6" w:rsidP="008376E6">
      <w:pPr>
        <w:spacing w:before="120"/>
        <w:ind w:firstLine="567"/>
        <w:jc w:val="both"/>
      </w:pPr>
      <w:r w:rsidRPr="006051B4">
        <w:rPr>
          <w:rFonts w:eastAsiaTheme="minorHAnsi"/>
        </w:rPr>
        <w:t>Na základe uvedených skutočností je potrebné podľa § 89 ods. 1 zákona Národnej rady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Slovenskej republiky č. 350/1996 Z. z. o rokovacom poriadku Národnej rady Slovenskej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republiky navrhnúť Národnej rade Slovenskej republiky, aby sa uzniesla na skrátenom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legislatívnom konaní o vládnom návrhu zákona, ktorým sa mení a dopĺňa zákon č. 50/1976 Zb.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o územnom plánovaní a stavebnom poriadku (stavebný zákon) v znení neskorších predpisov</w:t>
      </w:r>
      <w:r>
        <w:rPr>
          <w:rFonts w:eastAsiaTheme="minorHAnsi"/>
        </w:rPr>
        <w:t xml:space="preserve"> </w:t>
      </w:r>
      <w:r w:rsidRPr="006051B4">
        <w:rPr>
          <w:rFonts w:eastAsiaTheme="minorHAnsi"/>
        </w:rPr>
        <w:t>a</w:t>
      </w:r>
      <w:r>
        <w:rPr>
          <w:rFonts w:eastAsiaTheme="minorHAnsi"/>
        </w:rPr>
        <w:t> </w:t>
      </w:r>
      <w:r w:rsidRPr="006051B4">
        <w:rPr>
          <w:rFonts w:eastAsiaTheme="minorHAnsi"/>
        </w:rPr>
        <w:t>ktorým sa menia a dopĺňajú niektoré zákony.</w:t>
      </w:r>
    </w:p>
    <w:p w:rsidR="008376E6" w:rsidRDefault="008376E6" w:rsidP="00354122">
      <w:pPr>
        <w:ind w:firstLine="426"/>
        <w:jc w:val="both"/>
      </w:pPr>
    </w:p>
    <w:p w:rsidR="00C515FC" w:rsidRPr="006E60E4" w:rsidRDefault="00C515FC" w:rsidP="00C515FC">
      <w:pPr>
        <w:widowControl w:val="0"/>
        <w:autoSpaceDE w:val="0"/>
        <w:autoSpaceDN w:val="0"/>
        <w:jc w:val="both"/>
      </w:pPr>
      <w:r w:rsidRPr="003826EC">
        <w:t xml:space="preserve">V Bratislave </w:t>
      </w:r>
      <w:r w:rsidR="00DE5D3F">
        <w:t>10</w:t>
      </w:r>
      <w:r w:rsidRPr="003826EC">
        <w:t xml:space="preserve">. </w:t>
      </w:r>
      <w:r w:rsidR="008376E6" w:rsidRPr="003826EC">
        <w:t>januára</w:t>
      </w:r>
      <w:r w:rsidRPr="003826EC">
        <w:t xml:space="preserve"> 202</w:t>
      </w:r>
      <w:r w:rsidR="008376E6" w:rsidRPr="003826EC">
        <w:t>4</w:t>
      </w:r>
    </w:p>
    <w:p w:rsidR="00C515FC" w:rsidRDefault="00C515FC" w:rsidP="00C515FC">
      <w:pPr>
        <w:widowControl w:val="0"/>
        <w:autoSpaceDE w:val="0"/>
        <w:autoSpaceDN w:val="0"/>
        <w:jc w:val="both"/>
      </w:pPr>
    </w:p>
    <w:p w:rsidR="00C515FC" w:rsidRDefault="00C515FC" w:rsidP="00C515FC">
      <w:pPr>
        <w:widowControl w:val="0"/>
        <w:autoSpaceDE w:val="0"/>
        <w:autoSpaceDN w:val="0"/>
        <w:jc w:val="both"/>
      </w:pPr>
    </w:p>
    <w:p w:rsidR="00C515FC" w:rsidRDefault="00C515FC" w:rsidP="00C515FC">
      <w:pPr>
        <w:widowControl w:val="0"/>
        <w:autoSpaceDE w:val="0"/>
        <w:autoSpaceDN w:val="0"/>
        <w:jc w:val="both"/>
      </w:pPr>
    </w:p>
    <w:p w:rsidR="00C515FC" w:rsidRPr="006E60E4" w:rsidRDefault="00C515FC" w:rsidP="00C515FC">
      <w:pPr>
        <w:widowControl w:val="0"/>
        <w:autoSpaceDE w:val="0"/>
        <w:autoSpaceDN w:val="0"/>
        <w:jc w:val="both"/>
      </w:pPr>
    </w:p>
    <w:p w:rsidR="00C515FC" w:rsidRPr="006E60E4" w:rsidRDefault="00C515FC" w:rsidP="00C515FC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Robert Fico</w:t>
      </w:r>
      <w:r w:rsidR="00E769DF">
        <w:rPr>
          <w:b/>
        </w:rPr>
        <w:t>, v. r.</w:t>
      </w:r>
    </w:p>
    <w:p w:rsidR="003826EC" w:rsidRDefault="003826EC" w:rsidP="00C515FC">
      <w:pPr>
        <w:widowControl w:val="0"/>
        <w:autoSpaceDE w:val="0"/>
        <w:autoSpaceDN w:val="0"/>
        <w:jc w:val="center"/>
      </w:pPr>
    </w:p>
    <w:p w:rsidR="003826EC" w:rsidRDefault="00C515FC" w:rsidP="00C515FC">
      <w:pPr>
        <w:widowControl w:val="0"/>
        <w:autoSpaceDE w:val="0"/>
        <w:autoSpaceDN w:val="0"/>
        <w:jc w:val="center"/>
      </w:pPr>
      <w:r w:rsidRPr="006E60E4">
        <w:t xml:space="preserve">predseda vlády </w:t>
      </w:r>
    </w:p>
    <w:p w:rsidR="00C515FC" w:rsidRPr="006E60E4" w:rsidRDefault="00C515FC" w:rsidP="00C515FC">
      <w:pPr>
        <w:widowControl w:val="0"/>
        <w:autoSpaceDE w:val="0"/>
        <w:autoSpaceDN w:val="0"/>
        <w:jc w:val="center"/>
      </w:pPr>
      <w:r w:rsidRPr="006E60E4">
        <w:t>Slovenskej republiky</w:t>
      </w:r>
    </w:p>
    <w:p w:rsidR="00C515FC" w:rsidRDefault="00C515FC" w:rsidP="00C515FC">
      <w:pPr>
        <w:jc w:val="both"/>
      </w:pPr>
    </w:p>
    <w:p w:rsidR="003826EC" w:rsidRDefault="003826EC" w:rsidP="003826EC">
      <w:pPr>
        <w:jc w:val="both"/>
        <w:rPr>
          <w:rFonts w:eastAsiaTheme="majorEastAsia"/>
          <w:color w:val="000000" w:themeColor="text1"/>
        </w:rPr>
      </w:pPr>
    </w:p>
    <w:p w:rsidR="003826EC" w:rsidRDefault="003826EC" w:rsidP="003826EC">
      <w:pPr>
        <w:jc w:val="both"/>
        <w:rPr>
          <w:rFonts w:eastAsiaTheme="majorEastAsia"/>
          <w:color w:val="000000" w:themeColor="text1"/>
        </w:rPr>
      </w:pPr>
    </w:p>
    <w:p w:rsidR="003826EC" w:rsidRDefault="003826EC" w:rsidP="003826EC">
      <w:pPr>
        <w:jc w:val="both"/>
      </w:pPr>
    </w:p>
    <w:p w:rsidR="003826EC" w:rsidRDefault="003826EC" w:rsidP="003826EC">
      <w:pPr>
        <w:jc w:val="both"/>
      </w:pPr>
    </w:p>
    <w:p w:rsidR="003826EC" w:rsidRDefault="0016198A" w:rsidP="003826EC">
      <w:pPr>
        <w:spacing w:after="240"/>
        <w:jc w:val="center"/>
        <w:rPr>
          <w:b/>
        </w:rPr>
      </w:pPr>
      <w:r>
        <w:rPr>
          <w:b/>
        </w:rPr>
        <w:t>Jozef Ráž</w:t>
      </w:r>
      <w:r w:rsidR="00E769DF">
        <w:rPr>
          <w:b/>
        </w:rPr>
        <w:t>, v. r.</w:t>
      </w:r>
    </w:p>
    <w:p w:rsidR="003826EC" w:rsidRDefault="003826EC" w:rsidP="003826EC">
      <w:pPr>
        <w:jc w:val="center"/>
        <w:rPr>
          <w:szCs w:val="20"/>
        </w:rPr>
      </w:pPr>
      <w:r>
        <w:rPr>
          <w:szCs w:val="20"/>
        </w:rPr>
        <w:t xml:space="preserve">minister dopravy </w:t>
      </w:r>
    </w:p>
    <w:p w:rsidR="003826EC" w:rsidRDefault="003826EC" w:rsidP="003826EC">
      <w:pPr>
        <w:jc w:val="center"/>
      </w:pPr>
      <w:r>
        <w:rPr>
          <w:szCs w:val="20"/>
        </w:rPr>
        <w:t>Slovenskej republiky</w:t>
      </w:r>
    </w:p>
    <w:sectPr w:rsidR="003826EC" w:rsidSect="00481CEB">
      <w:footerReference w:type="even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C4E" w:rsidRDefault="00172C4E">
      <w:r>
        <w:separator/>
      </w:r>
    </w:p>
  </w:endnote>
  <w:endnote w:type="continuationSeparator" w:id="0">
    <w:p w:rsidR="00172C4E" w:rsidRDefault="0017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Franklin Gothic Medium Cond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EF" w:rsidRDefault="00504AEF" w:rsidP="00B142B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04AEF" w:rsidRDefault="00504A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C4E" w:rsidRDefault="00172C4E">
      <w:r>
        <w:separator/>
      </w:r>
    </w:p>
  </w:footnote>
  <w:footnote w:type="continuationSeparator" w:id="0">
    <w:p w:rsidR="00172C4E" w:rsidRDefault="00172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20CE8"/>
    <w:multiLevelType w:val="hybridMultilevel"/>
    <w:tmpl w:val="BB54FC1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B25F61"/>
    <w:multiLevelType w:val="hybridMultilevel"/>
    <w:tmpl w:val="C7D2625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E3"/>
    <w:rsid w:val="000068D8"/>
    <w:rsid w:val="000803BC"/>
    <w:rsid w:val="00085CE1"/>
    <w:rsid w:val="000A5A24"/>
    <w:rsid w:val="000B6BA3"/>
    <w:rsid w:val="000D3E90"/>
    <w:rsid w:val="000D60A6"/>
    <w:rsid w:val="000F10F3"/>
    <w:rsid w:val="000F1579"/>
    <w:rsid w:val="00122A97"/>
    <w:rsid w:val="00131A48"/>
    <w:rsid w:val="00134426"/>
    <w:rsid w:val="00150EAA"/>
    <w:rsid w:val="0015698A"/>
    <w:rsid w:val="001605ED"/>
    <w:rsid w:val="0016198A"/>
    <w:rsid w:val="001666D1"/>
    <w:rsid w:val="00171457"/>
    <w:rsid w:val="00172C4E"/>
    <w:rsid w:val="00184487"/>
    <w:rsid w:val="0018576C"/>
    <w:rsid w:val="001A0F3E"/>
    <w:rsid w:val="001A7616"/>
    <w:rsid w:val="001B16A7"/>
    <w:rsid w:val="001C5B1D"/>
    <w:rsid w:val="001E0FA2"/>
    <w:rsid w:val="001F636D"/>
    <w:rsid w:val="001F6523"/>
    <w:rsid w:val="002128F3"/>
    <w:rsid w:val="00235953"/>
    <w:rsid w:val="0023731A"/>
    <w:rsid w:val="0024321F"/>
    <w:rsid w:val="002461FE"/>
    <w:rsid w:val="00255305"/>
    <w:rsid w:val="00262A54"/>
    <w:rsid w:val="00270C4E"/>
    <w:rsid w:val="0028572F"/>
    <w:rsid w:val="00286BF7"/>
    <w:rsid w:val="002A2981"/>
    <w:rsid w:val="002F50BD"/>
    <w:rsid w:val="00302888"/>
    <w:rsid w:val="00310726"/>
    <w:rsid w:val="00310B1A"/>
    <w:rsid w:val="00315ACC"/>
    <w:rsid w:val="0032669D"/>
    <w:rsid w:val="00335C2A"/>
    <w:rsid w:val="003433D6"/>
    <w:rsid w:val="003519FF"/>
    <w:rsid w:val="00353884"/>
    <w:rsid w:val="00354122"/>
    <w:rsid w:val="00360D46"/>
    <w:rsid w:val="00361FD2"/>
    <w:rsid w:val="00363844"/>
    <w:rsid w:val="00364806"/>
    <w:rsid w:val="00364ACA"/>
    <w:rsid w:val="0038248B"/>
    <w:rsid w:val="003826EC"/>
    <w:rsid w:val="003B308B"/>
    <w:rsid w:val="003B5154"/>
    <w:rsid w:val="003D2410"/>
    <w:rsid w:val="003E4A6F"/>
    <w:rsid w:val="003E6DD5"/>
    <w:rsid w:val="00402745"/>
    <w:rsid w:val="00404489"/>
    <w:rsid w:val="00414D80"/>
    <w:rsid w:val="00443B00"/>
    <w:rsid w:val="004466C4"/>
    <w:rsid w:val="00455323"/>
    <w:rsid w:val="00467A59"/>
    <w:rsid w:val="00481CEB"/>
    <w:rsid w:val="00491DE9"/>
    <w:rsid w:val="004A0796"/>
    <w:rsid w:val="004D3305"/>
    <w:rsid w:val="00504AEF"/>
    <w:rsid w:val="005222DE"/>
    <w:rsid w:val="00530E76"/>
    <w:rsid w:val="00550876"/>
    <w:rsid w:val="0055417F"/>
    <w:rsid w:val="005616E8"/>
    <w:rsid w:val="0056593A"/>
    <w:rsid w:val="00571B4D"/>
    <w:rsid w:val="005877D9"/>
    <w:rsid w:val="005927D0"/>
    <w:rsid w:val="005B3EB0"/>
    <w:rsid w:val="005B4A05"/>
    <w:rsid w:val="005B6F23"/>
    <w:rsid w:val="005C41CB"/>
    <w:rsid w:val="005D21FF"/>
    <w:rsid w:val="005D53D5"/>
    <w:rsid w:val="005E1FC7"/>
    <w:rsid w:val="005E48F6"/>
    <w:rsid w:val="00610CA0"/>
    <w:rsid w:val="00624678"/>
    <w:rsid w:val="00631787"/>
    <w:rsid w:val="006463B5"/>
    <w:rsid w:val="0066239A"/>
    <w:rsid w:val="00666B9B"/>
    <w:rsid w:val="00671924"/>
    <w:rsid w:val="0067482C"/>
    <w:rsid w:val="00686A65"/>
    <w:rsid w:val="006925FC"/>
    <w:rsid w:val="0069723E"/>
    <w:rsid w:val="006B2438"/>
    <w:rsid w:val="006B622E"/>
    <w:rsid w:val="006C77C5"/>
    <w:rsid w:val="006E1A76"/>
    <w:rsid w:val="006F60E3"/>
    <w:rsid w:val="007142AE"/>
    <w:rsid w:val="00725B17"/>
    <w:rsid w:val="00735CCC"/>
    <w:rsid w:val="00783C83"/>
    <w:rsid w:val="00786FFF"/>
    <w:rsid w:val="00787A7B"/>
    <w:rsid w:val="007C1DE6"/>
    <w:rsid w:val="007E5727"/>
    <w:rsid w:val="007F2237"/>
    <w:rsid w:val="007F58F0"/>
    <w:rsid w:val="00806122"/>
    <w:rsid w:val="008314A7"/>
    <w:rsid w:val="008376E6"/>
    <w:rsid w:val="0086217F"/>
    <w:rsid w:val="008650C7"/>
    <w:rsid w:val="008860F4"/>
    <w:rsid w:val="00887EA9"/>
    <w:rsid w:val="00891F86"/>
    <w:rsid w:val="008C5286"/>
    <w:rsid w:val="008D4352"/>
    <w:rsid w:val="00902077"/>
    <w:rsid w:val="009101D5"/>
    <w:rsid w:val="0091045B"/>
    <w:rsid w:val="00923BD3"/>
    <w:rsid w:val="00931C34"/>
    <w:rsid w:val="00931F37"/>
    <w:rsid w:val="009469D0"/>
    <w:rsid w:val="00964B37"/>
    <w:rsid w:val="009A0EA3"/>
    <w:rsid w:val="009B260A"/>
    <w:rsid w:val="009B3F72"/>
    <w:rsid w:val="009C6AB0"/>
    <w:rsid w:val="009C74D9"/>
    <w:rsid w:val="009E18F8"/>
    <w:rsid w:val="009E308D"/>
    <w:rsid w:val="009E4A44"/>
    <w:rsid w:val="00A20A6B"/>
    <w:rsid w:val="00A23A41"/>
    <w:rsid w:val="00A33FE1"/>
    <w:rsid w:val="00A452A7"/>
    <w:rsid w:val="00A57768"/>
    <w:rsid w:val="00A739FF"/>
    <w:rsid w:val="00AA0292"/>
    <w:rsid w:val="00AC1AED"/>
    <w:rsid w:val="00AD50E7"/>
    <w:rsid w:val="00AE1022"/>
    <w:rsid w:val="00AE2C73"/>
    <w:rsid w:val="00AE3A70"/>
    <w:rsid w:val="00AE65C6"/>
    <w:rsid w:val="00AF244D"/>
    <w:rsid w:val="00B142B1"/>
    <w:rsid w:val="00B2023F"/>
    <w:rsid w:val="00B409AA"/>
    <w:rsid w:val="00B416BC"/>
    <w:rsid w:val="00B62094"/>
    <w:rsid w:val="00B702E4"/>
    <w:rsid w:val="00B802EF"/>
    <w:rsid w:val="00B81273"/>
    <w:rsid w:val="00B84295"/>
    <w:rsid w:val="00B84963"/>
    <w:rsid w:val="00BA333C"/>
    <w:rsid w:val="00BA5DB4"/>
    <w:rsid w:val="00BA7FDB"/>
    <w:rsid w:val="00BB3553"/>
    <w:rsid w:val="00BB70A7"/>
    <w:rsid w:val="00BD46F2"/>
    <w:rsid w:val="00BE03D2"/>
    <w:rsid w:val="00BE3C55"/>
    <w:rsid w:val="00BF3629"/>
    <w:rsid w:val="00C009B0"/>
    <w:rsid w:val="00C0430B"/>
    <w:rsid w:val="00C16B52"/>
    <w:rsid w:val="00C47CE3"/>
    <w:rsid w:val="00C515FC"/>
    <w:rsid w:val="00C52703"/>
    <w:rsid w:val="00C54F33"/>
    <w:rsid w:val="00C56BE1"/>
    <w:rsid w:val="00C63309"/>
    <w:rsid w:val="00C65A2D"/>
    <w:rsid w:val="00C727A1"/>
    <w:rsid w:val="00C904A1"/>
    <w:rsid w:val="00CC532F"/>
    <w:rsid w:val="00D04737"/>
    <w:rsid w:val="00D06FCE"/>
    <w:rsid w:val="00D47ADA"/>
    <w:rsid w:val="00D5089F"/>
    <w:rsid w:val="00D62FA5"/>
    <w:rsid w:val="00D7466D"/>
    <w:rsid w:val="00D7612A"/>
    <w:rsid w:val="00D90DB8"/>
    <w:rsid w:val="00DB1E40"/>
    <w:rsid w:val="00DC26E6"/>
    <w:rsid w:val="00DD2D9B"/>
    <w:rsid w:val="00DD3D34"/>
    <w:rsid w:val="00DD4E32"/>
    <w:rsid w:val="00DE4DE3"/>
    <w:rsid w:val="00DE5D3F"/>
    <w:rsid w:val="00DF4909"/>
    <w:rsid w:val="00DF4DB4"/>
    <w:rsid w:val="00E00238"/>
    <w:rsid w:val="00E02441"/>
    <w:rsid w:val="00E24ECB"/>
    <w:rsid w:val="00E54D59"/>
    <w:rsid w:val="00E769DF"/>
    <w:rsid w:val="00E82A00"/>
    <w:rsid w:val="00E8461A"/>
    <w:rsid w:val="00E87D54"/>
    <w:rsid w:val="00E918B7"/>
    <w:rsid w:val="00E95DDF"/>
    <w:rsid w:val="00EC10BB"/>
    <w:rsid w:val="00EC30F9"/>
    <w:rsid w:val="00ED133D"/>
    <w:rsid w:val="00ED6C55"/>
    <w:rsid w:val="00EE0CB9"/>
    <w:rsid w:val="00EE7866"/>
    <w:rsid w:val="00EF101F"/>
    <w:rsid w:val="00F0446A"/>
    <w:rsid w:val="00F1696D"/>
    <w:rsid w:val="00F25CDB"/>
    <w:rsid w:val="00F27AC9"/>
    <w:rsid w:val="00F532BA"/>
    <w:rsid w:val="00F60DA1"/>
    <w:rsid w:val="00F838FB"/>
    <w:rsid w:val="00F83F17"/>
    <w:rsid w:val="00F97C71"/>
    <w:rsid w:val="00FA7A2C"/>
    <w:rsid w:val="00FC5415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92CB4"/>
  <w14:defaultImageDpi w14:val="0"/>
  <w15:docId w15:val="{90065AD7-5BE7-4915-A0C9-56139396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CharChar">
    <w:name w:val="Char Char Char"/>
    <w:basedOn w:val="Normlny"/>
    <w:uiPriority w:val="99"/>
    <w:rsid w:val="001C5B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">
    <w:name w:val="Styl"/>
    <w:basedOn w:val="Normlny"/>
    <w:uiPriority w:val="99"/>
    <w:rsid w:val="0038248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364806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481CEB"/>
    <w:rPr>
      <w:rFonts w:cs="Times New Roman"/>
    </w:rPr>
  </w:style>
  <w:style w:type="paragraph" w:styleId="Pta">
    <w:name w:val="footer"/>
    <w:basedOn w:val="Normlny"/>
    <w:link w:val="PtaChar"/>
    <w:uiPriority w:val="99"/>
    <w:rsid w:val="00481CEB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uiPriority w:val="99"/>
    <w:semiHidden/>
    <w:rPr>
      <w:sz w:val="24"/>
      <w:szCs w:val="24"/>
    </w:rPr>
  </w:style>
  <w:style w:type="character" w:customStyle="1" w:styleId="PtaChar14">
    <w:name w:val="Päta Char14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3">
    <w:name w:val="Päta Char13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2">
    <w:name w:val="Päta Char12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1">
    <w:name w:val="Päta Char11"/>
    <w:basedOn w:val="Predvolenpsmoodseku"/>
    <w:uiPriority w:val="99"/>
    <w:semiHidden/>
    <w:rPr>
      <w:rFonts w:cs="Times New Roman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802E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802EF"/>
    <w:rPr>
      <w:rFonts w:cs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802EF"/>
    <w:rPr>
      <w:rFonts w:cs="Times New Roman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02EF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802EF"/>
    <w:rPr>
      <w:rFonts w:ascii="Lucida Grande CE" w:hAnsi="Lucida Grande CE" w:cs="Lucida Grande CE"/>
      <w:sz w:val="18"/>
      <w:szCs w:val="18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802EF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802EF"/>
    <w:rPr>
      <w:rFonts w:cs="Times New Roman"/>
      <w:b/>
      <w:bCs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5D53D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5D53D5"/>
    <w:rPr>
      <w:rFonts w:cs="Times New Roman"/>
    </w:rPr>
  </w:style>
  <w:style w:type="paragraph" w:styleId="Odsekzoznamu">
    <w:name w:val="List Paragraph"/>
    <w:aliases w:val="Odsek zoznamu1,Odsek,body,Odsek zoznamu2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EE0CB9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character" w:customStyle="1" w:styleId="OdsekzoznamuChar">
    <w:name w:val="Odsek zoznamu Char"/>
    <w:aliases w:val="Odsek zoznamu1 Char,Odsek Char,body Char,Odsek zoznamu2 Char,Table of contents numbered Char,Bullet 1 Char,Bullet Points Char,Colorful List - Accent 11 Char,Dot pt Char,F5 List Paragraph Char,Indicator Text Char,List Paragraph11 Char"/>
    <w:link w:val="Odsekzoznamu"/>
    <w:uiPriority w:val="34"/>
    <w:qFormat/>
    <w:locked/>
    <w:rsid w:val="00EE0CB9"/>
    <w:rPr>
      <w:rFonts w:asciiTheme="minorHAnsi" w:eastAsiaTheme="minorEastAsia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904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04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8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658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7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0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1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42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03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3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52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706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77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1376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585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19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7161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Majzún, Martin</dc:creator>
  <cp:lastModifiedBy>Majzún, Martin</cp:lastModifiedBy>
  <cp:revision>2</cp:revision>
  <cp:lastPrinted>2024-01-12T10:24:00Z</cp:lastPrinted>
  <dcterms:created xsi:type="dcterms:W3CDTF">2024-01-12T10:25:00Z</dcterms:created>
  <dcterms:modified xsi:type="dcterms:W3CDTF">2024-01-12T10:25:00Z</dcterms:modified>
</cp:coreProperties>
</file>