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B6" w:rsidRDefault="003A2674">
      <w:pPr>
        <w:jc w:val="center"/>
        <w:rPr>
          <w:rFonts w:ascii="Calibri" w:eastAsia="Calibri" w:hAnsi="Calibri" w:cs="Calibri"/>
        </w:rPr>
      </w:pPr>
      <w:r>
        <w:rPr>
          <w:rFonts w:ascii="Times New Roman" w:eastAsia="Times New Roman" w:hAnsi="Times New Roman" w:cs="Times New Roman"/>
          <w:b/>
          <w:smallCaps/>
          <w:sz w:val="24"/>
          <w:szCs w:val="24"/>
        </w:rPr>
        <w:t>DOLOŽKA ZLUČITEĽNOSTI</w:t>
      </w:r>
    </w:p>
    <w:p w:rsidR="00D460B6" w:rsidRDefault="003A2674">
      <w:pPr>
        <w:widowControl w:val="0"/>
        <w:spacing w:line="240" w:lineRule="auto"/>
        <w:jc w:val="center"/>
        <w:rPr>
          <w:rFonts w:ascii="Calibri" w:eastAsia="Calibri" w:hAnsi="Calibri" w:cs="Calibri"/>
        </w:rPr>
      </w:pPr>
      <w:r>
        <w:rPr>
          <w:rFonts w:ascii="Times New Roman" w:eastAsia="Times New Roman" w:hAnsi="Times New Roman" w:cs="Times New Roman"/>
          <w:b/>
          <w:sz w:val="24"/>
          <w:szCs w:val="24"/>
        </w:rPr>
        <w:t>právneho predpisu s právom Európskej únie</w:t>
      </w:r>
    </w:p>
    <w:p w:rsidR="00D460B6" w:rsidRDefault="00D460B6">
      <w:pPr>
        <w:widowControl w:val="0"/>
        <w:spacing w:line="240" w:lineRule="auto"/>
        <w:rPr>
          <w:rFonts w:ascii="Calibri" w:eastAsia="Calibri" w:hAnsi="Calibri" w:cs="Calibri"/>
        </w:rPr>
      </w:pPr>
    </w:p>
    <w:p w:rsidR="00D460B6" w:rsidRDefault="003A2674">
      <w:pPr>
        <w:widowControl w:val="0"/>
        <w:spacing w:line="240" w:lineRule="auto"/>
        <w:ind w:left="3828"/>
        <w:jc w:val="both"/>
        <w:rPr>
          <w:rFonts w:ascii="Calibri" w:eastAsia="Calibri" w:hAnsi="Calibri" w:cs="Calibri"/>
        </w:rPr>
      </w:pPr>
      <w:r>
        <w:rPr>
          <w:rFonts w:ascii="Times New Roman" w:eastAsia="Times New Roman" w:hAnsi="Times New Roman" w:cs="Times New Roman"/>
          <w:b/>
          <w:sz w:val="24"/>
          <w:szCs w:val="24"/>
        </w:rPr>
        <w:t>1. Predkladateľ právneho predpisu: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poslankyne Národnej rady Slovenskej republiky Simona Petrík, Lucia Plaváková,</w:t>
      </w:r>
      <w:bookmarkStart w:id="0" w:name="_GoBack"/>
      <w:bookmarkEnd w:id="0"/>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Kleinert</w:t>
      </w:r>
      <w:proofErr w:type="spellEnd"/>
      <w:r>
        <w:rPr>
          <w:rFonts w:ascii="Times New Roman" w:eastAsia="Times New Roman" w:hAnsi="Times New Roman" w:cs="Times New Roman"/>
          <w:sz w:val="24"/>
          <w:szCs w:val="24"/>
        </w:rPr>
        <w:t xml:space="preserve"> a poslanec Národnej rady Slovenskej republiky Marek Lackovič</w:t>
      </w:r>
    </w:p>
    <w:p w:rsidR="00D460B6" w:rsidRDefault="003A2674">
      <w:pPr>
        <w:widowControl w:val="0"/>
        <w:tabs>
          <w:tab w:val="left" w:pos="360"/>
        </w:tabs>
        <w:spacing w:line="240" w:lineRule="auto"/>
        <w:ind w:left="360"/>
        <w:jc w:val="both"/>
        <w:rPr>
          <w:rFonts w:ascii="Calibri" w:eastAsia="Calibri" w:hAnsi="Calibri" w:cs="Calibri"/>
        </w:rPr>
      </w:pPr>
      <w:r>
        <w:rPr>
          <w:rFonts w:ascii="Times New Roman" w:eastAsia="Times New Roman" w:hAnsi="Times New Roman" w:cs="Times New Roman"/>
          <w:sz w:val="24"/>
          <w:szCs w:val="24"/>
        </w:rPr>
        <w:t xml:space="preserve"> </w:t>
      </w:r>
    </w:p>
    <w:p w:rsidR="00D460B6" w:rsidRDefault="003A2674">
      <w:pPr>
        <w:widowControl w:val="0"/>
        <w:spacing w:line="240" w:lineRule="auto"/>
        <w:ind w:left="382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Názov návrhu právneho predpisu:</w:t>
      </w:r>
      <w:r>
        <w:rPr>
          <w:rFonts w:ascii="Times New Roman" w:eastAsia="Times New Roman" w:hAnsi="Times New Roman" w:cs="Times New Roman"/>
          <w:sz w:val="24"/>
          <w:szCs w:val="24"/>
        </w:rPr>
        <w:t xml:space="preserve"> Návrh zákona, ktorým sa mení a dopĺňa zákon č. 245/2008 Z. z. o výchove a vzdelávaní (školský zákon) a o zmene a doplnení niektorých zákonov v znení neskorších predpisov a ktorým sa mení a dopĺňa zákon č. 571/2009 Z. z.</w:t>
      </w:r>
      <w:r>
        <w:rPr>
          <w:rFonts w:ascii="Times New Roman" w:eastAsia="Times New Roman" w:hAnsi="Times New Roman" w:cs="Times New Roman"/>
          <w:sz w:val="24"/>
          <w:szCs w:val="24"/>
        </w:rPr>
        <w:t xml:space="preserve"> o rodičovskom príspevku a o zmene a doplnení niektorých zákonov v znení neskorších predpisov a ktorým sa mení a dopĺňa zákon č. 596/2003 Z. z. o </w:t>
      </w:r>
      <w:r>
        <w:rPr>
          <w:rFonts w:ascii="Times New Roman" w:eastAsia="Times New Roman" w:hAnsi="Times New Roman" w:cs="Times New Roman"/>
          <w:color w:val="070707"/>
          <w:sz w:val="24"/>
          <w:szCs w:val="24"/>
          <w:highlight w:val="white"/>
        </w:rPr>
        <w:t xml:space="preserve"> štátnej správe v školstve a školskej samospráve a o zmene a doplnení niektorých zákonov</w:t>
      </w:r>
    </w:p>
    <w:p w:rsidR="00D460B6" w:rsidRDefault="00D460B6">
      <w:pPr>
        <w:widowControl w:val="0"/>
        <w:spacing w:line="240" w:lineRule="auto"/>
        <w:ind w:left="3828"/>
        <w:jc w:val="both"/>
        <w:rPr>
          <w:rFonts w:ascii="Times New Roman" w:eastAsia="Times New Roman" w:hAnsi="Times New Roman" w:cs="Times New Roman"/>
          <w:sz w:val="24"/>
          <w:szCs w:val="24"/>
        </w:rPr>
      </w:pPr>
    </w:p>
    <w:p w:rsidR="00D460B6" w:rsidRDefault="003A2674">
      <w:pPr>
        <w:widowControl w:val="0"/>
        <w:spacing w:line="240" w:lineRule="auto"/>
        <w:ind w:left="382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Problematika návr</w:t>
      </w:r>
      <w:r>
        <w:rPr>
          <w:rFonts w:ascii="Times New Roman" w:eastAsia="Times New Roman" w:hAnsi="Times New Roman" w:cs="Times New Roman"/>
          <w:b/>
          <w:sz w:val="24"/>
          <w:szCs w:val="24"/>
        </w:rPr>
        <w:t>hu právneho predpisu:</w:t>
      </w:r>
    </w:p>
    <w:p w:rsidR="00D460B6" w:rsidRDefault="00D460B6">
      <w:pPr>
        <w:widowControl w:val="0"/>
        <w:spacing w:line="240" w:lineRule="auto"/>
        <w:ind w:left="3828"/>
        <w:jc w:val="both"/>
        <w:rPr>
          <w:rFonts w:ascii="Times New Roman" w:eastAsia="Times New Roman" w:hAnsi="Times New Roman" w:cs="Times New Roman"/>
          <w:sz w:val="24"/>
          <w:szCs w:val="24"/>
        </w:rPr>
      </w:pPr>
    </w:p>
    <w:p w:rsidR="00D460B6" w:rsidRDefault="003A26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nie je upravená v práve Európskych spoločenstiev</w:t>
      </w:r>
    </w:p>
    <w:p w:rsidR="00D460B6" w:rsidRDefault="00D460B6">
      <w:pPr>
        <w:widowControl w:val="0"/>
        <w:spacing w:line="240" w:lineRule="auto"/>
        <w:rPr>
          <w:rFonts w:ascii="Times New Roman" w:eastAsia="Times New Roman" w:hAnsi="Times New Roman" w:cs="Times New Roman"/>
          <w:sz w:val="24"/>
          <w:szCs w:val="24"/>
        </w:rPr>
      </w:pPr>
    </w:p>
    <w:p w:rsidR="00D460B6" w:rsidRDefault="003A26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nie je obsiahnutá v práve Európskej únie</w:t>
      </w:r>
    </w:p>
    <w:p w:rsidR="00D460B6" w:rsidRDefault="00D460B6">
      <w:pPr>
        <w:widowControl w:val="0"/>
        <w:spacing w:line="240" w:lineRule="auto"/>
        <w:rPr>
          <w:rFonts w:ascii="Times New Roman" w:eastAsia="Times New Roman" w:hAnsi="Times New Roman" w:cs="Times New Roman"/>
          <w:sz w:val="24"/>
          <w:szCs w:val="24"/>
        </w:rPr>
      </w:pPr>
    </w:p>
    <w:p w:rsidR="00D460B6" w:rsidRDefault="003A26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nie je obsiahnutá v judikatúre Súdneho dvora Európskej únie</w:t>
      </w:r>
    </w:p>
    <w:p w:rsidR="00D460B6" w:rsidRDefault="00D460B6">
      <w:pPr>
        <w:widowControl w:val="0"/>
        <w:spacing w:line="240" w:lineRule="auto"/>
        <w:rPr>
          <w:rFonts w:ascii="Times New Roman" w:eastAsia="Times New Roman" w:hAnsi="Times New Roman" w:cs="Times New Roman"/>
          <w:sz w:val="24"/>
          <w:szCs w:val="24"/>
        </w:rPr>
      </w:pPr>
    </w:p>
    <w:p w:rsidR="00D460B6" w:rsidRDefault="003A267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Keďže predmet návrhu zákona nie je v práve Európskej únie upravený, bod</w:t>
      </w:r>
      <w:r>
        <w:rPr>
          <w:rFonts w:ascii="Times New Roman" w:eastAsia="Times New Roman" w:hAnsi="Times New Roman" w:cs="Times New Roman"/>
          <w:sz w:val="24"/>
          <w:szCs w:val="24"/>
        </w:rPr>
        <w:t>y 4 a 5 sa nevypĺňajú.</w:t>
      </w:r>
    </w:p>
    <w:p w:rsidR="00D460B6" w:rsidRDefault="00D460B6">
      <w:pPr>
        <w:widowControl w:val="0"/>
        <w:spacing w:line="240" w:lineRule="auto"/>
        <w:jc w:val="both"/>
        <w:rPr>
          <w:rFonts w:ascii="Times New Roman" w:eastAsia="Times New Roman" w:hAnsi="Times New Roman" w:cs="Times New Roman"/>
          <w:sz w:val="24"/>
          <w:szCs w:val="24"/>
        </w:rPr>
      </w:pPr>
    </w:p>
    <w:p w:rsidR="00D460B6" w:rsidRDefault="003A2674">
      <w:pPr>
        <w:spacing w:after="200"/>
        <w:rPr>
          <w:rFonts w:ascii="Times New Roman" w:eastAsia="Times New Roman" w:hAnsi="Times New Roman" w:cs="Times New Roman"/>
          <w:b/>
          <w:smallCaps/>
          <w:sz w:val="24"/>
          <w:szCs w:val="24"/>
        </w:rPr>
      </w:pPr>
      <w:r>
        <w:br w:type="page"/>
      </w:r>
    </w:p>
    <w:p w:rsidR="00D460B6" w:rsidRDefault="003A2674">
      <w:pPr>
        <w:widowControl w:val="0"/>
        <w:jc w:val="center"/>
        <w:rPr>
          <w:rFonts w:ascii="Calibri" w:eastAsia="Calibri" w:hAnsi="Calibri" w:cs="Calibri"/>
        </w:rPr>
      </w:pPr>
      <w:r>
        <w:rPr>
          <w:rFonts w:ascii="Times New Roman" w:eastAsia="Times New Roman" w:hAnsi="Times New Roman" w:cs="Times New Roman"/>
          <w:b/>
          <w:smallCaps/>
          <w:sz w:val="24"/>
          <w:szCs w:val="24"/>
        </w:rPr>
        <w:lastRenderedPageBreak/>
        <w:t>DOLOŽKA</w:t>
      </w:r>
    </w:p>
    <w:p w:rsidR="00D460B6" w:rsidRDefault="003A2674">
      <w:pPr>
        <w:widowControl w:val="0"/>
        <w:jc w:val="center"/>
        <w:rPr>
          <w:rFonts w:ascii="Calibri" w:eastAsia="Calibri" w:hAnsi="Calibri" w:cs="Calibri"/>
        </w:rPr>
      </w:pPr>
      <w:r>
        <w:rPr>
          <w:rFonts w:ascii="Times New Roman" w:eastAsia="Times New Roman" w:hAnsi="Times New Roman" w:cs="Times New Roman"/>
          <w:b/>
          <w:sz w:val="24"/>
          <w:szCs w:val="24"/>
        </w:rPr>
        <w:t>vybraných vplyvov</w:t>
      </w:r>
    </w:p>
    <w:p w:rsidR="00D460B6" w:rsidRDefault="00D460B6">
      <w:pPr>
        <w:widowControl w:val="0"/>
        <w:rPr>
          <w:rFonts w:ascii="Calibri" w:eastAsia="Calibri" w:hAnsi="Calibri" w:cs="Calibri"/>
        </w:rPr>
      </w:pPr>
    </w:p>
    <w:p w:rsidR="00D460B6" w:rsidRDefault="003A267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 xml:space="preserve">Návrh zákona, ktorým sa mení a dopĺňa zákon č. 245/2008 Z. z. o výchove a vzdelávaní (školský zákon) a o zmene a doplnení niektorých zákonov v znení neskorších predpisov a ktorým sa mení a dopĺňa zákon č. 571/2009 Z. z. o rodičovskom príspevku a o zmene a </w:t>
      </w:r>
      <w:r>
        <w:rPr>
          <w:rFonts w:ascii="Times New Roman" w:eastAsia="Times New Roman" w:hAnsi="Times New Roman" w:cs="Times New Roman"/>
          <w:sz w:val="24"/>
          <w:szCs w:val="24"/>
        </w:rPr>
        <w:t xml:space="preserve">doplnení niektorých zákonov v znení neskorších predpisov a ktorým sa mení a dopĺňa zákon č. 596/2003 Z. z. o </w:t>
      </w:r>
      <w:r>
        <w:rPr>
          <w:rFonts w:ascii="Times New Roman" w:eastAsia="Times New Roman" w:hAnsi="Times New Roman" w:cs="Times New Roman"/>
          <w:color w:val="070707"/>
          <w:sz w:val="24"/>
          <w:szCs w:val="24"/>
          <w:highlight w:val="white"/>
        </w:rPr>
        <w:t xml:space="preserve"> štátnej správe v školstve a školskej samospráve a o zmene a doplnení niektorých zákonov</w:t>
      </w:r>
    </w:p>
    <w:p w:rsidR="00D460B6" w:rsidRDefault="00D460B6">
      <w:pPr>
        <w:widowControl w:val="0"/>
        <w:spacing w:line="240" w:lineRule="auto"/>
        <w:jc w:val="both"/>
        <w:rPr>
          <w:rFonts w:ascii="Times New Roman" w:eastAsia="Times New Roman" w:hAnsi="Times New Roman" w:cs="Times New Roman"/>
          <w:sz w:val="24"/>
          <w:szCs w:val="24"/>
        </w:rPr>
      </w:pPr>
    </w:p>
    <w:p w:rsidR="00D460B6" w:rsidRDefault="00D460B6">
      <w:pPr>
        <w:widowControl w:val="0"/>
        <w:spacing w:line="240" w:lineRule="auto"/>
        <w:jc w:val="both"/>
        <w:rPr>
          <w:rFonts w:ascii="Times New Roman" w:eastAsia="Times New Roman" w:hAnsi="Times New Roman" w:cs="Times New Roman"/>
          <w:sz w:val="24"/>
          <w:szCs w:val="24"/>
        </w:rPr>
      </w:pPr>
    </w:p>
    <w:p w:rsidR="00D460B6" w:rsidRDefault="003A2674">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Vplyvy:</w:t>
      </w:r>
    </w:p>
    <w:p w:rsidR="00D460B6" w:rsidRDefault="00D460B6">
      <w:pPr>
        <w:widowControl w:val="0"/>
        <w:jc w:val="both"/>
        <w:rPr>
          <w:rFonts w:ascii="Times New Roman" w:eastAsia="Times New Roman" w:hAnsi="Times New Roman" w:cs="Times New Roman"/>
          <w:b/>
          <w:sz w:val="24"/>
          <w:szCs w:val="24"/>
        </w:rPr>
      </w:pPr>
    </w:p>
    <w:tbl>
      <w:tblPr>
        <w:tblStyle w:val="a"/>
        <w:tblW w:w="9045" w:type="dxa"/>
        <w:tblInd w:w="-100" w:type="dxa"/>
        <w:tblLayout w:type="fixed"/>
        <w:tblLook w:val="0400" w:firstRow="0" w:lastRow="0" w:firstColumn="0" w:lastColumn="0" w:noHBand="0" w:noVBand="1"/>
      </w:tblPr>
      <w:tblGrid>
        <w:gridCol w:w="5580"/>
        <w:gridCol w:w="1185"/>
        <w:gridCol w:w="945"/>
        <w:gridCol w:w="1335"/>
      </w:tblGrid>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Vplyv</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Pozitívne</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Žiadne</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Negatívne</w:t>
            </w: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Vplyvy na rozpočet verejnej správy</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jc w:val="center"/>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Vplyvy na podnikateľské prostredie – dochádza k zvýšeniu regulačného zaťaženia?</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Sociálne vplyvy</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Vplyvy na životné prostredie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Vplyvy na informatizáciu spoločnosti</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 Vplyvy na služby pre občana z toho</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vplyvy služieb verejnej správy na občana</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procesy služieb vo verejnej správe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before="60" w:after="60"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r w:rsidR="00D460B6">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Vplyvy na manželstvo, rodičovstvo a rodinu</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3A267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jc w:val="center"/>
              <w:rPr>
                <w:rFonts w:ascii="Times New Roman" w:eastAsia="Times New Roman" w:hAnsi="Times New Roman" w:cs="Times New Roman"/>
                <w:sz w:val="24"/>
                <w:szCs w:val="24"/>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60B6" w:rsidRDefault="00D460B6">
            <w:pPr>
              <w:spacing w:line="240" w:lineRule="auto"/>
              <w:rPr>
                <w:rFonts w:ascii="Times New Roman" w:eastAsia="Times New Roman" w:hAnsi="Times New Roman" w:cs="Times New Roman"/>
                <w:sz w:val="24"/>
                <w:szCs w:val="24"/>
              </w:rPr>
            </w:pPr>
          </w:p>
        </w:tc>
      </w:tr>
    </w:tbl>
    <w:p w:rsidR="00D460B6" w:rsidRDefault="00D460B6">
      <w:pPr>
        <w:widowControl w:val="0"/>
        <w:jc w:val="both"/>
        <w:rPr>
          <w:rFonts w:ascii="Times New Roman" w:eastAsia="Times New Roman" w:hAnsi="Times New Roman" w:cs="Times New Roman"/>
          <w:b/>
          <w:sz w:val="24"/>
          <w:szCs w:val="24"/>
        </w:rPr>
      </w:pPr>
    </w:p>
    <w:p w:rsidR="00D460B6" w:rsidRDefault="00D460B6">
      <w:pPr>
        <w:widowControl w:val="0"/>
        <w:jc w:val="both"/>
        <w:rPr>
          <w:rFonts w:ascii="Calibri" w:eastAsia="Calibri" w:hAnsi="Calibri" w:cs="Calibri"/>
        </w:rPr>
      </w:pPr>
    </w:p>
    <w:p w:rsidR="00D460B6" w:rsidRDefault="003A2674">
      <w:pPr>
        <w:widowControl w:val="0"/>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D460B6" w:rsidRDefault="003A2674">
      <w:pPr>
        <w:widowControl w:val="0"/>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Navrhovaná novela bude mať pozitívne vplyvy najmä pre samosprávy, ktoré nadobudnú </w:t>
      </w:r>
      <w:r>
        <w:rPr>
          <w:rFonts w:ascii="Times New Roman" w:eastAsia="Times New Roman" w:hAnsi="Times New Roman" w:cs="Times New Roman"/>
          <w:sz w:val="24"/>
          <w:szCs w:val="24"/>
        </w:rPr>
        <w:lastRenderedPageBreak/>
        <w:t xml:space="preserve">komplexný prehľad o počtoch prijatých a neprijatých detí do zariadení </w:t>
      </w:r>
      <w:proofErr w:type="spellStart"/>
      <w:r>
        <w:rPr>
          <w:rFonts w:ascii="Times New Roman" w:eastAsia="Times New Roman" w:hAnsi="Times New Roman" w:cs="Times New Roman"/>
          <w:sz w:val="24"/>
          <w:szCs w:val="24"/>
        </w:rPr>
        <w:t>predprimárneho</w:t>
      </w:r>
      <w:proofErr w:type="spellEnd"/>
      <w:r>
        <w:rPr>
          <w:rFonts w:ascii="Times New Roman" w:eastAsia="Times New Roman" w:hAnsi="Times New Roman" w:cs="Times New Roman"/>
          <w:sz w:val="24"/>
          <w:szCs w:val="24"/>
        </w:rPr>
        <w:t xml:space="preserve"> vzdelávania vo svojej zriaďovateľskej pôsobnosti.  Na základe toho budú môcť nastavovať s</w:t>
      </w:r>
      <w:r>
        <w:rPr>
          <w:rFonts w:ascii="Times New Roman" w:eastAsia="Times New Roman" w:hAnsi="Times New Roman" w:cs="Times New Roman"/>
          <w:sz w:val="24"/>
          <w:szCs w:val="24"/>
        </w:rPr>
        <w:t>tratégiu vytvárania nových miest v MŠ, ktorá nemusí nutne stáť len na budovaní nových zariadení. Novela zároveň efektívne sprehľadňuje systém rozhodovania o priznaní alebo nepriznaní tzv. predĺženého rodičovského príspevku (príspevku, ktorý je vyplácaný ro</w:t>
      </w:r>
      <w:r>
        <w:rPr>
          <w:rFonts w:ascii="Times New Roman" w:eastAsia="Times New Roman" w:hAnsi="Times New Roman" w:cs="Times New Roman"/>
          <w:sz w:val="24"/>
          <w:szCs w:val="24"/>
        </w:rPr>
        <w:t>dičovi alebo zákonnému zástupcovi aj po dovŕšení 3 rokov veku dieťaťa na základe toho, že dieťa nebolo prijaté do obecnej MŠ) pre jednotlivé Úrady práce, ktoré sú platiteľmi tohto príspevku. Preto bude mať preukázateľne pozitívny vplyv na informatizáciu sp</w:t>
      </w:r>
      <w:r>
        <w:rPr>
          <w:rFonts w:ascii="Times New Roman" w:eastAsia="Times New Roman" w:hAnsi="Times New Roman" w:cs="Times New Roman"/>
          <w:sz w:val="24"/>
          <w:szCs w:val="24"/>
        </w:rPr>
        <w:t xml:space="preserve">oločnosti, na procesy a služby verejnej správy pre občana, ako aj pre samosprávy. </w:t>
      </w:r>
    </w:p>
    <w:p w:rsidR="00D460B6" w:rsidRDefault="00D460B6">
      <w:pPr>
        <w:widowControl w:val="0"/>
        <w:spacing w:after="200"/>
        <w:jc w:val="both"/>
        <w:rPr>
          <w:rFonts w:ascii="Times New Roman" w:eastAsia="Times New Roman" w:hAnsi="Times New Roman" w:cs="Times New Roman"/>
          <w:sz w:val="24"/>
          <w:szCs w:val="24"/>
          <w:highlight w:val="white"/>
        </w:rPr>
      </w:pPr>
    </w:p>
    <w:p w:rsidR="00D460B6" w:rsidRDefault="003A2674">
      <w:pPr>
        <w:widowControl w:val="0"/>
        <w:spacing w:after="2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Finančné dopady:</w:t>
      </w:r>
    </w:p>
    <w:p w:rsidR="00D460B6" w:rsidRDefault="003A2674">
      <w:pPr>
        <w:widowControl w:val="0"/>
        <w:spacing w:after="2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Návrh nebude mať signifikantný negatívny vplyv na personálnu záťaž zamestnancov a zamestnankýň jednotlivých obecných, miestnych a mestských úradov pri spra</w:t>
      </w:r>
      <w:r>
        <w:rPr>
          <w:rFonts w:ascii="Times New Roman" w:eastAsia="Times New Roman" w:hAnsi="Times New Roman" w:cs="Times New Roman"/>
          <w:sz w:val="24"/>
          <w:szCs w:val="24"/>
          <w:highlight w:val="white"/>
        </w:rPr>
        <w:t xml:space="preserve">covaní menných zoznamov prijatých a neprijatých detí, keďže už teraz sú tieto úrady povinné čiastkovo zbierať údaje od rodičov detí v povinnom predškolskom ročníku. Naopak, dôležitým faktorom pre efektivitu rozhodovania a stratégií samospráv je </w:t>
      </w:r>
      <w:proofErr w:type="spellStart"/>
      <w:r>
        <w:rPr>
          <w:rFonts w:ascii="Times New Roman" w:eastAsia="Times New Roman" w:hAnsi="Times New Roman" w:cs="Times New Roman"/>
          <w:sz w:val="24"/>
          <w:szCs w:val="24"/>
          <w:highlight w:val="white"/>
        </w:rPr>
        <w:t>komplexita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získaných dát a zároveň predpoklad inovatívnejšieho </w:t>
      </w:r>
      <w:proofErr w:type="spellStart"/>
      <w:r>
        <w:rPr>
          <w:rFonts w:ascii="Times New Roman" w:eastAsia="Times New Roman" w:hAnsi="Times New Roman" w:cs="Times New Roman"/>
          <w:sz w:val="24"/>
          <w:szCs w:val="24"/>
          <w:highlight w:val="white"/>
        </w:rPr>
        <w:t>elektronizovaného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reportingu</w:t>
      </w:r>
      <w:proofErr w:type="spellEnd"/>
      <w:r>
        <w:rPr>
          <w:rFonts w:ascii="Times New Roman" w:eastAsia="Times New Roman" w:hAnsi="Times New Roman" w:cs="Times New Roman"/>
          <w:sz w:val="24"/>
          <w:szCs w:val="24"/>
          <w:highlight w:val="white"/>
        </w:rPr>
        <w:t xml:space="preserve"> a zautomatizovanie niektorých procesov, ktoré sa doposiaľ robili ručne, čo zvyšuje perspektívu pozitívneho dopadu na financie samospráv.</w:t>
      </w:r>
    </w:p>
    <w:p w:rsidR="00D460B6" w:rsidRDefault="00D460B6">
      <w:pPr>
        <w:widowControl w:val="0"/>
        <w:jc w:val="both"/>
        <w:rPr>
          <w:rFonts w:ascii="Times New Roman" w:eastAsia="Times New Roman" w:hAnsi="Times New Roman" w:cs="Times New Roman"/>
          <w:sz w:val="24"/>
          <w:szCs w:val="24"/>
        </w:rPr>
      </w:pPr>
    </w:p>
    <w:p w:rsidR="00D460B6" w:rsidRDefault="003A2674">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D460B6" w:rsidRDefault="00D460B6">
      <w:pPr>
        <w:widowControl w:val="0"/>
        <w:jc w:val="both"/>
        <w:rPr>
          <w:rFonts w:ascii="Calibri" w:eastAsia="Calibri" w:hAnsi="Calibri" w:cs="Calibri"/>
        </w:rPr>
      </w:pPr>
    </w:p>
    <w:p w:rsidR="00D460B6" w:rsidRDefault="003A2674">
      <w:pPr>
        <w:widowControl w:val="0"/>
        <w:jc w:val="both"/>
        <w:rPr>
          <w:rFonts w:ascii="Calibri" w:eastAsia="Calibri" w:hAnsi="Calibri" w:cs="Calibri"/>
        </w:rPr>
      </w:pPr>
      <w:r>
        <w:rPr>
          <w:rFonts w:ascii="Times New Roman" w:eastAsia="Times New Roman" w:hAnsi="Times New Roman" w:cs="Times New Roman"/>
          <w:sz w:val="24"/>
          <w:szCs w:val="24"/>
        </w:rPr>
        <w:t>Bezpredme</w:t>
      </w:r>
      <w:r>
        <w:rPr>
          <w:rFonts w:ascii="Times New Roman" w:eastAsia="Times New Roman" w:hAnsi="Times New Roman" w:cs="Times New Roman"/>
          <w:sz w:val="24"/>
          <w:szCs w:val="24"/>
        </w:rPr>
        <w:t xml:space="preserve">tné  </w:t>
      </w:r>
    </w:p>
    <w:p w:rsidR="00D460B6" w:rsidRDefault="003A2674">
      <w:pPr>
        <w:spacing w:before="280" w:after="28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A.5. </w:t>
      </w:r>
      <w:r>
        <w:rPr>
          <w:rFonts w:ascii="Times New Roman" w:eastAsia="Times New Roman" w:hAnsi="Times New Roman" w:cs="Times New Roman"/>
          <w:b/>
          <w:sz w:val="24"/>
          <w:szCs w:val="24"/>
        </w:rPr>
        <w:tab/>
        <w:t>Stanovisko gestorov</w:t>
      </w:r>
    </w:p>
    <w:p w:rsidR="00D460B6" w:rsidRDefault="003A267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Bezpredmetné</w:t>
      </w:r>
    </w:p>
    <w:p w:rsidR="00D460B6" w:rsidRDefault="00D460B6">
      <w:pPr>
        <w:widowControl w:val="0"/>
        <w:jc w:val="both"/>
        <w:rPr>
          <w:rFonts w:ascii="Times New Roman" w:eastAsia="Times New Roman" w:hAnsi="Times New Roman" w:cs="Times New Roman"/>
          <w:sz w:val="24"/>
          <w:szCs w:val="24"/>
        </w:rPr>
      </w:pPr>
    </w:p>
    <w:p w:rsidR="00D460B6" w:rsidRDefault="00D460B6">
      <w:pPr>
        <w:widowControl w:val="0"/>
        <w:jc w:val="both"/>
        <w:rPr>
          <w:rFonts w:ascii="Times New Roman" w:eastAsia="Times New Roman" w:hAnsi="Times New Roman" w:cs="Times New Roman"/>
          <w:sz w:val="24"/>
          <w:szCs w:val="24"/>
        </w:rPr>
      </w:pPr>
    </w:p>
    <w:p w:rsidR="00D460B6" w:rsidRDefault="00D460B6"/>
    <w:sectPr w:rsidR="00D460B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B6"/>
    <w:rsid w:val="003A2674"/>
    <w:rsid w:val="00D46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97D2"/>
  <w15:docId w15:val="{B83B67E4-F93D-4481-862A-6C98002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extbubliny">
    <w:name w:val="Balloon Text"/>
    <w:basedOn w:val="Normlny"/>
    <w:link w:val="TextbublinyChar"/>
    <w:uiPriority w:val="99"/>
    <w:semiHidden/>
    <w:unhideWhenUsed/>
    <w:rsid w:val="003A267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2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Company>Kancelária Národnej rady Slovenskej republiky</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Petrík, Simona</cp:lastModifiedBy>
  <cp:revision>2</cp:revision>
  <cp:lastPrinted>2024-01-12T12:53:00Z</cp:lastPrinted>
  <dcterms:created xsi:type="dcterms:W3CDTF">2024-01-12T12:53:00Z</dcterms:created>
  <dcterms:modified xsi:type="dcterms:W3CDTF">2024-01-12T12:54:00Z</dcterms:modified>
</cp:coreProperties>
</file>