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DOLOŽKA ZLUČITEĽNOSTI</w:t>
      </w:r>
    </w:p>
    <w:p w:rsidR="00000000" w:rsidDel="00000000" w:rsidP="00000000" w:rsidRDefault="00000000" w:rsidRPr="00000000" w14:paraId="00000002">
      <w:pPr>
        <w:jc w:val="center"/>
        <w:rPr>
          <w:b w:val="1"/>
        </w:rPr>
      </w:pPr>
      <w:r w:rsidDel="00000000" w:rsidR="00000000" w:rsidRPr="00000000">
        <w:rPr>
          <w:b w:val="1"/>
          <w:rtl w:val="0"/>
        </w:rPr>
        <w:t xml:space="preserve">návrhu zákona s právom Európskej únie</w:t>
      </w:r>
    </w:p>
    <w:p w:rsidR="00000000" w:rsidDel="00000000" w:rsidP="00000000" w:rsidRDefault="00000000" w:rsidRPr="00000000" w14:paraId="00000003">
      <w:pPr>
        <w:jc w:val="both"/>
        <w:rPr/>
      </w:pPr>
      <w:r w:rsidDel="00000000" w:rsidR="00000000" w:rsidRPr="00000000">
        <w:rPr>
          <w:rtl w:val="0"/>
        </w:rPr>
      </w:r>
    </w:p>
    <w:p w:rsidR="00000000" w:rsidDel="00000000" w:rsidP="00000000" w:rsidRDefault="00000000" w:rsidRPr="00000000" w14:paraId="00000004">
      <w:pPr>
        <w:rPr/>
      </w:pPr>
      <w:r w:rsidDel="00000000" w:rsidR="00000000" w:rsidRPr="00000000">
        <w:rPr>
          <w:b w:val="1"/>
          <w:rtl w:val="0"/>
        </w:rPr>
        <w:t xml:space="preserve">1. Predkladateľ návrhu zákona</w:t>
      </w:r>
      <w:r w:rsidDel="00000000" w:rsidR="00000000" w:rsidRPr="00000000">
        <w:rPr>
          <w:rtl w:val="0"/>
        </w:rPr>
        <w:t xml:space="preserve">: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t xml:space="preserve">poslankyne Národnej rady Slovenskej republiky Beáta Jur</w:t>
      </w:r>
      <w:r w:rsidDel="00000000" w:rsidR="00000000" w:rsidRPr="00000000">
        <w:rPr>
          <w:color w:val="000000"/>
          <w:rtl w:val="0"/>
        </w:rPr>
        <w:t xml:space="preserve">í</w:t>
      </w:r>
      <w:r w:rsidDel="00000000" w:rsidR="00000000" w:rsidRPr="00000000">
        <w:rPr>
          <w:rtl w:val="0"/>
        </w:rPr>
        <w:t xml:space="preserve">k a Lucia Plaváková a poslanec Národnej rady Slovenskej republiky Michal Šimečka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b w:val="1"/>
          <w:rtl w:val="0"/>
        </w:rPr>
        <w:t xml:space="preserve">2. Názov návrhu právneho predpisu:</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jc w:val="both"/>
        <w:rPr>
          <w:rFonts w:ascii="Times" w:cs="Times" w:eastAsia="Times" w:hAnsi="Times"/>
          <w:color w:val="000000"/>
          <w:sz w:val="27"/>
          <w:szCs w:val="27"/>
        </w:rPr>
      </w:pPr>
      <w:r w:rsidDel="00000000" w:rsidR="00000000" w:rsidRPr="00000000">
        <w:rPr>
          <w:rtl w:val="0"/>
        </w:rPr>
        <w:t xml:space="preserve">Návrh zákona,</w:t>
      </w:r>
      <w:r w:rsidDel="00000000" w:rsidR="00000000" w:rsidRPr="00000000">
        <w:rPr>
          <w:color w:val="000000"/>
          <w:rtl w:val="0"/>
        </w:rPr>
        <w:t xml:space="preserve"> ktorým sa mení a dopĺňa zákon č. 300/2005 Z.z. Trestný zákon v znení neskorších predpisov.</w:t>
      </w:r>
      <w:r w:rsidDel="00000000" w:rsidR="00000000" w:rsidRPr="00000000">
        <w:rPr>
          <w:rtl w:val="0"/>
        </w:rPr>
      </w:r>
    </w:p>
    <w:p w:rsidR="00000000" w:rsidDel="00000000" w:rsidP="00000000" w:rsidRDefault="00000000" w:rsidRPr="00000000" w14:paraId="0000000B">
      <w:pPr>
        <w:jc w:val="both"/>
        <w:rPr>
          <w:highlight w:val="white"/>
        </w:rPr>
      </w:pPr>
      <w:r w:rsidDel="00000000" w:rsidR="00000000" w:rsidRPr="00000000">
        <w:rPr>
          <w:rtl w:val="0"/>
        </w:rPr>
      </w:r>
    </w:p>
    <w:p w:rsidR="00000000" w:rsidDel="00000000" w:rsidP="00000000" w:rsidRDefault="00000000" w:rsidRPr="00000000" w14:paraId="0000000C">
      <w:pPr>
        <w:jc w:val="both"/>
        <w:rPr>
          <w:b w:val="1"/>
          <w:highlight w:val="white"/>
        </w:rPr>
      </w:pPr>
      <w:r w:rsidDel="00000000" w:rsidR="00000000" w:rsidRPr="00000000">
        <w:rPr>
          <w:b w:val="1"/>
          <w:highlight w:val="white"/>
          <w:rtl w:val="0"/>
        </w:rPr>
        <w:t xml:space="preserve">3. Problematika návrhu právneho predpisu:</w:t>
      </w:r>
    </w:p>
    <w:p w:rsidR="00000000" w:rsidDel="00000000" w:rsidP="00000000" w:rsidRDefault="00000000" w:rsidRPr="00000000" w14:paraId="0000000D">
      <w:pPr>
        <w:jc w:val="both"/>
        <w:rPr>
          <w:b w:val="1"/>
          <w:highlight w:val="white"/>
        </w:rPr>
      </w:pPr>
      <w:r w:rsidDel="00000000" w:rsidR="00000000" w:rsidRPr="00000000">
        <w:rPr>
          <w:rtl w:val="0"/>
        </w:rPr>
      </w:r>
    </w:p>
    <w:p w:rsidR="00000000" w:rsidDel="00000000" w:rsidP="00000000" w:rsidRDefault="00000000" w:rsidRPr="00000000" w14:paraId="0000000E">
      <w:pPr>
        <w:jc w:val="both"/>
        <w:rPr>
          <w:highlight w:val="white"/>
        </w:rPr>
      </w:pPr>
      <w:r w:rsidDel="00000000" w:rsidR="00000000" w:rsidRPr="00000000">
        <w:rPr>
          <w:highlight w:val="white"/>
          <w:rtl w:val="0"/>
        </w:rPr>
        <w:t xml:space="preserve">a) nie je upravená v práve Európskej únie</w:t>
      </w:r>
    </w:p>
    <w:p w:rsidR="00000000" w:rsidDel="00000000" w:rsidP="00000000" w:rsidRDefault="00000000" w:rsidRPr="00000000" w14:paraId="0000000F">
      <w:pPr>
        <w:jc w:val="both"/>
        <w:rPr>
          <w:highlight w:val="white"/>
        </w:rPr>
      </w:pPr>
      <w:r w:rsidDel="00000000" w:rsidR="00000000" w:rsidRPr="00000000">
        <w:rPr>
          <w:rtl w:val="0"/>
        </w:rPr>
      </w:r>
    </w:p>
    <w:p w:rsidR="00000000" w:rsidDel="00000000" w:rsidP="00000000" w:rsidRDefault="00000000" w:rsidRPr="00000000" w14:paraId="00000010">
      <w:pPr>
        <w:jc w:val="both"/>
        <w:rPr>
          <w:highlight w:val="white"/>
        </w:rPr>
      </w:pPr>
      <w:r w:rsidDel="00000000" w:rsidR="00000000" w:rsidRPr="00000000">
        <w:rPr>
          <w:highlight w:val="white"/>
          <w:rtl w:val="0"/>
        </w:rPr>
        <w:t xml:space="preserve">b) nie je obsiahnutá v judikatúre Súdneho dvora Európskej únie.</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b w:val="1"/>
        </w:rPr>
      </w:pPr>
      <w:r w:rsidDel="00000000" w:rsidR="00000000" w:rsidRPr="00000000">
        <w:rPr>
          <w:b w:val="1"/>
          <w:rtl w:val="0"/>
        </w:rPr>
        <w:t xml:space="preserve">4. Záväzky Slovenskej republiky vo vzťahu k Európskej únii:</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t xml:space="preserve">Bezpredmetné</w:t>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b w:val="1"/>
        </w:rPr>
      </w:pPr>
      <w:r w:rsidDel="00000000" w:rsidR="00000000" w:rsidRPr="00000000">
        <w:rPr>
          <w:b w:val="1"/>
          <w:rtl w:val="0"/>
        </w:rPr>
        <w:t xml:space="preserve">5. Stupeň zlučiteľnosti návrhu právneho predpisu s právom Európskej únie:</w:t>
      </w:r>
    </w:p>
    <w:p w:rsidR="00000000" w:rsidDel="00000000" w:rsidP="00000000" w:rsidRDefault="00000000" w:rsidRPr="00000000" w14:paraId="00000017">
      <w:pPr>
        <w:jc w:val="both"/>
        <w:rPr>
          <w:b w:val="1"/>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t xml:space="preserve">Stupeň zlučiteľnosti - úplný</w:t>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r>
    </w:p>
    <w:p w:rsidR="00000000" w:rsidDel="00000000" w:rsidP="00000000" w:rsidRDefault="00000000" w:rsidRPr="00000000" w14:paraId="00000021">
      <w:pPr>
        <w:jc w:val="both"/>
        <w:rPr/>
      </w:pPr>
      <w:r w:rsidDel="00000000" w:rsidR="00000000" w:rsidRPr="00000000">
        <w:rPr>
          <w:rtl w:val="0"/>
        </w:rPr>
      </w:r>
    </w:p>
    <w:p w:rsidR="00000000" w:rsidDel="00000000" w:rsidP="00000000" w:rsidRDefault="00000000" w:rsidRPr="00000000" w14:paraId="00000022">
      <w:pPr>
        <w:jc w:val="both"/>
        <w:rPr/>
      </w:pPr>
      <w:r w:rsidDel="00000000" w:rsidR="00000000" w:rsidRPr="00000000">
        <w:rPr>
          <w:rtl w:val="0"/>
        </w:rPr>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pPr>
      <w:r w:rsidDel="00000000" w:rsidR="00000000" w:rsidRPr="00000000">
        <w:rPr>
          <w:rtl w:val="0"/>
        </w:rPr>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jc w:val="both"/>
        <w:rPr/>
      </w:pPr>
      <w:r w:rsidDel="00000000" w:rsidR="00000000" w:rsidRPr="00000000">
        <w:rPr>
          <w:rtl w:val="0"/>
        </w:rPr>
      </w:r>
    </w:p>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jc w:val="both"/>
        <w:rPr/>
      </w:pPr>
      <w:r w:rsidDel="00000000" w:rsidR="00000000" w:rsidRPr="00000000">
        <w:rPr>
          <w:rtl w:val="0"/>
        </w:rPr>
      </w:r>
    </w:p>
    <w:p w:rsidR="00000000" w:rsidDel="00000000" w:rsidP="00000000" w:rsidRDefault="00000000" w:rsidRPr="00000000" w14:paraId="00000029">
      <w:pPr>
        <w:jc w:val="both"/>
        <w:rPr/>
      </w:pPr>
      <w:r w:rsidDel="00000000" w:rsidR="00000000" w:rsidRPr="00000000">
        <w:rPr>
          <w:rtl w:val="0"/>
        </w:rPr>
      </w:r>
    </w:p>
    <w:p w:rsidR="00000000" w:rsidDel="00000000" w:rsidP="00000000" w:rsidRDefault="00000000" w:rsidRPr="00000000" w14:paraId="0000002A">
      <w:pPr>
        <w:jc w:val="both"/>
        <w:rPr/>
      </w:pPr>
      <w:r w:rsidDel="00000000" w:rsidR="00000000" w:rsidRPr="00000000">
        <w:rPr>
          <w:rtl w:val="0"/>
        </w:rPr>
      </w:r>
    </w:p>
    <w:p w:rsidR="00000000" w:rsidDel="00000000" w:rsidP="00000000" w:rsidRDefault="00000000" w:rsidRPr="00000000" w14:paraId="0000002B">
      <w:pPr>
        <w:jc w:val="both"/>
        <w:rPr/>
      </w:pPr>
      <w:r w:rsidDel="00000000" w:rsidR="00000000" w:rsidRPr="00000000">
        <w:rPr>
          <w:rtl w:val="0"/>
        </w:rPr>
      </w:r>
    </w:p>
    <w:p w:rsidR="00000000" w:rsidDel="00000000" w:rsidP="00000000" w:rsidRDefault="00000000" w:rsidRPr="00000000" w14:paraId="0000002C">
      <w:pPr>
        <w:jc w:val="both"/>
        <w:rPr/>
      </w:pPr>
      <w:r w:rsidDel="00000000" w:rsidR="00000000" w:rsidRPr="00000000">
        <w:rPr>
          <w:rtl w:val="0"/>
        </w:rPr>
      </w:r>
    </w:p>
    <w:p w:rsidR="00000000" w:rsidDel="00000000" w:rsidP="00000000" w:rsidRDefault="00000000" w:rsidRPr="00000000" w14:paraId="0000002D">
      <w:pPr>
        <w:jc w:val="both"/>
        <w:rPr/>
      </w:pPr>
      <w:r w:rsidDel="00000000" w:rsidR="00000000" w:rsidRPr="00000000">
        <w:rPr>
          <w:rtl w:val="0"/>
        </w:rPr>
      </w:r>
    </w:p>
    <w:p w:rsidR="00000000" w:rsidDel="00000000" w:rsidP="00000000" w:rsidRDefault="00000000" w:rsidRPr="00000000" w14:paraId="0000002E">
      <w:pPr>
        <w:jc w:val="both"/>
        <w:rPr/>
      </w:pPr>
      <w:r w:rsidDel="00000000" w:rsidR="00000000" w:rsidRPr="00000000">
        <w:rPr>
          <w:rtl w:val="0"/>
        </w:rPr>
      </w:r>
    </w:p>
    <w:p w:rsidR="00000000" w:rsidDel="00000000" w:rsidP="00000000" w:rsidRDefault="00000000" w:rsidRPr="00000000" w14:paraId="0000002F">
      <w:pPr>
        <w:jc w:val="both"/>
        <w:rPr/>
      </w:pPr>
      <w:r w:rsidDel="00000000" w:rsidR="00000000" w:rsidRPr="00000000">
        <w:rPr>
          <w:rtl w:val="0"/>
        </w:rPr>
      </w:r>
    </w:p>
    <w:p w:rsidR="00000000" w:rsidDel="00000000" w:rsidP="00000000" w:rsidRDefault="00000000" w:rsidRPr="00000000" w14:paraId="00000030">
      <w:pPr>
        <w:jc w:val="both"/>
        <w:rPr/>
      </w:pPr>
      <w:r w:rsidDel="00000000" w:rsidR="00000000" w:rsidRPr="00000000">
        <w:rPr>
          <w:rtl w:val="0"/>
        </w:rPr>
      </w:r>
    </w:p>
    <w:p w:rsidR="00000000" w:rsidDel="00000000" w:rsidP="00000000" w:rsidRDefault="00000000" w:rsidRPr="00000000" w14:paraId="00000031">
      <w:pPr>
        <w:rPr>
          <w:b w:val="1"/>
        </w:rPr>
      </w:pPr>
      <w:r w:rsidDel="00000000" w:rsidR="00000000" w:rsidRPr="00000000">
        <w:rPr>
          <w:rtl w:val="0"/>
        </w:rPr>
      </w:r>
    </w:p>
    <w:p w:rsidR="00000000" w:rsidDel="00000000" w:rsidP="00000000" w:rsidRDefault="00000000" w:rsidRPr="00000000" w14:paraId="00000032">
      <w:pPr>
        <w:jc w:val="center"/>
        <w:rPr>
          <w:b w:val="1"/>
        </w:rPr>
      </w:pPr>
      <w:r w:rsidDel="00000000" w:rsidR="00000000" w:rsidRPr="00000000">
        <w:rPr>
          <w:b w:val="1"/>
          <w:rtl w:val="0"/>
        </w:rPr>
        <w:t xml:space="preserve">DOLOŽKA VYBRANÝCH VPLYVOV</w:t>
      </w:r>
    </w:p>
    <w:p w:rsidR="00000000" w:rsidDel="00000000" w:rsidP="00000000" w:rsidRDefault="00000000" w:rsidRPr="00000000" w14:paraId="00000033">
      <w:pPr>
        <w:jc w:val="center"/>
        <w:rPr>
          <w:b w:val="1"/>
        </w:rPr>
      </w:pPr>
      <w:r w:rsidDel="00000000" w:rsidR="00000000" w:rsidRPr="00000000">
        <w:rPr>
          <w:rtl w:val="0"/>
        </w:rPr>
      </w:r>
    </w:p>
    <w:p w:rsidR="00000000" w:rsidDel="00000000" w:rsidP="00000000" w:rsidRDefault="00000000" w:rsidRPr="00000000" w14:paraId="00000034">
      <w:pPr>
        <w:jc w:val="both"/>
        <w:rPr/>
      </w:pPr>
      <w:r w:rsidDel="00000000" w:rsidR="00000000" w:rsidRPr="00000000">
        <w:rPr>
          <w:rtl w:val="0"/>
        </w:rPr>
        <w:t xml:space="preserve"> </w:t>
      </w:r>
    </w:p>
    <w:p w:rsidR="00000000" w:rsidDel="00000000" w:rsidP="00000000" w:rsidRDefault="00000000" w:rsidRPr="00000000" w14:paraId="00000035">
      <w:pPr>
        <w:jc w:val="both"/>
        <w:rPr>
          <w:b w:val="1"/>
        </w:rPr>
      </w:pPr>
      <w:r w:rsidDel="00000000" w:rsidR="00000000" w:rsidRPr="00000000">
        <w:rPr>
          <w:b w:val="1"/>
          <w:rtl w:val="0"/>
        </w:rPr>
        <w:t xml:space="preserve">A.1. Názov materiálu: </w:t>
      </w:r>
    </w:p>
    <w:p w:rsidR="00000000" w:rsidDel="00000000" w:rsidP="00000000" w:rsidRDefault="00000000" w:rsidRPr="00000000" w14:paraId="00000036">
      <w:pPr>
        <w:jc w:val="both"/>
        <w:rPr>
          <w:b w:val="1"/>
        </w:rPr>
      </w:pPr>
      <w:r w:rsidDel="00000000" w:rsidR="00000000" w:rsidRPr="00000000">
        <w:rPr>
          <w:rtl w:val="0"/>
        </w:rPr>
      </w:r>
    </w:p>
    <w:p w:rsidR="00000000" w:rsidDel="00000000" w:rsidP="00000000" w:rsidRDefault="00000000" w:rsidRPr="00000000" w14:paraId="00000037">
      <w:pPr>
        <w:jc w:val="both"/>
        <w:rPr>
          <w:rFonts w:ascii="Times" w:cs="Times" w:eastAsia="Times" w:hAnsi="Times"/>
          <w:color w:val="000000"/>
          <w:sz w:val="27"/>
          <w:szCs w:val="27"/>
        </w:rPr>
      </w:pPr>
      <w:r w:rsidDel="00000000" w:rsidR="00000000" w:rsidRPr="00000000">
        <w:rPr>
          <w:rtl w:val="0"/>
        </w:rPr>
        <w:t xml:space="preserve">Návrh zákona,</w:t>
      </w:r>
      <w:r w:rsidDel="00000000" w:rsidR="00000000" w:rsidRPr="00000000">
        <w:rPr>
          <w:color w:val="000000"/>
          <w:rtl w:val="0"/>
        </w:rPr>
        <w:t xml:space="preserve"> ktorým sa mení a dopĺňa zákon č. 300/2005 Z.z. Trestný zákon v znení neskorších predpisov.</w:t>
      </w:r>
      <w:r w:rsidDel="00000000" w:rsidR="00000000" w:rsidRPr="00000000">
        <w:rPr>
          <w:rtl w:val="0"/>
        </w:rPr>
      </w:r>
    </w:p>
    <w:p w:rsidR="00000000" w:rsidDel="00000000" w:rsidP="00000000" w:rsidRDefault="00000000" w:rsidRPr="00000000" w14:paraId="00000038">
      <w:pPr>
        <w:jc w:val="both"/>
        <w:rPr/>
      </w:pPr>
      <w:r w:rsidDel="00000000" w:rsidR="00000000" w:rsidRPr="00000000">
        <w:rPr>
          <w:rtl w:val="0"/>
        </w:rPr>
      </w:r>
    </w:p>
    <w:p w:rsidR="00000000" w:rsidDel="00000000" w:rsidP="00000000" w:rsidRDefault="00000000" w:rsidRPr="00000000" w14:paraId="00000039">
      <w:pPr>
        <w:jc w:val="both"/>
        <w:rPr>
          <w:b w:val="1"/>
        </w:rPr>
      </w:pPr>
      <w:r w:rsidDel="00000000" w:rsidR="00000000" w:rsidRPr="00000000">
        <w:rPr>
          <w:b w:val="1"/>
          <w:rtl w:val="0"/>
        </w:rPr>
        <w:t xml:space="preserve">A.2. Vplyvy:</w:t>
      </w:r>
    </w:p>
    <w:p w:rsidR="00000000" w:rsidDel="00000000" w:rsidP="00000000" w:rsidRDefault="00000000" w:rsidRPr="00000000" w14:paraId="0000003A">
      <w:pPr>
        <w:jc w:val="both"/>
        <w:rPr>
          <w:b w:val="1"/>
        </w:rPr>
      </w:pPr>
      <w:r w:rsidDel="00000000" w:rsidR="00000000" w:rsidRPr="00000000">
        <w:rPr>
          <w:b w:val="1"/>
          <w:rtl w:val="0"/>
        </w:rPr>
        <w:t xml:space="preserve"> </w:t>
      </w:r>
    </w:p>
    <w:tbl>
      <w:tblPr>
        <w:tblStyle w:val="Table1"/>
        <w:tblW w:w="90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467"/>
        <w:gridCol w:w="1190"/>
        <w:gridCol w:w="1178"/>
        <w:gridCol w:w="1190"/>
        <w:tblGridChange w:id="0">
          <w:tblGrid>
            <w:gridCol w:w="5467"/>
            <w:gridCol w:w="1190"/>
            <w:gridCol w:w="1178"/>
            <w:gridCol w:w="119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B">
            <w:pPr>
              <w:jc w:val="both"/>
              <w:rPr/>
            </w:pPr>
            <w:r w:rsidDel="00000000" w:rsidR="00000000" w:rsidRPr="00000000">
              <w:rPr>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C">
            <w:pPr>
              <w:jc w:val="center"/>
              <w:rPr/>
            </w:pPr>
            <w:r w:rsidDel="00000000" w:rsidR="00000000" w:rsidRPr="00000000">
              <w:rPr>
                <w:rtl w:val="0"/>
              </w:rPr>
              <w:t xml:space="preserve">Pozitívne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D">
            <w:pPr>
              <w:jc w:val="center"/>
              <w:rPr/>
            </w:pPr>
            <w:r w:rsidDel="00000000" w:rsidR="00000000" w:rsidRPr="00000000">
              <w:rPr>
                <w:rtl w:val="0"/>
              </w:rPr>
              <w:t xml:space="preserve">Žiadne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E">
            <w:pPr>
              <w:jc w:val="center"/>
              <w:rPr/>
            </w:pPr>
            <w:r w:rsidDel="00000000" w:rsidR="00000000" w:rsidRPr="00000000">
              <w:rPr>
                <w:rtl w:val="0"/>
              </w:rPr>
              <w:t xml:space="preserve">Negatívne</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F">
            <w:pPr>
              <w:jc w:val="both"/>
              <w:rPr/>
            </w:pPr>
            <w:r w:rsidDel="00000000" w:rsidR="00000000" w:rsidRPr="00000000">
              <w:rPr>
                <w:rtl w:val="0"/>
              </w:rPr>
              <w:t xml:space="preserve">1. Vplyvy na rozpočet verejnej správy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0">
            <w:pPr>
              <w:jc w:val="cente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1">
            <w:pPr>
              <w:jc w:val="center"/>
              <w:rPr>
                <w:highlight w:val="yellow"/>
              </w:rPr>
            </w:pPr>
            <w:r w:rsidDel="00000000" w:rsidR="00000000" w:rsidRPr="00000000">
              <w:rPr>
                <w:rtl w:val="0"/>
              </w:rPr>
              <w:t xml:space="preserve">X</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2">
            <w:pPr>
              <w:jc w:val="center"/>
              <w:rPr/>
            </w:pPr>
            <w:r w:rsidDel="00000000" w:rsidR="00000000" w:rsidRPr="00000000">
              <w:rPr>
                <w:rtl w:val="0"/>
              </w:rPr>
            </w:r>
          </w:p>
        </w:tc>
      </w:tr>
      <w:tr>
        <w:trPr>
          <w:cantSplit w:val="0"/>
          <w:trHeight w:val="5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3">
            <w:pPr>
              <w:jc w:val="both"/>
              <w:rPr/>
            </w:pPr>
            <w:r w:rsidDel="00000000" w:rsidR="00000000" w:rsidRPr="00000000">
              <w:rPr>
                <w:rtl w:val="0"/>
              </w:rPr>
              <w:t xml:space="preserve">2. Vplyvy na podnikateľské prostredie – dochádza k zvýšeniu regulačného zaťaženia?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4">
            <w:pPr>
              <w:jc w:val="cente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5">
            <w:pPr>
              <w:jc w:val="center"/>
              <w:rPr>
                <w:highlight w:val="yellow"/>
              </w:rPr>
            </w:pPr>
            <w:r w:rsidDel="00000000" w:rsidR="00000000" w:rsidRPr="00000000">
              <w:rPr>
                <w:rtl w:val="0"/>
              </w:rPr>
              <w:t xml:space="preserve">X</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6">
            <w:pPr>
              <w:jc w:val="center"/>
              <w:rPr/>
            </w:pPr>
            <w:r w:rsidDel="00000000" w:rsidR="00000000" w:rsidRPr="00000000">
              <w:rPr>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7">
            <w:pPr>
              <w:jc w:val="both"/>
              <w:rPr/>
            </w:pPr>
            <w:r w:rsidDel="00000000" w:rsidR="00000000" w:rsidRPr="00000000">
              <w:rPr>
                <w:rtl w:val="0"/>
              </w:rPr>
              <w:t xml:space="preserve">3. Sociálne vplyvy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8">
            <w:pPr>
              <w:jc w:val="center"/>
              <w:rPr/>
            </w:pPr>
            <w:r w:rsidDel="00000000" w:rsidR="00000000" w:rsidRPr="00000000">
              <w:rPr>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9">
            <w:pPr>
              <w:jc w:val="cente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A">
            <w:pPr>
              <w:jc w:val="center"/>
              <w:rPr/>
            </w:pPr>
            <w:r w:rsidDel="00000000" w:rsidR="00000000" w:rsidRPr="00000000">
              <w:rPr>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B">
            <w:pPr>
              <w:jc w:val="both"/>
              <w:rPr/>
            </w:pPr>
            <w:r w:rsidDel="00000000" w:rsidR="00000000" w:rsidRPr="00000000">
              <w:rPr>
                <w:rtl w:val="0"/>
              </w:rPr>
              <w:t xml:space="preserve">– vplyvy na hospodárenie obyvateľstva,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C">
            <w:pPr>
              <w:jc w:val="cente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D">
            <w:pPr>
              <w:jc w:val="center"/>
              <w:rPr/>
            </w:pPr>
            <w:r w:rsidDel="00000000" w:rsidR="00000000" w:rsidRPr="00000000">
              <w:rPr>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E">
            <w:pPr>
              <w:jc w:val="both"/>
              <w:rPr/>
            </w:pPr>
            <w:r w:rsidDel="00000000" w:rsidR="00000000" w:rsidRPr="00000000">
              <w:rPr>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F">
            <w:pPr>
              <w:jc w:val="both"/>
              <w:rPr/>
            </w:pPr>
            <w:r w:rsidDel="00000000" w:rsidR="00000000" w:rsidRPr="00000000">
              <w:rPr>
                <w:rtl w:val="0"/>
              </w:rPr>
              <w:t xml:space="preserve">– sociálnu exklúziu,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0">
            <w:pPr>
              <w:rPr/>
            </w:pPr>
            <w:r w:rsidDel="00000000" w:rsidR="00000000" w:rsidRPr="00000000">
              <w:rPr>
                <w:rtl w:val="0"/>
              </w:rPr>
              <w:t xml:space="preserve">        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1">
            <w:pPr>
              <w:jc w:val="cente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2">
            <w:pPr>
              <w:jc w:val="center"/>
              <w:rPr/>
            </w:pPr>
            <w:r w:rsidDel="00000000" w:rsidR="00000000" w:rsidRPr="00000000">
              <w:rPr>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3">
            <w:pPr>
              <w:jc w:val="both"/>
              <w:rPr/>
            </w:pPr>
            <w:r w:rsidDel="00000000" w:rsidR="00000000" w:rsidRPr="00000000">
              <w:rPr>
                <w:rtl w:val="0"/>
              </w:rPr>
              <w:t xml:space="preserve">– rovnosť príležitostí a rodovú rovnosť a vplyvy na zamestnanosť</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4">
            <w:pPr>
              <w:jc w:val="center"/>
              <w:rPr/>
            </w:pPr>
            <w:r w:rsidDel="00000000" w:rsidR="00000000" w:rsidRPr="00000000">
              <w:rPr>
                <w:rtl w:val="0"/>
              </w:rPr>
              <w:t xml:space="preserve">X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5">
            <w:pPr>
              <w:jc w:val="cente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6">
            <w:pPr>
              <w:jc w:val="center"/>
              <w:rPr/>
            </w:pPr>
            <w:r w:rsidDel="00000000" w:rsidR="00000000" w:rsidRPr="00000000">
              <w:rPr>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7">
            <w:pPr>
              <w:jc w:val="both"/>
              <w:rPr/>
            </w:pPr>
            <w:r w:rsidDel="00000000" w:rsidR="00000000" w:rsidRPr="00000000">
              <w:rPr>
                <w:rtl w:val="0"/>
              </w:rPr>
              <w:t xml:space="preserve">4. Vplyvy na životné prostredie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8">
            <w:pPr>
              <w:jc w:val="center"/>
              <w:rPr/>
            </w:pPr>
            <w:r w:rsidDel="00000000" w:rsidR="00000000" w:rsidRPr="00000000">
              <w:rPr>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tcPr>
          <w:p w:rsidR="00000000" w:rsidDel="00000000" w:rsidP="00000000" w:rsidRDefault="00000000" w:rsidRPr="00000000" w14:paraId="00000059">
            <w:pPr>
              <w:jc w:val="center"/>
              <w:rPr>
                <w:highlight w:val="yellow"/>
              </w:rPr>
            </w:pPr>
            <w:r w:rsidDel="00000000" w:rsidR="00000000" w:rsidRPr="00000000">
              <w:rPr>
                <w:rtl w:val="0"/>
              </w:rPr>
              <w:t xml:space="preserve">X</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A">
            <w:pPr>
              <w:jc w:val="center"/>
              <w:rPr/>
            </w:pPr>
            <w:r w:rsidDel="00000000" w:rsidR="00000000" w:rsidRPr="00000000">
              <w:rPr>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B">
            <w:pPr>
              <w:jc w:val="both"/>
              <w:rPr/>
            </w:pPr>
            <w:r w:rsidDel="00000000" w:rsidR="00000000" w:rsidRPr="00000000">
              <w:rPr>
                <w:rtl w:val="0"/>
              </w:rPr>
              <w:t xml:space="preserve">5. Vplyvy na informatizáciu spoločnosti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C">
            <w:pPr>
              <w:jc w:val="center"/>
              <w:rPr/>
            </w:pPr>
            <w:r w:rsidDel="00000000" w:rsidR="00000000" w:rsidRPr="00000000">
              <w:rPr>
                <w:rtl w:val="0"/>
              </w:rPr>
              <w:t xml:space="preserve"> </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05D">
            <w:pPr>
              <w:jc w:val="center"/>
              <w:rPr>
                <w:highlight w:val="yellow"/>
              </w:rPr>
            </w:pPr>
            <w:r w:rsidDel="00000000" w:rsidR="00000000" w:rsidRPr="00000000">
              <w:rPr>
                <w:rtl w:val="0"/>
              </w:rPr>
              <w:t xml:space="preserve">X</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E">
            <w:pPr>
              <w:jc w:val="center"/>
              <w:rPr/>
            </w:pPr>
            <w:r w:rsidDel="00000000" w:rsidR="00000000" w:rsidRPr="00000000">
              <w:rPr>
                <w:rtl w:val="0"/>
              </w:rPr>
              <w:t xml:space="preserve"> </w:t>
            </w:r>
          </w:p>
        </w:tc>
      </w:tr>
      <w:tr>
        <w:trPr>
          <w:cantSplit w:val="0"/>
          <w:trHeight w:val="30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F">
            <w:pPr>
              <w:jc w:val="both"/>
              <w:rPr/>
            </w:pPr>
            <w:r w:rsidDel="00000000" w:rsidR="00000000" w:rsidRPr="00000000">
              <w:rPr>
                <w:rtl w:val="0"/>
              </w:rPr>
              <w:t xml:space="preserve">6. Vplyvy na manželstvo, rodičovstvo a rodinu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0">
            <w:pPr>
              <w:jc w:val="center"/>
              <w:rPr/>
            </w:pPr>
            <w:r w:rsidDel="00000000" w:rsidR="00000000" w:rsidRPr="00000000">
              <w:rPr>
                <w:rtl w:val="0"/>
              </w:rPr>
              <w:t xml:space="preserve">X</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061">
            <w:pPr>
              <w:jc w:val="cente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2">
            <w:pPr>
              <w:jc w:val="center"/>
              <w:rPr/>
            </w:pPr>
            <w:r w:rsidDel="00000000" w:rsidR="00000000" w:rsidRPr="00000000">
              <w:rPr>
                <w:rtl w:val="0"/>
              </w:rPr>
            </w:r>
          </w:p>
        </w:tc>
      </w:tr>
      <w:tr>
        <w:trPr>
          <w:cantSplit w:val="0"/>
          <w:trHeight w:val="23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3">
            <w:pPr>
              <w:jc w:val="both"/>
              <w:rPr/>
            </w:pPr>
            <w:r w:rsidDel="00000000" w:rsidR="00000000" w:rsidRPr="00000000">
              <w:rPr>
                <w:rtl w:val="0"/>
              </w:rPr>
              <w:t xml:space="preserve">7. Vplyvy na služby verejnej správy pre občana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4">
            <w:pPr>
              <w:jc w:val="cente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065">
            <w:pPr>
              <w:jc w:val="center"/>
              <w:rPr>
                <w:highlight w:val="yellow"/>
              </w:rPr>
            </w:pPr>
            <w:r w:rsidDel="00000000" w:rsidR="00000000" w:rsidRPr="00000000">
              <w:rPr>
                <w:rtl w:val="0"/>
              </w:rPr>
              <w:t xml:space="preserve">X</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6">
            <w:pPr>
              <w:jc w:val="center"/>
              <w:rPr/>
            </w:pPr>
            <w:r w:rsidDel="00000000" w:rsidR="00000000" w:rsidRPr="00000000">
              <w:rPr>
                <w:rtl w:val="0"/>
              </w:rPr>
            </w:r>
          </w:p>
        </w:tc>
      </w:tr>
    </w:tbl>
    <w:p w:rsidR="00000000" w:rsidDel="00000000" w:rsidP="00000000" w:rsidRDefault="00000000" w:rsidRPr="00000000" w14:paraId="00000067">
      <w:pPr>
        <w:jc w:val="both"/>
        <w:rPr/>
      </w:pPr>
      <w:r w:rsidDel="00000000" w:rsidR="00000000" w:rsidRPr="00000000">
        <w:rPr>
          <w:rtl w:val="0"/>
        </w:rPr>
        <w:t xml:space="preserve"> </w:t>
      </w:r>
    </w:p>
    <w:p w:rsidR="00000000" w:rsidDel="00000000" w:rsidP="00000000" w:rsidRDefault="00000000" w:rsidRPr="00000000" w14:paraId="00000068">
      <w:pPr>
        <w:jc w:val="both"/>
        <w:rPr>
          <w:b w:val="1"/>
        </w:rPr>
      </w:pPr>
      <w:r w:rsidDel="00000000" w:rsidR="00000000" w:rsidRPr="00000000">
        <w:rPr>
          <w:b w:val="1"/>
          <w:rtl w:val="0"/>
        </w:rPr>
        <w:t xml:space="preserve">A.3. Poznámky</w:t>
      </w:r>
    </w:p>
    <w:p w:rsidR="00000000" w:rsidDel="00000000" w:rsidP="00000000" w:rsidRDefault="00000000" w:rsidRPr="00000000" w14:paraId="00000069">
      <w:pPr>
        <w:jc w:val="both"/>
        <w:rPr>
          <w:b w:val="1"/>
        </w:rPr>
      </w:pPr>
      <w:r w:rsidDel="00000000" w:rsidR="00000000" w:rsidRPr="00000000">
        <w:rPr>
          <w:rtl w:val="0"/>
        </w:rPr>
      </w:r>
    </w:p>
    <w:p w:rsidR="00000000" w:rsidDel="00000000" w:rsidP="00000000" w:rsidRDefault="00000000" w:rsidRPr="00000000" w14:paraId="0000006A">
      <w:pPr>
        <w:jc w:val="both"/>
        <w:rPr/>
      </w:pPr>
      <w:bookmarkStart w:colFirst="0" w:colLast="0" w:name="_heading=h.gjdgxs" w:id="0"/>
      <w:bookmarkEnd w:id="0"/>
      <w:r w:rsidDel="00000000" w:rsidR="00000000" w:rsidRPr="00000000">
        <w:rPr>
          <w:rtl w:val="0"/>
        </w:rPr>
        <w:t xml:space="preserve">Toto opatrenie bude mať pozitívny vplyv na celú spoločnosť, ktorá musí rodovo-podmienené násilie, páchané prevažne no nie výlučne na ženách, a jeho najčastejšiu formu - domáce násilie - jasne odsúdiť. </w:t>
      </w:r>
      <w:r w:rsidDel="00000000" w:rsidR="00000000" w:rsidRPr="00000000">
        <w:rPr>
          <w:rtl w:val="0"/>
        </w:rPr>
        <w:t xml:space="preserve">Slovenský právny poriadok zatiaľ neponúka primeranú odpoveď na domáce násilie. Nepozná trestnoprávnu definíciu domáceho násilia, napokon nie je definovaný ani pojem násilie. Navrhovaná úprava tak ponúka efektívny nástroj na postihovanie páchateľov domáceho násilia, ktorý zvýši dôveru obetí a preživších v právny systém a jeho ochranu a prispeje k zvýšeniu oznamovania domáceho násilia. </w:t>
      </w:r>
      <w:r w:rsidDel="00000000" w:rsidR="00000000" w:rsidRPr="00000000">
        <w:rPr>
          <w:rtl w:val="0"/>
        </w:rPr>
        <w:t xml:space="preserve">Zároveň má návrh zákona pozitívny vplyv na postavenie žien v spoločnosti.</w:t>
      </w: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jc w:val="both"/>
        <w:rPr>
          <w:b w:val="1"/>
        </w:rPr>
      </w:pPr>
      <w:r w:rsidDel="00000000" w:rsidR="00000000" w:rsidRPr="00000000">
        <w:rPr>
          <w:b w:val="1"/>
          <w:rtl w:val="0"/>
        </w:rPr>
        <w:t xml:space="preserve">A.4. Alternatívne riešenia</w:t>
      </w:r>
    </w:p>
    <w:p w:rsidR="00000000" w:rsidDel="00000000" w:rsidP="00000000" w:rsidRDefault="00000000" w:rsidRPr="00000000" w14:paraId="0000006D">
      <w:pPr>
        <w:jc w:val="both"/>
        <w:rPr>
          <w:b w:val="1"/>
        </w:rPr>
      </w:pPr>
      <w:r w:rsidDel="00000000" w:rsidR="00000000" w:rsidRPr="00000000">
        <w:rPr>
          <w:rtl w:val="0"/>
        </w:rPr>
      </w:r>
    </w:p>
    <w:p w:rsidR="00000000" w:rsidDel="00000000" w:rsidP="00000000" w:rsidRDefault="00000000" w:rsidRPr="00000000" w14:paraId="0000006E">
      <w:pPr>
        <w:jc w:val="both"/>
        <w:rPr/>
      </w:pPr>
      <w:r w:rsidDel="00000000" w:rsidR="00000000" w:rsidRPr="00000000">
        <w:rPr>
          <w:rtl w:val="0"/>
        </w:rPr>
        <w:t xml:space="preserve">Nepredkladajú sa.</w:t>
      </w:r>
    </w:p>
    <w:p w:rsidR="00000000" w:rsidDel="00000000" w:rsidP="00000000" w:rsidRDefault="00000000" w:rsidRPr="00000000" w14:paraId="0000006F">
      <w:pPr>
        <w:jc w:val="both"/>
        <w:rPr/>
      </w:pPr>
      <w:r w:rsidDel="00000000" w:rsidR="00000000" w:rsidRPr="00000000">
        <w:rPr>
          <w:rtl w:val="0"/>
        </w:rPr>
      </w:r>
    </w:p>
    <w:p w:rsidR="00000000" w:rsidDel="00000000" w:rsidP="00000000" w:rsidRDefault="00000000" w:rsidRPr="00000000" w14:paraId="00000070">
      <w:pPr>
        <w:jc w:val="both"/>
        <w:rPr>
          <w:b w:val="1"/>
        </w:rPr>
      </w:pPr>
      <w:r w:rsidDel="00000000" w:rsidR="00000000" w:rsidRPr="00000000">
        <w:rPr>
          <w:b w:val="1"/>
          <w:rtl w:val="0"/>
        </w:rPr>
        <w:t xml:space="preserve">A.5. Stanovisko gestorov</w:t>
      </w:r>
    </w:p>
    <w:p w:rsidR="00000000" w:rsidDel="00000000" w:rsidP="00000000" w:rsidRDefault="00000000" w:rsidRPr="00000000" w14:paraId="00000071">
      <w:pPr>
        <w:jc w:val="both"/>
        <w:rPr>
          <w:b w:val="1"/>
        </w:rPr>
      </w:pPr>
      <w:r w:rsidDel="00000000" w:rsidR="00000000" w:rsidRPr="00000000">
        <w:rPr>
          <w:rtl w:val="0"/>
        </w:rPr>
      </w:r>
    </w:p>
    <w:p w:rsidR="00000000" w:rsidDel="00000000" w:rsidP="00000000" w:rsidRDefault="00000000" w:rsidRPr="00000000" w14:paraId="00000072">
      <w:pPr>
        <w:jc w:val="both"/>
        <w:rPr/>
      </w:pPr>
      <w:r w:rsidDel="00000000" w:rsidR="00000000" w:rsidRPr="00000000">
        <w:rPr>
          <w:rtl w:val="0"/>
        </w:rPr>
        <w:t xml:space="preserve">Návrh zákona bol zaslaný na vyjadrenie Ministerstvu financií Slovenskej republiky a Ministerstvu hospodárstva Slovenskej republiky a ich stanovisko tvorí súčasť predkladaného materiálu.</w:t>
      </w:r>
    </w:p>
    <w:p w:rsidR="00000000" w:rsidDel="00000000" w:rsidP="00000000" w:rsidRDefault="00000000" w:rsidRPr="00000000" w14:paraId="00000073">
      <w:pPr>
        <w:jc w:val="both"/>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fr-F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276" w:lineRule="auto"/>
    </w:pPr>
    <w:rPr>
      <w:rFonts w:ascii="Arial" w:cs="Arial" w:eastAsia="Arial" w:hAnsi="Arial"/>
      <w:b w:val="1"/>
      <w:sz w:val="48"/>
      <w:szCs w:val="48"/>
    </w:rPr>
  </w:style>
  <w:style w:type="paragraph" w:styleId="Heading2">
    <w:name w:val="heading 2"/>
    <w:basedOn w:val="Normal"/>
    <w:next w:val="Normal"/>
    <w:pPr>
      <w:keepNext w:val="1"/>
      <w:keepLines w:val="1"/>
      <w:spacing w:after="80" w:before="360" w:line="276" w:lineRule="auto"/>
    </w:pPr>
    <w:rPr>
      <w:rFonts w:ascii="Arial" w:cs="Arial" w:eastAsia="Arial" w:hAnsi="Arial"/>
      <w:b w:val="1"/>
      <w:sz w:val="36"/>
      <w:szCs w:val="36"/>
    </w:rPr>
  </w:style>
  <w:style w:type="paragraph" w:styleId="Heading3">
    <w:name w:val="heading 3"/>
    <w:basedOn w:val="Normal"/>
    <w:next w:val="Normal"/>
    <w:pPr>
      <w:keepNext w:val="1"/>
      <w:keepLines w:val="1"/>
      <w:spacing w:after="80" w:before="280" w:line="276" w:lineRule="auto"/>
    </w:pPr>
    <w:rPr>
      <w:rFonts w:ascii="Arial" w:cs="Arial" w:eastAsia="Arial" w:hAnsi="Arial"/>
      <w:b w:val="1"/>
      <w:sz w:val="28"/>
      <w:szCs w:val="28"/>
    </w:rPr>
  </w:style>
  <w:style w:type="paragraph" w:styleId="Heading4">
    <w:name w:val="heading 4"/>
    <w:basedOn w:val="Normal"/>
    <w:next w:val="Normal"/>
    <w:pPr>
      <w:keepNext w:val="1"/>
      <w:keepLines w:val="1"/>
      <w:spacing w:after="40" w:before="240" w:line="276" w:lineRule="auto"/>
    </w:pPr>
    <w:rPr>
      <w:rFonts w:ascii="Arial" w:cs="Arial" w:eastAsia="Arial" w:hAnsi="Arial"/>
      <w:b w:val="1"/>
    </w:rPr>
  </w:style>
  <w:style w:type="paragraph" w:styleId="Heading5">
    <w:name w:val="heading 5"/>
    <w:basedOn w:val="Normal"/>
    <w:next w:val="Normal"/>
    <w:pPr>
      <w:keepNext w:val="1"/>
      <w:keepLines w:val="1"/>
      <w:spacing w:after="40" w:before="220" w:line="276" w:lineRule="auto"/>
    </w:pPr>
    <w:rPr>
      <w:rFonts w:ascii="Arial" w:cs="Arial" w:eastAsia="Arial" w:hAnsi="Arial"/>
      <w:b w:val="1"/>
      <w:sz w:val="22"/>
      <w:szCs w:val="22"/>
    </w:rPr>
  </w:style>
  <w:style w:type="paragraph" w:styleId="Heading6">
    <w:name w:val="heading 6"/>
    <w:basedOn w:val="Normal"/>
    <w:next w:val="Normal"/>
    <w:pPr>
      <w:keepNext w:val="1"/>
      <w:keepLines w:val="1"/>
      <w:spacing w:after="40" w:before="200" w:line="276" w:lineRule="auto"/>
    </w:pPr>
    <w:rPr>
      <w:rFonts w:ascii="Arial" w:cs="Arial" w:eastAsia="Arial" w:hAnsi="Arial"/>
      <w:b w:val="1"/>
      <w:sz w:val="20"/>
      <w:szCs w:val="20"/>
    </w:rPr>
  </w:style>
  <w:style w:type="paragraph" w:styleId="Title">
    <w:name w:val="Title"/>
    <w:basedOn w:val="Normal"/>
    <w:next w:val="Normal"/>
    <w:pPr>
      <w:keepNext w:val="1"/>
      <w:keepLines w:val="1"/>
      <w:spacing w:after="120" w:before="480" w:line="276" w:lineRule="auto"/>
    </w:pPr>
    <w:rPr>
      <w:rFonts w:ascii="Arial" w:cs="Arial" w:eastAsia="Arial" w:hAnsi="Arial"/>
      <w:b w:val="1"/>
      <w:sz w:val="72"/>
      <w:szCs w:val="72"/>
    </w:rPr>
  </w:style>
  <w:style w:type="paragraph" w:styleId="Subtitle">
    <w:name w:val="Subtitle"/>
    <w:basedOn w:val="Normal"/>
    <w:next w:val="Normal"/>
    <w:pPr>
      <w:keepNext w:val="1"/>
      <w:keepLines w:val="1"/>
      <w:spacing w:after="80" w:before="360" w:line="276"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sqS4LpytlMDRQci75MiHYe2WHQ==">CgMxLjAyCGguZ2pkZ3hzOAByITFTMGtJekxBMzZwM1hDaXQ2R0g4STVudU5tS1hOM09haQ==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