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NÁRODNÁ RADA SLOVENSKEJ REPUBLIKY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IX.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volebné obdobie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NÁVRH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ZÁKON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 .............. 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ktorým sa mení a dopĺňa zákon č. 300/2005 Z.z. Trestný zákon v znení neskorších predpisov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Národná rada Slovenskej republiky sa uzniesla na tomto zákone: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center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Čl.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jc w:val="both"/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Zákon č. 300/2005 Z. z. Trestný zákon v znení zákona č. 650/2005 Z. z., zákona č. 692/2006 Z. z., zákona č. 218/2007 Z. z., zákona č. 491/2008 Z. z., zákona č. 497/2008 Z. z., zákona č. 498/2008 Z. z., zákona č. 59/2009 Z. z., zákona č. 257/2009 Z. z., zákona č. 317/2009 Z. z., zákona č. 492/2009 Z. z., zákona č. 576/2009 Z. z., zákona č. 224/2010 Z. z., zákona č. 547/2010 Z. z., zákona č. 33/2011 Z. z., zákona č. 262/2011 Z. z., zákona č. 313/2011 Z. z., zákona č. 246/2012 Z. z., zákona č. 334/2012 Z. z., zákona č. 428/2012 Z. z., zákona č. 428/2012 Z. z., zákona č. 189/2013 Z. z., zákona č. 204/2013 Z. z., zákona č. 1/2014 Z. z., zákona č. 260/2014 Z. z., zákona č. 73/2015 Z. z., zákona č. 78/2015 Z. z., zákona č. 87/2015 Z. z., zákona č. 174/2015 Z. z., zákona č. 397/2015 Z. z., zákona č. 398/2015 Z. z., zákona č. 440/2015 Z. z., zákona č. 444/2015 Z. z., zákona č. 91/2016 Z. z., zákona č. 125/2016 Z. z., zákona č. 316/2016 Z. z., zákona č. 264/2017 Z. z., zákona č. 274/2017 Z. z., zákona č. 161/2018 Z. z., zákona č. 321/2018 Z. z., zákona č. 35/2019 Z. z., zákona č. 38/2019 Z. z., zákona č. 214/2019 Z. z., zákona č. 420/2019 Z. z., zákona č. 474/2019 Z. z., zákona č. 288/2020 Z. z., zákona č. 312/2020 Z. z., zákona č. 236/2021 Z. z., zákona č. 357/2021 Z. z, zákona č. 105/2022 Z. z, zákona č. 111/2022 Z. z, zákona č. 117/2023 Z. z, zákona č. 402/2023 Z. z a mení a dopĺňa takto: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jc w:val="both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V § 127 ods. 5 sa za slová „týrania blízkej osoby a zverenej osoby podľa § 208” vkladá čiarka a slová „domáceho násilia podľa § 208a”.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720" w:hanging="360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Za § 208 sa vkladá § 208a, ktorý vrátane nadpisu znie : 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„§ 208a</w:t>
      </w:r>
    </w:p>
    <w:p w:rsidR="00000000" w:rsidDel="00000000" w:rsidP="00000000" w:rsidRDefault="00000000" w:rsidRPr="00000000" w14:paraId="0000001A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Domáce násilie</w:t>
      </w:r>
    </w:p>
    <w:p w:rsidR="00000000" w:rsidDel="00000000" w:rsidP="00000000" w:rsidRDefault="00000000" w:rsidRPr="00000000" w14:paraId="0000001C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firstLine="708"/>
        <w:jc w:val="both"/>
        <w:rPr>
          <w:rFonts w:ascii="Times New Roman" w:cs="Times New Roman" w:eastAsia="Times New Roman" w:hAnsi="Times New Roman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(1) Kto na blízkej osobe alebo inej osobe v rodinnom alebo obdobnom pomere, spôsoboval alebo spôsobuje fyzické, sexuálne, psychické, emočné násilie alebo utrpenie, ekonomickú škodu, narúša dôstojnosť osoby či vytvára zastrašujúcu, nepriateľskú, zahanbujúcu, ponižujúce a urážlivú atmosféru, vrátane vyhrážania sa takýmito činmi, ktoré majú za následok neslobodné rozhodovanie a konanie obete v rozpore s jej slobodnou vôľou sa potrestá odňatím slobody na jeden až tri roky.</w:t>
      </w:r>
    </w:p>
    <w:p w:rsidR="00000000" w:rsidDel="00000000" w:rsidP="00000000" w:rsidRDefault="00000000" w:rsidRPr="00000000" w14:paraId="0000001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(2) Kto spácha čin uvedený v odseku 1 v prítomnosti maloletého dieťaťa sa potrestá odňatím slobody na dva až štyri roky.”</w:t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jc w:val="center"/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rtl w:val="0"/>
        </w:rPr>
        <w:t xml:space="preserve">Čl. II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  <w:b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" w:cs="Times" w:eastAsia="Times" w:hAnsi="Times"/>
          <w:color w:val="000000"/>
          <w:sz w:val="27"/>
          <w:szCs w:val="27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Tento zákon nadobúda účinnosť 1.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júna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202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4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rtl w:val="0"/>
        </w:rPr>
        <w:t xml:space="preserve">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sectPr>
      <w:pgSz w:h="16840" w:w="11900" w:orient="portrait"/>
      <w:pgMar w:bottom="1417" w:top="141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Time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fr-F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yPh7FkEvsGgaGRONxDImLFR1DoA==">CgMxLjAyCGguZ2pkZ3hzOAByITFsLXR1MTUya3J1RXdpVnVCNXJjN2c4UzQ0MlU4bzBqRw==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