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CC5F" w14:textId="77777777" w:rsidR="007805F5" w:rsidRDefault="007805F5" w:rsidP="007805F5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14:paraId="38AF2A56" w14:textId="77777777" w:rsidR="007805F5" w:rsidRDefault="007805F5" w:rsidP="007805F5">
      <w:pPr>
        <w:keepNext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IX. volebné obdobie</w:t>
      </w:r>
    </w:p>
    <w:p w14:paraId="32F7E635" w14:textId="77777777" w:rsidR="007805F5" w:rsidRDefault="007805F5" w:rsidP="0078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B47453C" w14:textId="77777777" w:rsidR="007805F5" w:rsidRDefault="007805F5" w:rsidP="0078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7A49BC5" w14:textId="77777777" w:rsidR="007805F5" w:rsidRDefault="007805F5" w:rsidP="00780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50F89335" w14:textId="68D40294" w:rsidR="007805F5" w:rsidRPr="007805F5" w:rsidRDefault="007805F5" w:rsidP="007805F5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7805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ávrh</w:t>
      </w:r>
    </w:p>
    <w:p w14:paraId="6B342C65" w14:textId="77777777" w:rsidR="007805F5" w:rsidRPr="007805F5" w:rsidRDefault="007805F5" w:rsidP="007805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B981E38" w14:textId="77777777" w:rsidR="007805F5" w:rsidRDefault="007805F5" w:rsidP="00780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CC2A2E" w14:textId="6ECEA6D5" w:rsidR="007805F5" w:rsidRPr="007805F5" w:rsidRDefault="007805F5" w:rsidP="0078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805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 Á K O N</w:t>
      </w:r>
    </w:p>
    <w:p w14:paraId="24EF98AA" w14:textId="77777777" w:rsidR="007805F5" w:rsidRDefault="007805F5" w:rsidP="00780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2F6CEB" w14:textId="77777777" w:rsidR="007805F5" w:rsidRDefault="007805F5" w:rsidP="00780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7AE667" w14:textId="40BCCC5A" w:rsidR="007805F5" w:rsidRDefault="007805F5" w:rsidP="00780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 .................. 2024,</w:t>
      </w:r>
    </w:p>
    <w:p w14:paraId="19E5C008" w14:textId="77777777" w:rsidR="007805F5" w:rsidRDefault="007805F5" w:rsidP="007805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19D3DF9" w14:textId="77777777" w:rsidR="007805F5" w:rsidRDefault="007805F5" w:rsidP="007805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E04B8BE" w14:textId="06522792" w:rsidR="007805F5" w:rsidRPr="007805F5" w:rsidRDefault="007805F5" w:rsidP="007805F5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805F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ktorým sa mení z</w:t>
      </w:r>
      <w:r w:rsidRPr="007805F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ákon Národnej rady Slovenskej republiky č. 145/1995 Z. z. o správnych poplatkoch v znení neskorších predpisov</w:t>
      </w:r>
    </w:p>
    <w:p w14:paraId="36300F97" w14:textId="77777777" w:rsidR="007805F5" w:rsidRDefault="007805F5" w:rsidP="007805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10FCD30" w14:textId="77777777" w:rsidR="007805F5" w:rsidRDefault="007805F5" w:rsidP="007805F5">
      <w:pPr>
        <w:pStyle w:val="Bezriadkovania"/>
        <w:ind w:firstLine="708"/>
      </w:pPr>
      <w:r>
        <w:t xml:space="preserve">Národná rada Slovenskej republiky sa uzniesla na tomto zákone:  </w:t>
      </w:r>
    </w:p>
    <w:p w14:paraId="063FB030" w14:textId="77777777" w:rsidR="007805F5" w:rsidRDefault="007805F5" w:rsidP="00780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770A19D" w14:textId="77777777" w:rsidR="003435E2" w:rsidRDefault="003435E2" w:rsidP="00635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361BCF8C" w14:textId="518CF3C5" w:rsidR="006358D0" w:rsidRPr="003227D1" w:rsidRDefault="006358D0" w:rsidP="00635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3227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Čl. I</w:t>
      </w:r>
    </w:p>
    <w:p w14:paraId="63F5F185" w14:textId="2873DBC2" w:rsidR="006358D0" w:rsidRPr="00CD4AC7" w:rsidRDefault="006358D0" w:rsidP="003435E2">
      <w:pPr>
        <w:autoSpaceDE w:val="0"/>
        <w:autoSpaceDN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27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Národnej rady Slovenskej republiky č. 145/1995 Z. z. o správnych poplatkoch v znení zákona Národnej rady Slovenskej republiky č. 123/1996 Z. z., zákona Národnej rady Slovenskej republiky č. 224/1996 Z. z., zákona č. 70/1997 Z. z., zákona č. 1/1998 Z. z., zákona č. 232/1999 Z. z., zákona č. 3/2000 Z. z., zákona č. 142/2000 Z. z., zákona č. 211/2000 Z. z., zákona č. 468/2000 Z. z., zákona č. 553/2001 Z. z., zákona č. 96/2002 Z. z., zákona č. 118/2002 Z. z., zákona č. 215/2002 Z. z., zákona č. 237/2002 Z. z., zákona č. 418/2002 Z. z., zákona č. 457/2002 Z. z., zákona č. 465/2002 Z. z. , zákona č. 477/2002 Z. z., zákona č. 480/2002 Z. z., zákona č. 190/2003 Z. z., zákona č. 217/2003 Z. z., zákona č. 245/2003 Z. z., zákona č. 450/2003 Z. z., zákona č. 469/2003 Z. z., zákona č. 583/2003 Z. z., zákona č. 5/2004 Z. z., zákona č. 199/2004 Z. z., zákona č. 204/2004 Z. z., zákona č. 347/2004 Z. z., zákona č. 382/2004 Z. z., zákona č. 434/2004 Z. z., zákona č. 533/2004 Z. z., zákona č. 541/2004 Z. z., zákona č. 572/2004 Z. z., zákona č. 578/2004 Z. z., zákona č. 581/2004 Z. z. , zákona č. 633/2004 Z. z., zákona č. 653/2004 Z. z., zákona č. 656/2004 Z. z., zákona č. 725/2004 Z. z., zákona č. 5/2005 Z. z., zákona č. 8/2005 Z. z., zákona č. 15/2005 Z. z., zákona č. 93/2005 Z. z., zákona č. 171/2005 Z. z., zákona č. 308/2005 Z. z., zákona č. 331/2005 Z. z., zákona č. 341/2005 Z. z., zákona č. 342/2005 Z. z., zákona č. 473/2005 Z. z., zákona č. 491/2005 Z. z. , zákona č. 538/2005 Z. z., zákona č. 558/2005 Z. z., zákona č. 572/2005 Z. z., zákona č. 573/2005 Z. z., zákona č. 610/2005 Z. z., zákona č. 14/2006 Z. z., zákona č. 15/2006 Z. z., zákona č. 24/2006 Z. z., zákona č. 117/2006 Z. z., zákona č. 124/2006 Z. z., zákona č. 126/2006 Z. z., zákona č. 224/2006 Z. z., zákona č. 342/2006 Z. z., zákona č. 672/2006 Z. z., zákona č. 693/2006 Z. z., zákona č. 21/2007 Z. z., zákona č. 43/2007 Z. z., zákona č. 95/2007 Z. z., zákona č. 193/2007 Z. z., zákona č. 220/2007 Z. z., zákona č. 279/2007 Z. z., zákona č. 295/2007 Z. z., zákona č. 309/2007 Z. z., zákona č. 342/2007 Z. z., zákona č. 343/2007 Z. z., zákona č. 344/2007 Z. z., zákona č. 355/2007 Z. z., zákona č. 358/2007 Z. z., zákona č. 359/2007 Z. z., zákona č. 460/2007 Z. z., zákona č. 517/2007 Z. z., zákona č. 537/2007 Z. z., zákona č. 548/2007 Z. z., zákona č. 571/2007 Z. z., zákona č. 577/2007 Z. z., zákona č. 647/2007 Z. z., zákona č. 661/2007 Z. z., zákona č. 92/2008 Z. z., zákona č. 112/2008 Z. z., zákona č. 167/2008 Z. z., zákona č. 214/2008 Z. z., zákona č. 264/2008 Z. z., zákona č. </w:t>
      </w:r>
      <w:r w:rsidRPr="003227D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405/2008 Z. z., zákona č. 408/2008 Z. z., zákona č. 451/2008 Z. z., zákona č. 465/2008 Z. z., zákona č. 495/2008 Z. z., zákona č. 514/2008 Z. z., zákona č. 8/2009 Z. z., zákona č. 45/2009 Z. z., zákona č. 188/2009 Z. z., zákona č. 191/2009 Z. z., zákona č. 274/2009 Z. z., zákona č. 292/2009 Z. z., zákona č. 304/2009 Z. z., zákona č. 305/2009 Z. z., zákona č. 307/2009 Z. z., zákona č. 465/2009 Z. z., zákona č. 478/2009 Z. z., zákona č. 513/2009 Z. z., zákona č. 568/2009 Z. z., zákona č. 570/2009 Z. z., zákona č. 594/2009 Z. z., zákona č. 67/2010 Z. z., zákona č. 92/2010 Z. z., zákona č. 136/2010 Z. z., zákona č. 144/2010 Z. z., zákona č. 514/2010 Z. z., zákona č. 556/2010 Z. z., zákona č. 39/2011 Z. z., zákona č. 119/2011 Z. z., zákona č. 200/2011 Z. z., zákona č. 223/2011 Z. z., zákona č. 254/2011 Z. z., zákona č. 256/2011 Z. z., zákona č. 258/2011 Z. z., zákona č. 324/2011 Z. z., zákona č. 342/2011 Z. z., zákona č. 363/2011 Z. z., zákona č. 381/2011 Z. z., zákona č. 392/2011 Z. z., zákona č. 404/2011 Z. z., zákona č. 405/2011 Z. z., zákona č. 409/2011 Z. z., zákona č. 519/2011 Z. z., zákona č. 547/2011 Z. z., zákona č. 49/2012 Z. z., zákona č. 96/2012 Z. z., zákona č. 251/2012 Z. z., zákona č. 286/2012 Z. z., zákona č. 336/2012 Z. z., zákona č. 339/2012 Z. z., zákona č. 351/2012 Z. z., zákona č. 439/2012 Z. z., zákona č. 447/2012 Z. z., zákona č. 459/2012 Z. z., zákona č. 8/2013 Z. z., zákona č. 39/2013 Z. z., zákona č. 40/2013 Z. z., zákona č. 72/2013 Z. z., zákona č. 75/2013 Z. z., zákona č. 94/2013 Z. z., zákona č. 96/2013 Z. z., zákona č. 122/2013 Z. z., zákona č. 144/2013 Z. z., zákona č. 154/2013 Z. z., zákona č. 213/2013 Z. z., zákona č. 311/2013 Z. z., zákona č. 319/2013 Z. z., zákona č. 347/2013 Z. z., zákona č. 387/2013 Z. z., zákona č. 388/2013 Z. z., zákona č. 474/2013 Z. z., zákona č. 506/2013 Z. z., zákona č. 35/2014 Z. z., zákona č. 58/2014 Z. z., zákona č. 84/2014 Z. z., zákona č. 152/2014 Z. z., zákona č. 162/2014 Z. z., zákona č. 182/2014 Z. z., zákona č. 204/2014 Z. z., zákona č. 262/2014 Z. z., zákona č. 293/2014 Z. z., zákona č. 335/2014 Z. z., zákona č. 399/2014 Z. z., </w:t>
      </w:r>
      <w:r w:rsidRPr="003227D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zákona č. 40/2015 Z. z., zákona č. 79/2015 Z. z., zákona č. 120/2015 Z. z., zákona č. 128/2015 Z. z., zákona č. 129/2015 Z. z., zákona č. 247/2015 Z. z., zákona č. 253/2015 Z. z., zákona č. 259/2015 Z. z., zákona č. 262/2015 Z. z., zákona č. 273/2015 Z. z., zákona č. 387/2015 Z. z., zákona č. 403/2015 Z. z., zákona č. 125/2016 Z. z., </w:t>
      </w:r>
      <w:r w:rsidRPr="003227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zákona č. 272/2016 Z. z., zákona č. 342/2016 Z. z., zákona č. 386/2016 Z. z., zákona č. 51/2017 Z. z., zákona č. 238/2017 Z. z., zákona č. 242/2017 Z. z., zákona č. 276/2017 Z. z., zákona č. 292/2017 Z. z., zákona č. 293/2017 Z. z., zákona č. 336/2017 Z. z., zákona č. 17/2018 Z. z., zákona č. 18/2018 Z. z. zákona č. 49/2018 Z. z., zákona č. 52/2018 Z. z., zákona č. 56/2018 Z. z., zákona č. 87/2018 Z. z., zákona č. 106/2018 Z. z., zákona č. 108/2018 Z. z., zákona č. 110/2018 Z. z., zákona č. 156/2018 Z. z., zákona č. 157/2018 Z. z., zákona č. 212/2018 Z. z., zákona č. 215/2018 Z. z., zákona č. 284/2018 Z. z., zákona č. 312/2018 Z. z., zákona č. 346/2018 Z. z., zákona č. 9/2019 Z. z., zákona č. 30/2019 Z. z., zákona č. 150/2019 Z. z.</w:t>
      </w:r>
      <w:r w:rsidRPr="003227D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zákona č. 156/2019 Z. z., zákona č. 158/2019 Z. z., zákona č. 211/2019 Z. z., zákona č. 213/2019 Z. z., zákona č. 216/2019 Z. z., zákona č. 221/2019 Z. z., zákona č. 234/2019 Z. z., zákona č. 356/2019 Z. z., zákona č. 364/2019 Z. z., zákona č. 383/2019 Z. z., zákona č. 386/2019 Z. z., zákona č. 390/2019 Z. z., zákona č. 395/2019 Z. z., zákona č. 460/2019 Z. z., zákona č. 165/2020 Z. z., 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</w:t>
      </w:r>
      <w:r w:rsidRPr="003227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404/2021 Z. z., zákona č. 455/2021 Z. z., zákona č. 490/2021 Z. z., zákona č. 500/2021 Z. z., zákona č. 532/2021 Z. z., zákona č. 540/2021 Z. z., zákona č. 111/2022 Z. z., zákona č. 114/2022 Z. z., zákona č. 122/2022 Z. z., zákona č. 180/2022 Z. z., zákona č. 181/2022 Z. z., zákona č. 246/2022 Z. z., zákona č. 249/2022 Z. z., zákona č. 253/2022 Z. z., zákona č.264/2022 Z. z., zákona č. 265/2022 Z. z., zákona č. 266/2022 Z. z., zákona č. 325/2022 Z. z., zákona č. 408/2022 Z. z., zákona č. 427/2022 Z. z., zákona č.429/2022 Z. z., zákona č. 59/2023 Z. z., zákona č. 109/2023 Z. z., zákona č. 119/2023 Z. z., zákona č. 135/2023 Z. z., zákona č. 146/2023 Z. z., zákona č. 183/2023 Z. z., zákona č. 192/2023 Z. z., zákona č. </w:t>
      </w:r>
      <w:r w:rsidRPr="003227D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287/2023 Z. z., zákona č. 293/2023 Z. z., zákona č 309/2023 Z. z., zákona č. 331/2023 Z. z.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3227D1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332/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2023 Z. z. a zákona </w:t>
      </w:r>
      <w:r w:rsid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530/2023 Z. z.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takto:</w:t>
      </w:r>
    </w:p>
    <w:p w14:paraId="6D3F55FA" w14:textId="77777777" w:rsidR="006358D0" w:rsidRPr="00CD4AC7" w:rsidRDefault="006358D0" w:rsidP="006358D0">
      <w:pPr>
        <w:autoSpaceDE w:val="0"/>
        <w:autoSpaceDN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40AB0E" w14:textId="2A530BE2" w:rsidR="006358D0" w:rsidRPr="00CD4AC7" w:rsidRDefault="006358D0" w:rsidP="006358D0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prílohe Sadzobníku správnych poplatkov časti VI. Doprava položke 63 sa suma </w:t>
      </w:r>
      <w:r w:rsidR="004B15D7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„10 eur“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nahrádza sumou </w:t>
      </w:r>
      <w:r w:rsidR="004B15D7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suma „6,50 eura“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FEEE6B1" w14:textId="275D4C43" w:rsidR="006358D0" w:rsidRPr="006358D0" w:rsidRDefault="006358D0" w:rsidP="00635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14ED64" w14:textId="15BBB6EC" w:rsidR="006358D0" w:rsidRPr="00CD4AC7" w:rsidRDefault="006358D0" w:rsidP="006358D0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prílohe Sadzobníku správnych poplatkov časti VI. Doprava položke 63a sa suma „</w:t>
      </w:r>
      <w:r w:rsidR="00A53C18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 nahrádza sumou „</w:t>
      </w:r>
      <w:r w:rsidR="00A53C18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</w:t>
      </w:r>
      <w:r w:rsidR="00A53C18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“ a suma „</w:t>
      </w:r>
      <w:r w:rsidR="00A53C18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</w:t>
      </w:r>
      <w:r w:rsidR="00A53C18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“ sa nahrádza sumou „</w:t>
      </w:r>
      <w:r w:rsidR="00A53C18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0,50 eura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7CE3EE0A" w14:textId="6252CC44" w:rsidR="006358D0" w:rsidRPr="006358D0" w:rsidRDefault="006358D0" w:rsidP="00635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2FF83B" w14:textId="075F0AD5" w:rsidR="006358D0" w:rsidRPr="00CD4AC7" w:rsidRDefault="006358D0" w:rsidP="006358D0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prílohe Sadzobníku správnych poplatkov časti VI. Doprava položke 64 sa suma „</w:t>
      </w:r>
      <w:r w:rsidR="00A53C18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22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eur“ nahrádza sumou „</w:t>
      </w:r>
      <w:r w:rsidR="00A53C18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15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eur“, suma „</w:t>
      </w:r>
      <w:r w:rsidR="00A53C18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45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eur“ sa nahrádza sumou „</w:t>
      </w:r>
      <w:r w:rsidR="00A53C18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30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eur“, suma „2</w:t>
      </w:r>
      <w:r w:rsidR="00A64BC8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 sa nahrádza sumou „2</w:t>
      </w:r>
      <w:r w:rsidR="00A64BC8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eur“, suma „</w:t>
      </w:r>
      <w:r w:rsidR="00A64BC8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 sa nahrádza sumou „</w:t>
      </w:r>
      <w:r w:rsidR="00A64BC8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 a suma „1</w:t>
      </w:r>
      <w:r w:rsidR="00A64BC8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 sa nahrádza sumou „1</w:t>
      </w:r>
      <w:r w:rsidR="00A64BC8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eur“.</w:t>
      </w:r>
    </w:p>
    <w:p w14:paraId="7E52E059" w14:textId="79221C5F" w:rsidR="006358D0" w:rsidRPr="006358D0" w:rsidRDefault="006358D0" w:rsidP="00635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75AC45" w14:textId="1EB34BBD" w:rsidR="006358D0" w:rsidRPr="00CD4AC7" w:rsidRDefault="006358D0" w:rsidP="006358D0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prílohe Sadzobníku správnych poplatkov časti VI. Doprava položke 66 sa suma „</w:t>
      </w:r>
      <w:r w:rsidR="009838E4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 nahrádza sumou „</w:t>
      </w:r>
      <w:r w:rsidR="009838E4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eur“.</w:t>
      </w:r>
    </w:p>
    <w:p w14:paraId="595EA94F" w14:textId="06503D2C" w:rsidR="006358D0" w:rsidRPr="006358D0" w:rsidRDefault="006358D0" w:rsidP="00635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92182A" w14:textId="628F2745" w:rsidR="006358D0" w:rsidRPr="00CD4AC7" w:rsidRDefault="006358D0" w:rsidP="006932A9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prílohe Sadzobníku správnych poplatkov časti VI. Doprava položke 68a sa suma „</w:t>
      </w:r>
      <w:r w:rsidR="009838E4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 nahrádza sumou „</w:t>
      </w:r>
      <w:r w:rsidR="009838E4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 a suma „</w:t>
      </w:r>
      <w:r w:rsidR="009838E4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45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 sa nahrádza sumou „</w:t>
      </w:r>
      <w:r w:rsidR="009838E4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30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eur“.</w:t>
      </w:r>
    </w:p>
    <w:p w14:paraId="42B5BC47" w14:textId="629A0B3D" w:rsidR="006358D0" w:rsidRPr="006358D0" w:rsidRDefault="006358D0" w:rsidP="00635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04D266" w14:textId="5E69F74D" w:rsidR="006358D0" w:rsidRPr="00CD4AC7" w:rsidRDefault="006358D0" w:rsidP="006932A9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prílohe Sadzobníku správnych poplatkov časti VI. Doprava položke 74 sa suma  </w:t>
      </w:r>
      <w:r w:rsidR="00173EA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„25 eur“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nahrádza sumou </w:t>
      </w:r>
      <w:r w:rsidR="00173EA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„16,5 eura“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, suma „</w:t>
      </w:r>
      <w:r w:rsidR="00173EA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50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 sa nahrádza sumou „</w:t>
      </w:r>
      <w:r w:rsidR="00173EA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33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eur“, suma </w:t>
      </w:r>
      <w:r w:rsidR="00173EA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„70 eur“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sa nahrádza sumou</w:t>
      </w:r>
      <w:r w:rsidR="00173EA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„49,5 eura“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, suma „</w:t>
      </w:r>
      <w:r w:rsidR="00173EA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100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 sa nahrádza sumou „</w:t>
      </w:r>
      <w:r w:rsidR="00173EA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66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eur“, suma „1</w:t>
      </w:r>
      <w:r w:rsidR="00173EA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 sa nahrádza sumou „1</w:t>
      </w:r>
      <w:r w:rsidR="00173EA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eur“, suma  </w:t>
      </w:r>
      <w:r w:rsidR="00173EA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„25 eur“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nahrádza sumou </w:t>
      </w:r>
      <w:r w:rsidR="00173EA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„16,50 eura“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, suma „</w:t>
      </w:r>
      <w:r w:rsidR="00173EA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 sa nahrádza sumou „</w:t>
      </w:r>
      <w:r w:rsidR="00173EA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eur“, suma „</w:t>
      </w:r>
      <w:r w:rsidR="00173EA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 sa nahrádza sumou „</w:t>
      </w:r>
      <w:r w:rsidR="00173EA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eur“, suma „</w:t>
      </w:r>
      <w:r w:rsidR="00173EA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 sa nahrádza sumou „</w:t>
      </w:r>
      <w:r w:rsidR="00173EA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 a suma „</w:t>
      </w:r>
      <w:r w:rsidR="00173EA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12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 sa nahrádza sumou „</w:t>
      </w:r>
      <w:r w:rsidR="00173EA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eur“.</w:t>
      </w:r>
    </w:p>
    <w:p w14:paraId="41086E64" w14:textId="401B03BA" w:rsidR="006358D0" w:rsidRPr="006358D0" w:rsidRDefault="006358D0" w:rsidP="00635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7FDC46" w14:textId="548E044E" w:rsidR="006358D0" w:rsidRPr="00CD4AC7" w:rsidRDefault="006358D0" w:rsidP="006932A9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prílohe Sadzobníku správnych poplatkov časti VI. Doprava položke 75 sa suma</w:t>
      </w:r>
      <w:r w:rsidR="00962719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„10 eur“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nahrádza sumou </w:t>
      </w:r>
      <w:r w:rsidR="00962719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„6,50 eura“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suma </w:t>
      </w:r>
      <w:r w:rsidR="00962719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„5 eur“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nahrádza sumou </w:t>
      </w:r>
      <w:r w:rsidR="00962719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„3 eurá“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suma  </w:t>
      </w:r>
      <w:r w:rsidR="00962719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„140 eur“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nahrádza sumou </w:t>
      </w:r>
      <w:r w:rsidR="00962719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„99,50 eura“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, suma „2</w:t>
      </w:r>
      <w:r w:rsidR="00962719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 sa nahrádza sumou „2</w:t>
      </w:r>
      <w:r w:rsidR="00962719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eur“, suma „</w:t>
      </w:r>
      <w:r w:rsidR="00962719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22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 sa nahrádza sumou „</w:t>
      </w:r>
      <w:r w:rsidR="00962719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15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eur“, suma „</w:t>
      </w:r>
      <w:r w:rsidR="00962719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45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 sa nahrádza sumou „</w:t>
      </w:r>
      <w:r w:rsidR="00962719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30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 a suma „</w:t>
      </w:r>
      <w:r w:rsidR="00962719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 sa nahrádza sumou „</w:t>
      </w:r>
      <w:r w:rsidR="00962719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eur“.</w:t>
      </w:r>
    </w:p>
    <w:p w14:paraId="7332637C" w14:textId="7B40DCE0" w:rsidR="006358D0" w:rsidRPr="006358D0" w:rsidRDefault="006358D0" w:rsidP="00635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1F8833" w14:textId="03D1D71E" w:rsidR="006358D0" w:rsidRPr="00CD4AC7" w:rsidRDefault="006358D0" w:rsidP="006932A9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prílohe Sadzobníku správnych poplatkov časti VI. Doprava položke 76 sa suma </w:t>
      </w:r>
      <w:r w:rsidR="004C0DE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„25 eur“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nahrádza sumou </w:t>
      </w:r>
      <w:r w:rsidR="004C0DE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„16,5 eur“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suma </w:t>
      </w:r>
      <w:r w:rsidR="004C0DE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„25 eur“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nahrádza sumou </w:t>
      </w:r>
      <w:r w:rsidR="004C0DE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„16,5 eur“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, suma „</w:t>
      </w:r>
      <w:r w:rsidR="004C0DE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50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 sa nahrádza sumou „</w:t>
      </w:r>
      <w:r w:rsidR="004C0DE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33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eur“, suma </w:t>
      </w:r>
      <w:r w:rsidR="004C0DE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„250 eur“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nahrádza sumou </w:t>
      </w:r>
      <w:r w:rsidR="004C0DE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„165,5 eur“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suma </w:t>
      </w:r>
      <w:r w:rsidR="004C0DE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„260 eur“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nahrádza sumou </w:t>
      </w:r>
      <w:r w:rsidR="004C0DE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„182 eur“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suma </w:t>
      </w:r>
      <w:r w:rsidR="004C0DE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„100 eur“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nahrádza sumou </w:t>
      </w:r>
      <w:r w:rsidR="004C0DE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„66 eur“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suma </w:t>
      </w:r>
      <w:r w:rsidR="004C0DE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„250 eur“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nahrádza sumou </w:t>
      </w:r>
      <w:r w:rsidR="004C0DE3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„165,50 eura“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7B90BFB" w14:textId="7C7E4C4A" w:rsidR="006358D0" w:rsidRPr="00CD4AC7" w:rsidRDefault="006358D0" w:rsidP="00635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0D74FA" w14:textId="6ADBE598" w:rsidR="006358D0" w:rsidRPr="00CD4AC7" w:rsidRDefault="006358D0" w:rsidP="006932A9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prílohe Sadzobníku správnych poplatkov časti VI. Doprava položke 77 sa suma „1</w:t>
      </w:r>
      <w:r w:rsidR="00FE6C67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 nahrádza sumou „1</w:t>
      </w:r>
      <w:r w:rsidR="00FE6C67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 a suma „</w:t>
      </w:r>
      <w:r w:rsidR="00FE6C67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 sa nahrádza sumou „</w:t>
      </w:r>
      <w:r w:rsidR="00FE6C67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eur“.</w:t>
      </w:r>
    </w:p>
    <w:p w14:paraId="7C4D57A9" w14:textId="26FB51FE" w:rsidR="006358D0" w:rsidRPr="006358D0" w:rsidRDefault="006358D0" w:rsidP="00635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28DB1E" w14:textId="763C5F02" w:rsidR="006358D0" w:rsidRPr="00CD4AC7" w:rsidRDefault="006358D0" w:rsidP="006932A9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prílohe Sadzobníku správnych poplatkov časti VI. Doprava položke 77a sa suma „1</w:t>
      </w:r>
      <w:r w:rsidR="00FE6C67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 nahrádza sumou „1</w:t>
      </w:r>
      <w:r w:rsidR="00FE6C67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eur“, suma „</w:t>
      </w:r>
      <w:r w:rsidR="00FE6C67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45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 sa nahrádza sumou „</w:t>
      </w:r>
      <w:r w:rsidR="00FE6C67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30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eur“, suma „</w:t>
      </w:r>
      <w:r w:rsidR="00FE6C67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 sa nahrádza sumou „</w:t>
      </w:r>
      <w:r w:rsidR="00FE6C67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eur“ a suma „</w:t>
      </w:r>
      <w:r w:rsidR="00FE6C67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 sa nahrádza sumou „</w:t>
      </w:r>
      <w:r w:rsidR="00FE6C67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eur“.</w:t>
      </w:r>
    </w:p>
    <w:p w14:paraId="406AE27E" w14:textId="24D0262B" w:rsidR="006358D0" w:rsidRPr="006358D0" w:rsidRDefault="006358D0" w:rsidP="00635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7FD862" w14:textId="24594DE7" w:rsidR="006358D0" w:rsidRPr="00CD4AC7" w:rsidRDefault="006358D0" w:rsidP="006932A9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prílohe Sadzobníku správnych poplatkov časti VI. Doprava položke 77b sa suma „1</w:t>
      </w:r>
      <w:r w:rsidR="00C43A77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 nahrádza sumou „1</w:t>
      </w:r>
      <w:r w:rsidR="00C43A77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 a suma „</w:t>
      </w:r>
      <w:r w:rsidR="00C43A77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 sa nahrádza sumou „</w:t>
      </w:r>
      <w:r w:rsidR="00C43A77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0 eur“.</w:t>
      </w:r>
    </w:p>
    <w:p w14:paraId="469D14EC" w14:textId="3F331020" w:rsidR="006358D0" w:rsidRPr="006358D0" w:rsidRDefault="006358D0" w:rsidP="00635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387C1A" w14:textId="5DDB889E" w:rsidR="006358D0" w:rsidRPr="00CD4AC7" w:rsidRDefault="006358D0" w:rsidP="006932A9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 prílohe Sadzobníku správnych poplatkov časti VI. Doprava položke 86 sa suma  </w:t>
      </w:r>
      <w:r w:rsidR="008757DD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„25 eur“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 sumou</w:t>
      </w:r>
      <w:r w:rsidR="008757DD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„16,50 eura“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suma </w:t>
      </w:r>
      <w:r w:rsidR="002D41AD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„50 eur“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nahrádza sumou </w:t>
      </w:r>
      <w:r w:rsidR="002D41AD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„33 eur“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2D41AD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suma</w:t>
      </w:r>
      <w:r w:rsidR="002D41AD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„100 eur“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sa nahrádza sumou </w:t>
      </w:r>
      <w:r w:rsidR="002D41AD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„66 eur“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8FDA72A" w14:textId="46BB1B4F" w:rsidR="006358D0" w:rsidRPr="006358D0" w:rsidRDefault="006358D0" w:rsidP="00635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02FF87" w14:textId="2713DF30" w:rsidR="006358D0" w:rsidRPr="00CD4AC7" w:rsidRDefault="006358D0" w:rsidP="006932A9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prílohe Sadzobníku správnych poplatkov časti VI. Doprava položke 87 sa suma </w:t>
      </w:r>
      <w:r w:rsidR="002D41AD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„15 eur“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nahrádza sumou </w:t>
      </w:r>
      <w:r w:rsidR="002D41AD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„9,50 eura“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suma  </w:t>
      </w:r>
      <w:r w:rsidR="002D41AD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„25 eur“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nahrádza sumou </w:t>
      </w:r>
      <w:r w:rsidR="002D41AD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„16,50 eura“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C11AEE4" w14:textId="22A4D230" w:rsidR="006358D0" w:rsidRPr="006358D0" w:rsidRDefault="006358D0" w:rsidP="00635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6F3A4B" w14:textId="1C539BD4" w:rsidR="006358D0" w:rsidRPr="00CD4AC7" w:rsidRDefault="006358D0" w:rsidP="006932A9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prílohe Sadzobníku správnych poplatkov časti VI. Doprava položke 88 sa suma </w:t>
      </w:r>
      <w:r w:rsidR="00894142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„50 eur“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nahrádza sumou </w:t>
      </w:r>
      <w:r w:rsidR="00894142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„33 eur“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suma </w:t>
      </w:r>
      <w:r w:rsidR="00894142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„5 eur“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nahrádza sumou </w:t>
      </w:r>
      <w:r w:rsidR="00894142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„3 eurá“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F1C2470" w14:textId="1854531C" w:rsidR="006358D0" w:rsidRPr="006358D0" w:rsidRDefault="006358D0" w:rsidP="00635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AECAAF" w14:textId="46E020A4" w:rsidR="006358D0" w:rsidRPr="00CD4AC7" w:rsidRDefault="006358D0" w:rsidP="006932A9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prílohe Sadzobníku správnych poplatkov časti VI. Doprava položke 89 sa suma  </w:t>
      </w:r>
      <w:r w:rsidR="003A03A9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„1400 eur“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nahrádza sumou </w:t>
      </w:r>
      <w:r w:rsidR="00894142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„995,50 eura“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suma </w:t>
      </w:r>
      <w:r w:rsidR="003A03A9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„100 eur“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nahrádza sumou </w:t>
      </w:r>
      <w:r w:rsidR="003A03A9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„66 eur“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, suma</w:t>
      </w:r>
      <w:r w:rsidR="0093516B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„10 eur“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nahrádza sumou</w:t>
      </w:r>
      <w:r w:rsidR="0093516B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„6,50 eura“ 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suma </w:t>
      </w:r>
      <w:r w:rsidR="0093516B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„50 eur“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nahrádza sumou </w:t>
      </w:r>
      <w:r w:rsidR="0093516B"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„33 eur“</w:t>
      </w: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099C0B0" w14:textId="3F352DA9" w:rsidR="00CD4AC7" w:rsidRDefault="00CD4AC7" w:rsidP="00CD4AC7">
      <w:pPr>
        <w:autoSpaceDE w:val="0"/>
        <w:autoSpaceDN w:val="0"/>
        <w:spacing w:before="12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4AC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II</w:t>
      </w:r>
    </w:p>
    <w:p w14:paraId="0FEBF8A3" w14:textId="77777777" w:rsidR="003435E2" w:rsidRPr="00CD4AC7" w:rsidRDefault="003435E2" w:rsidP="00CD4AC7">
      <w:pPr>
        <w:autoSpaceDE w:val="0"/>
        <w:autoSpaceDN w:val="0"/>
        <w:spacing w:before="12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AA0E631" w14:textId="7920351B" w:rsidR="00CD4AC7" w:rsidRDefault="00CD4AC7" w:rsidP="006358D0">
      <w:pPr>
        <w:autoSpaceDE w:val="0"/>
        <w:autoSpaceDN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4AC7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zákon nadobúda účinnosť 1. júna 2024.</w:t>
      </w:r>
    </w:p>
    <w:p w14:paraId="3A1200D8" w14:textId="77777777" w:rsidR="003435E2" w:rsidRDefault="003435E2" w:rsidP="006358D0">
      <w:pPr>
        <w:autoSpaceDE w:val="0"/>
        <w:autoSpaceDN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343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4A75"/>
    <w:multiLevelType w:val="hybridMultilevel"/>
    <w:tmpl w:val="E2069F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B4A29"/>
    <w:multiLevelType w:val="hybridMultilevel"/>
    <w:tmpl w:val="D050172A"/>
    <w:lvl w:ilvl="0" w:tplc="BD28520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EA6391"/>
    <w:multiLevelType w:val="hybridMultilevel"/>
    <w:tmpl w:val="09BCEDB0"/>
    <w:lvl w:ilvl="0" w:tplc="4714334A">
      <w:start w:val="5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0416">
    <w:abstractNumId w:val="2"/>
  </w:num>
  <w:num w:numId="2" w16cid:durableId="1148399458">
    <w:abstractNumId w:val="0"/>
  </w:num>
  <w:num w:numId="3" w16cid:durableId="1576357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0"/>
    <w:rsid w:val="000904C8"/>
    <w:rsid w:val="000941A6"/>
    <w:rsid w:val="000A7AE1"/>
    <w:rsid w:val="00173EA3"/>
    <w:rsid w:val="00262679"/>
    <w:rsid w:val="002D41AD"/>
    <w:rsid w:val="002E65A1"/>
    <w:rsid w:val="003435E2"/>
    <w:rsid w:val="003A03A9"/>
    <w:rsid w:val="004B15D7"/>
    <w:rsid w:val="004B2EC1"/>
    <w:rsid w:val="004C0DE3"/>
    <w:rsid w:val="00543C0F"/>
    <w:rsid w:val="00635321"/>
    <w:rsid w:val="006358D0"/>
    <w:rsid w:val="006932A9"/>
    <w:rsid w:val="006A4170"/>
    <w:rsid w:val="007805F5"/>
    <w:rsid w:val="007C560B"/>
    <w:rsid w:val="008463AD"/>
    <w:rsid w:val="008757DD"/>
    <w:rsid w:val="00894142"/>
    <w:rsid w:val="0093516B"/>
    <w:rsid w:val="00962719"/>
    <w:rsid w:val="009838E4"/>
    <w:rsid w:val="00A07619"/>
    <w:rsid w:val="00A53C18"/>
    <w:rsid w:val="00A64BC8"/>
    <w:rsid w:val="00A95EDD"/>
    <w:rsid w:val="00AB02D6"/>
    <w:rsid w:val="00B20A82"/>
    <w:rsid w:val="00C43A77"/>
    <w:rsid w:val="00CD4AC7"/>
    <w:rsid w:val="00DF25D2"/>
    <w:rsid w:val="00EA2F4B"/>
    <w:rsid w:val="00EA7EDD"/>
    <w:rsid w:val="00F9720A"/>
    <w:rsid w:val="00F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D0A69"/>
  <w15:chartTrackingRefBased/>
  <w15:docId w15:val="{4012DDA6-83ED-430F-8593-A04E525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58D0"/>
    <w:rPr>
      <w:kern w:val="0"/>
      <w14:ligatures w14:val="none"/>
    </w:rPr>
  </w:style>
  <w:style w:type="paragraph" w:styleId="Nadpis2">
    <w:name w:val="heading 2"/>
    <w:basedOn w:val="Normlny"/>
    <w:link w:val="Nadpis2Char"/>
    <w:uiPriority w:val="9"/>
    <w:qFormat/>
    <w:rsid w:val="00780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358D0"/>
    <w:pPr>
      <w:ind w:left="720"/>
      <w:contextualSpacing/>
    </w:pPr>
  </w:style>
  <w:style w:type="paragraph" w:styleId="Bezriadkovania">
    <w:name w:val="No Spacing"/>
    <w:uiPriority w:val="1"/>
    <w:qFormat/>
    <w:rsid w:val="007805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7805F5"/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38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91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960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50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0910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41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81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59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468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759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63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87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78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303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67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42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413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44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34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646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404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490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129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4427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645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775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65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47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322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8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2083</Words>
  <Characters>9067</Characters>
  <Application>Microsoft Office Word</Application>
  <DocSecurity>0</DocSecurity>
  <Lines>166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6</cp:revision>
  <dcterms:created xsi:type="dcterms:W3CDTF">2024-01-12T12:00:00Z</dcterms:created>
  <dcterms:modified xsi:type="dcterms:W3CDTF">2024-01-12T12:09:00Z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44ce0df37078371ecfa07ccf8b7034b362f425dd23b0e05f6e68b1fb68e3c9db</vt:lpwstr>
  </property>
</Properties>
</file>