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…………….2024,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580/2004 Z. z. o zdravotnom poistení a o zmene a doplnení zákona č. 95/2002 Z. z. o poisťovníctve a o 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zákona č. 351/2017 Z. z.,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 zákona č. 101/2022 Z. z., zákona č. 267/2022 Z. z., zákona č. 392/2022 Z. z., zákona č. 518/2022 Z. z. a zákona č. 530/2023 Z. z. sa mení a dopĺňa takto: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13a ods. 2 a 3 a odseku 4 písm. a) sa suma „4 560 eur“ nahrádza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slovami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% z 12-násobku priemernej mesačnej mzdy“.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 § 16 ods. 16 a 18 sa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slová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„380 eur mesačne“ nahrádzajú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slovami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priemern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 mesačnej mzdy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 § 16 ods. 17 a § 19 ods. 1 písm. e) druhom bode sa suma „380 eur“ nahrádza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slovami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55% priemernej mesačnej mzdy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“ a suma „570 eur“ sa nahrádza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slovami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75% priemernej mesačnej mzdy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38ezg sa vkladá § 38ezh, ktorý vrátane nadpisu znie: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38ezh 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Prechodné ustanovenia k úpravám účinným od 1. januára 2025</w:t>
      </w:r>
    </w:p>
    <w:p w:rsidR="00000000" w:rsidDel="00000000" w:rsidP="00000000" w:rsidRDefault="00000000" w:rsidRPr="00000000" w14:paraId="0000001C">
      <w:pPr>
        <w:spacing w:after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Ustanovenia § 13a ods. 2 a 3 a odseku 4 písm. a), § 16 ods. 16 až 18 a § 19 ods. 1 písm. e) druhého bodu v znení účinnom od 1. januára 2025 sa prvýkrát použijú pri vykonaní ročného zúčtovania za rok 2024.</w:t>
      </w:r>
    </w:p>
    <w:p w:rsidR="00000000" w:rsidDel="00000000" w:rsidP="00000000" w:rsidRDefault="00000000" w:rsidRPr="00000000" w14:paraId="0000001D">
      <w:pPr>
        <w:spacing w:after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Zamestnanec, ktorý má nárok na uplatnenie odpočítateľnej položky pri výpočte preddavkov na poistné podľa § 16 ods. 18, je povinný túto skutočnosť písomne oznámiť zamestnávateľovi prvýkrát do 25. januára 2025.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zákon nadobúda účinnosť 1. januára 2025.</w:t>
      </w:r>
    </w:p>
    <w:sectPr>
      <w:foot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I8a1hwtvmh+U4tyWgR2Ira2/Q==">CgMxLjA4AHIhMVRBVm0ybEc5TmZEVVZWYlZjSHlVVVVDX1RDQkliSmRX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