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04C13" w:rsidRDefault="00034D9D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Dôvodová správa</w:t>
      </w:r>
    </w:p>
    <w:p w14:paraId="00000002" w14:textId="77777777" w:rsidR="00604C13" w:rsidRDefault="00604C13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3" w14:textId="77777777" w:rsidR="00604C13" w:rsidRDefault="00034D9D">
      <w:pPr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0"/>
          <w:id w:val="-1389255928"/>
        </w:sdtPr>
        <w:sdtEndPr/>
        <w:sdtContent/>
      </w:sdt>
      <w:r>
        <w:rPr>
          <w:rFonts w:ascii="Times New Roman" w:eastAsia="Times New Roman" w:hAnsi="Times New Roman" w:cs="Times New Roman"/>
          <w:b/>
          <w:color w:val="000000"/>
        </w:rPr>
        <w:t>A. Všeobecná časť</w:t>
      </w:r>
    </w:p>
    <w:p w14:paraId="00000004" w14:textId="77777777" w:rsidR="00604C13" w:rsidRDefault="00604C13">
      <w:pPr>
        <w:tabs>
          <w:tab w:val="left" w:pos="1095"/>
        </w:tabs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00000005" w14:textId="77777777" w:rsidR="00604C13" w:rsidRDefault="00034D9D">
      <w:pPr>
        <w:tabs>
          <w:tab w:val="left" w:pos="109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Návrh zákona,</w:t>
      </w:r>
      <w:r>
        <w:rPr>
          <w:rFonts w:ascii="Times New Roman" w:eastAsia="Times New Roman" w:hAnsi="Times New Roman" w:cs="Times New Roman"/>
          <w:color w:val="000000"/>
        </w:rPr>
        <w:t xml:space="preserve"> ktorým sa mení a dopĺňa zákon č. 595/2003 Z. z. o dani z príjmov v znení neskorších predpisov </w:t>
      </w:r>
      <w:r>
        <w:rPr>
          <w:rFonts w:ascii="Times New Roman" w:eastAsia="Times New Roman" w:hAnsi="Times New Roman" w:cs="Times New Roman"/>
        </w:rPr>
        <w:t>(ďalej len „návrh zákona“) predkladajú na rokovanie Národnej rady Slovenskej republiky poslanci Národnej rady Slovenskej republiky Michal Truban, Ivan Štefunko, Štefan Kišš, Ján Hargaš a poslankyňa Národnej rady Slovenskej republiky Darina Luščíková.</w:t>
      </w:r>
    </w:p>
    <w:p w14:paraId="00000006" w14:textId="77777777" w:rsidR="00604C13" w:rsidRDefault="00604C13">
      <w:pPr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Cieľ</w:t>
      </w:r>
      <w:r>
        <w:rPr>
          <w:rFonts w:ascii="Times New Roman" w:eastAsia="Times New Roman" w:hAnsi="Times New Roman" w:cs="Times New Roman"/>
          <w:color w:val="000000"/>
        </w:rPr>
        <w:t>om návrhu zákona je po historických poklesoch HDP v reakcii na pandémiu, ktorú nasledovala vojna u nášho východného suseda, energetick</w:t>
      </w:r>
      <w:r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  <w:color w:val="000000"/>
        </w:rPr>
        <w:t xml:space="preserve"> kríz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a aktuálne aj vyššie úrokové miery, kedy podniky nedosiahnu na drahšie úvery slúžiace na modernizáciu či ekologizá</w:t>
      </w:r>
      <w:r>
        <w:rPr>
          <w:rFonts w:ascii="Times New Roman" w:eastAsia="Times New Roman" w:hAnsi="Times New Roman" w:cs="Times New Roman"/>
          <w:color w:val="000000"/>
        </w:rPr>
        <w:t xml:space="preserve">ciu výroby, stimulovať k investovaniu a neodkladaniu spotreby do budúcnosti.  </w:t>
      </w:r>
    </w:p>
    <w:p w14:paraId="00000008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Podľa analýzy OECD rast produktivity práce na Slovensku významne spomalil od globálnej finančnej krízy a môžeme v prípade Slovenska pozorovať postupný dlhodobý trend spomaľovan</w:t>
      </w:r>
      <w:r>
        <w:rPr>
          <w:rFonts w:ascii="Times New Roman" w:eastAsia="Times New Roman" w:hAnsi="Times New Roman" w:cs="Times New Roman"/>
          <w:color w:val="000000"/>
        </w:rPr>
        <w:t>ia konvergencie. Dynamické dobiehanie západnej životnej úrovne sa takmer zastavilo a Slovensko sa ocitlo v pasci stredného príjmu. Slovensko v uplynulých rokoch rástlo najmä vďaka prílivu zahraničných investícií, ktoré však boli sústredené do priemyselných</w:t>
      </w:r>
      <w:r>
        <w:rPr>
          <w:rFonts w:ascii="Times New Roman" w:eastAsia="Times New Roman" w:hAnsi="Times New Roman" w:cs="Times New Roman"/>
          <w:color w:val="000000"/>
        </w:rPr>
        <w:t xml:space="preserve"> montážnych dielní, a integrácii do svetového obchodu. Slovensko ťažilo z príchodu veľkých zahraničných výrobných firiem na rozdiel od menších zameriavajúcich sa na poskytovanie obchodných služieb kde významne zaostáva aj za Poľskom či Českom. Na udržanie </w:t>
      </w:r>
      <w:r>
        <w:rPr>
          <w:rFonts w:ascii="Times New Roman" w:eastAsia="Times New Roman" w:hAnsi="Times New Roman" w:cs="Times New Roman"/>
          <w:color w:val="000000"/>
        </w:rPr>
        <w:t xml:space="preserve">rastu produktivity je podľa OECD pre Slovensko nevyhnutné inovovať a adaptovať nové technológie. Avšak adaptácia digitálnych technológií v podnikoch v každom smere zaostáva za priemerom štátov OECD. </w:t>
      </w:r>
    </w:p>
    <w:p w14:paraId="0000000A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Toto zníženie priepasti v produktivite si vyžaduje dyna</w:t>
      </w:r>
      <w:r>
        <w:rPr>
          <w:rFonts w:ascii="Times New Roman" w:eastAsia="Times New Roman" w:hAnsi="Times New Roman" w:cs="Times New Roman"/>
          <w:color w:val="000000"/>
        </w:rPr>
        <w:t>mické technologické zmeny súvisiace so zelenou tranzíciou a prechodom na model ekonomiky založenej na inováciách. Prechod na inovačnú politiku zahŕňa investície do výskumu a vývoja, zlepšenie podnikateľského prostredia a inovačného potenciálu domácich podn</w:t>
      </w:r>
      <w:r>
        <w:rPr>
          <w:rFonts w:ascii="Times New Roman" w:eastAsia="Times New Roman" w:hAnsi="Times New Roman" w:cs="Times New Roman"/>
          <w:color w:val="000000"/>
        </w:rPr>
        <w:t xml:space="preserve">ikov pre zvýšenie ich konkurencieschopnosti a zabezpečenie rastu. Slovensko zaostáva aj v rebríčkoch konkurencieschopnosti, jeden pripravil </w:t>
      </w:r>
      <w:sdt>
        <w:sdtPr>
          <w:tag w:val="goog_rdk_1"/>
          <w:id w:val="1890072124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</w:rPr>
        <w:t>International Institute for Management Development (IMD</w:t>
      </w:r>
      <w:r>
        <w:rPr>
          <w:rFonts w:ascii="Times New Roman" w:eastAsia="Times New Roman" w:hAnsi="Times New Roman" w:cs="Times New Roman"/>
          <w:color w:val="000000"/>
        </w:rPr>
        <w:t>) a v ňom sa Slovensko zhoršilo o 4 pozície, obsadilo 53</w:t>
      </w:r>
      <w:r>
        <w:rPr>
          <w:rFonts w:ascii="Times New Roman" w:eastAsia="Times New Roman" w:hAnsi="Times New Roman" w:cs="Times New Roman"/>
          <w:color w:val="000000"/>
        </w:rPr>
        <w:t>. miesto a nahradilo Poľsko na najhoršej pozícii v rámci krajín V4, pričom nepriaznivý trend je najmä v ekonomickej výkonnosti, kde nastal prepad za posledné 4 roky o 14 miest z dôvodu silnej orientácie na aktivity s nízkou pridanou hodnotou.</w:t>
      </w:r>
    </w:p>
    <w:p w14:paraId="0000000C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Podľa Eurost</w:t>
      </w:r>
      <w:r>
        <w:rPr>
          <w:rFonts w:ascii="Times New Roman" w:eastAsia="Times New Roman" w:hAnsi="Times New Roman" w:cs="Times New Roman"/>
          <w:color w:val="000000"/>
        </w:rPr>
        <w:t>atu sa Slovensko v rozpočtovaných výdavkoch na výskum a vývoj umiestňuje na posledných miestach európskeho rebríčka. Za rok 2022 Slovensko investovalo v tejto oblasti len 70 eur na obyvateľa, pričom európsky priemer bol až 262 eur. Zároveň výdavky zvyšku e</w:t>
      </w:r>
      <w:r>
        <w:rPr>
          <w:rFonts w:ascii="Times New Roman" w:eastAsia="Times New Roman" w:hAnsi="Times New Roman" w:cs="Times New Roman"/>
          <w:color w:val="000000"/>
        </w:rPr>
        <w:t>urópskych partnerov tiež rástli výrazne rýchlejšie ako tie slovenské. Celá Európska únia v roku 2022 investovala 117 miliárd eur, čo je 49 % nárast oproti roku 2012. Slovensko za posledných desať rokov navýšilo investície iba o 26 %. Medzi rokmi 2021 a 202</w:t>
      </w:r>
      <w:r>
        <w:rPr>
          <w:rFonts w:ascii="Times New Roman" w:eastAsia="Times New Roman" w:hAnsi="Times New Roman" w:cs="Times New Roman"/>
          <w:color w:val="000000"/>
        </w:rPr>
        <w:t>2 podporu dokonca znížilo.</w:t>
      </w:r>
    </w:p>
    <w:p w14:paraId="0000000E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Celkové výdavky Slovenska vynaložené na výskum a vývoj, v pomere k HDP, patria konštantne k najnižším v rámci krajín Európskej únie. Slovensko nezaostáva len za krajinami EÚ 27, ale aj za krajinami V4. Kým priemerná eur</w:t>
      </w:r>
      <w:r>
        <w:rPr>
          <w:rFonts w:ascii="Times New Roman" w:eastAsia="Times New Roman" w:hAnsi="Times New Roman" w:cs="Times New Roman"/>
        </w:rPr>
        <w:t xml:space="preserve">ópska </w:t>
      </w:r>
      <w:r>
        <w:rPr>
          <w:rFonts w:ascii="Times New Roman" w:eastAsia="Times New Roman" w:hAnsi="Times New Roman" w:cs="Times New Roman"/>
          <w:color w:val="000000"/>
        </w:rPr>
        <w:t>kra</w:t>
      </w:r>
      <w:r>
        <w:rPr>
          <w:rFonts w:ascii="Times New Roman" w:eastAsia="Times New Roman" w:hAnsi="Times New Roman" w:cs="Times New Roman"/>
          <w:color w:val="000000"/>
        </w:rPr>
        <w:t>jina v roku 2022 investovala 0,74 % HDP, Slovensko iba 0,35 %. To je dokonca najmenej za posledných desať rokov. Pričom je dokázané, že zvýšenie podnikových výdavkov na vedu a výskum o 0,1 % HDP môže priniesť v dlhodobom horizonte vyššie HDP o 0,46 %. Taki</w:t>
      </w:r>
      <w:r>
        <w:rPr>
          <w:rFonts w:ascii="Times New Roman" w:eastAsia="Times New Roman" w:hAnsi="Times New Roman" w:cs="Times New Roman"/>
          <w:color w:val="000000"/>
        </w:rPr>
        <w:t xml:space="preserve">sto ako v minulosti investície do </w:t>
      </w:r>
      <w:r>
        <w:rPr>
          <w:rFonts w:ascii="Times New Roman" w:eastAsia="Times New Roman" w:hAnsi="Times New Roman" w:cs="Times New Roman"/>
          <w:color w:val="000000"/>
        </w:rPr>
        <w:lastRenderedPageBreak/>
        <w:t>nehmotného majetku priniesli 0,5 p. b. rastu HDP v európskych krajinách v rokoch 1995 – 2007.</w:t>
      </w:r>
    </w:p>
    <w:p w14:paraId="00000010" w14:textId="77777777" w:rsidR="00604C13" w:rsidRDefault="00604C13">
      <w:pPr>
        <w:jc w:val="both"/>
        <w:rPr>
          <w:rFonts w:ascii="Times New Roman" w:eastAsia="Times New Roman" w:hAnsi="Times New Roman" w:cs="Times New Roman"/>
        </w:rPr>
      </w:pPr>
    </w:p>
    <w:p w14:paraId="00000011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Inovácie sú v dlhodobom horizonte považované za významný motor hospodárskeho rastu, avšak vzťah medzi inováciou a rastom býva k</w:t>
      </w:r>
      <w:r>
        <w:rPr>
          <w:rFonts w:ascii="Times New Roman" w:eastAsia="Times New Roman" w:hAnsi="Times New Roman" w:cs="Times New Roman"/>
          <w:color w:val="000000"/>
        </w:rPr>
        <w:t>omplexný a závisí od výberu správnej inovačnej politiky. Vlády majú na podporu podnikových výdavkov na výskum a vývoj k dispozícii niekoľko nástrojov. Najbežnejšími sú priame platby či granty, zrýchlené odpisy aktív, znížené daňové sadzby, daňové úľavy, od</w:t>
      </w:r>
      <w:r>
        <w:rPr>
          <w:rFonts w:ascii="Times New Roman" w:eastAsia="Times New Roman" w:hAnsi="Times New Roman" w:cs="Times New Roman"/>
          <w:color w:val="000000"/>
        </w:rPr>
        <w:t>počty a superodpočty výdavkov, stimuly na tvorbu patentov a ďalšie. Niektoré opatrenia sú ťažko kvantifikovateľné z dôvodu neexistencie priamočiareho vzťahu medzi inovačnou aktivitou a výsledkami tejto aktivity. Daňové zvýhodnenia ponúkajú vysokú kvalitu e</w:t>
      </w:r>
      <w:r>
        <w:rPr>
          <w:rFonts w:ascii="Times New Roman" w:eastAsia="Times New Roman" w:hAnsi="Times New Roman" w:cs="Times New Roman"/>
          <w:color w:val="000000"/>
        </w:rPr>
        <w:t>videncie, vysokú jednoznačnosť záverov evidencie a vysoký čistý benefit už v krátkodobom horizonte.</w:t>
      </w:r>
    </w:p>
    <w:p w14:paraId="00000012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európskeho pohľadu má Slovenská republika legislatívu odpisovania vyriešenú relatívne prehľadne, a preto nebolo v záujme predkladateľ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color w:val="000000"/>
        </w:rPr>
        <w:t xml:space="preserve"> vykonať vážnejšie</w:t>
      </w:r>
      <w:r>
        <w:rPr>
          <w:rFonts w:ascii="Times New Roman" w:eastAsia="Times New Roman" w:hAnsi="Times New Roman" w:cs="Times New Roman"/>
          <w:color w:val="000000"/>
        </w:rPr>
        <w:t xml:space="preserve"> zásahy. V našej súčasne platnej a účinnej právnej úprave sú zakotvené dve základné metódy odpisovania a 7 odpisových skupín. O niečo pružnejšie nastavené pravidlá odpisovania ma napríklad Česká republika, kde sa všetky odpisové skupiny (majú ich 6) môžu o</w:t>
      </w:r>
      <w:r>
        <w:rPr>
          <w:rFonts w:ascii="Times New Roman" w:eastAsia="Times New Roman" w:hAnsi="Times New Roman" w:cs="Times New Roman"/>
          <w:color w:val="000000"/>
        </w:rPr>
        <w:t>dpisovať zrýchlene aj rovnomerne, pričom výber je na daňovníkovi. Taktiež mnohé krajiny Európskej únie zaviedli nepriame podpory v rokoch 2020 – 2023 počas pandémie COVID-19, no Slovensko bolo v tomto výnimkou.</w:t>
      </w:r>
    </w:p>
    <w:p w14:paraId="00000014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Zámerom predkladateľ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color w:val="000000"/>
        </w:rPr>
        <w:t xml:space="preserve"> je poskytnutie konkur</w:t>
      </w:r>
      <w:r>
        <w:rPr>
          <w:rFonts w:ascii="Times New Roman" w:eastAsia="Times New Roman" w:hAnsi="Times New Roman" w:cs="Times New Roman"/>
          <w:color w:val="000000"/>
        </w:rPr>
        <w:t>enčnej výhody zástupcom súkromného sektora s cieľom jednať určitým spôsobom – investovanie do výskumu a vývoja, budovanie ekologickejších stavieb, zameranie sa na zelenú energiu. Cieľom návrhu zákona teda nie je zavedenie priamej pomoci vo forme dotácií, k</w:t>
      </w:r>
      <w:r>
        <w:rPr>
          <w:rFonts w:ascii="Times New Roman" w:eastAsia="Times New Roman" w:hAnsi="Times New Roman" w:cs="Times New Roman"/>
          <w:color w:val="000000"/>
        </w:rPr>
        <w:t>toré by mohlo získať len niekoľko vybraných subjektov, ale skôr nastaviť pravidlá pre nepriamu podporu pre všetky ekonomické subjekty v podobe zrýchlených odpisov, skrátenia doby odpisovania majetku a tiež formou superodpočtu.</w:t>
      </w:r>
    </w:p>
    <w:p w14:paraId="00000016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Zameranie sa na udržateľnú a</w:t>
      </w:r>
      <w:r>
        <w:rPr>
          <w:rFonts w:ascii="Times New Roman" w:eastAsia="Times New Roman" w:hAnsi="Times New Roman" w:cs="Times New Roman"/>
          <w:color w:val="000000"/>
        </w:rPr>
        <w:t>lternatívnu formu energie v podnikoch prispieva k znižovaniu emisií skleníkových plynov ale aj k diverzifikácii dodávok energie. Úplný prechod od fosílnych palív k udržateľným obnoviteľným zdrojom si bude vyžadovať zmeny a významné investície v celom energ</w:t>
      </w:r>
      <w:r>
        <w:rPr>
          <w:rFonts w:ascii="Times New Roman" w:eastAsia="Times New Roman" w:hAnsi="Times New Roman" w:cs="Times New Roman"/>
          <w:color w:val="000000"/>
        </w:rPr>
        <w:t>etickom systéme, v priemysle, či doprave. Avšak budovy a ich vykurovanie sa vo významnej miere podieľajú na tvorbe skleníkových plynov aj znečisťujúcich látok. V súčasnosti síce výrazne klesá trend spaľovania tuhých palív, no na druhej strane dochádza k mi</w:t>
      </w:r>
      <w:r>
        <w:rPr>
          <w:rFonts w:ascii="Times New Roman" w:eastAsia="Times New Roman" w:hAnsi="Times New Roman" w:cs="Times New Roman"/>
          <w:color w:val="000000"/>
        </w:rPr>
        <w:t>ernemu nárastu emisií zo zemného plynu.</w:t>
      </w:r>
    </w:p>
    <w:p w14:paraId="00000018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9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Podľa analýzy Národnej banky Slovenska (NBS) nielen vládne výdavky, ale aj výdavky slovenských firiem zaostávajú v inováciách a výdavkoch na výskum a vývoj za priemerom EÚ 27. Len 36,6 % slovenských firiem sa podieľ</w:t>
      </w:r>
      <w:r>
        <w:rPr>
          <w:rFonts w:ascii="Times New Roman" w:eastAsia="Times New Roman" w:hAnsi="Times New Roman" w:cs="Times New Roman"/>
          <w:color w:val="000000"/>
        </w:rPr>
        <w:t xml:space="preserve">alo na inovačných aktivitách, čo je značne menej v porovnaní s priemerom Európskej únie, kde tento podiel dosahuje až 52,7 %. Zaostávanie v inováciách sa dokonca týka aj väčších firiem. </w:t>
      </w:r>
    </w:p>
    <w:p w14:paraId="0000001A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B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Slovensku sa aktuálne využívajú najmä granty, stimuly na tvorbu patentov a superodpočet z dane z príjmov právnických osôb. Podľa výsledkov analýzy NBS je zrejmé, že superodpočet výdavkov na výskum a vývoj je efektívnym nástrojom na podporu podnikových a</w:t>
      </w:r>
      <w:r>
        <w:rPr>
          <w:rFonts w:ascii="Times New Roman" w:eastAsia="Times New Roman" w:hAnsi="Times New Roman" w:cs="Times New Roman"/>
          <w:color w:val="000000"/>
        </w:rPr>
        <w:t xml:space="preserve">ktivít na Slovensku. Celkový odhad je porovnateľný s Českom a najvyššia efektívnosť sa ukazuje pri stredne veľkých podnikoch. </w:t>
      </w:r>
    </w:p>
    <w:p w14:paraId="0000001C" w14:textId="77777777" w:rsidR="00604C13" w:rsidRDefault="00604C13">
      <w:pPr>
        <w:jc w:val="both"/>
        <w:rPr>
          <w:rFonts w:ascii="Times New Roman" w:eastAsia="Times New Roman" w:hAnsi="Times New Roman" w:cs="Times New Roman"/>
        </w:rPr>
      </w:pPr>
    </w:p>
    <w:p w14:paraId="0000001D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Slovensko patrilo medzi krajiny s najštedrejším daňovým systémom na podporu výskumu a vývoja. V náraste daňovej podpory medzi ro</w:t>
      </w:r>
      <w:r>
        <w:rPr>
          <w:rFonts w:ascii="Times New Roman" w:eastAsia="Times New Roman" w:hAnsi="Times New Roman" w:cs="Times New Roman"/>
          <w:color w:val="000000"/>
        </w:rPr>
        <w:t xml:space="preserve">kmi 2011 a 2022 zaznamenalo výraznejší nárast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len Poľsko. Vzhľadom na to, že výraznú rolu v tomto náraste zohrával práve superodpočet výdavkov na vedu a výskum, návrhom zákona sa zavádza čiastočný návrat k sadzbe odpočtu do výšky až 200 %. </w:t>
      </w:r>
    </w:p>
    <w:p w14:paraId="0000001E" w14:textId="77777777" w:rsidR="00604C13" w:rsidRDefault="00604C13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1F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Predkladaný ná</w:t>
      </w:r>
      <w:r>
        <w:rPr>
          <w:rFonts w:ascii="Times New Roman" w:eastAsia="Times New Roman" w:hAnsi="Times New Roman" w:cs="Times New Roman"/>
          <w:color w:val="000000"/>
        </w:rPr>
        <w:t>vrh zákona je v súlade s Ústavou Slovenskej republiky, ústavnými zákonmi a ostatnými všeobecne záväznými právnymi predpismi Slovenskej republiky, nálezmi Ústavného súdu Slovenskej republiky, medzinárodnými zmluvami a inými medzinárodnými dokumentami, ktorý</w:t>
      </w:r>
      <w:r>
        <w:rPr>
          <w:rFonts w:ascii="Times New Roman" w:eastAsia="Times New Roman" w:hAnsi="Times New Roman" w:cs="Times New Roman"/>
          <w:color w:val="000000"/>
        </w:rPr>
        <w:t>mi je Slovenská republika viazaná, ako aj v súlade s právom Európskej únie.</w:t>
      </w:r>
    </w:p>
    <w:p w14:paraId="00000020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604C13" w:rsidRDefault="00034D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Návrh zákona predpokladá negatívne, ale zároveň aj pozitívne vplyvy na rozpočet verejnej správy, pozitívne vplyvy na podnikateľské prostred</w:t>
      </w:r>
      <w:r>
        <w:rPr>
          <w:rFonts w:ascii="Times New Roman" w:eastAsia="Times New Roman" w:hAnsi="Times New Roman" w:cs="Times New Roman"/>
        </w:rPr>
        <w:t>ie,</w:t>
      </w:r>
      <w:r>
        <w:rPr>
          <w:rFonts w:ascii="Times New Roman" w:eastAsia="Times New Roman" w:hAnsi="Times New Roman" w:cs="Times New Roman"/>
          <w:color w:val="000000"/>
        </w:rPr>
        <w:t xml:space="preserve"> informatizáciu spoločnosti, životné prostredie, </w:t>
      </w:r>
      <w:r>
        <w:rPr>
          <w:rFonts w:ascii="Times New Roman" w:eastAsia="Times New Roman" w:hAnsi="Times New Roman" w:cs="Times New Roman"/>
        </w:rPr>
        <w:t xml:space="preserve">pozitívne </w:t>
      </w:r>
      <w:r>
        <w:rPr>
          <w:rFonts w:ascii="Times New Roman" w:eastAsia="Times New Roman" w:hAnsi="Times New Roman" w:cs="Times New Roman"/>
          <w:color w:val="000000"/>
        </w:rPr>
        <w:t>sociálne vplyvy, a naopak nepredpoklad</w:t>
      </w:r>
      <w:r>
        <w:rPr>
          <w:rFonts w:ascii="Times New Roman" w:eastAsia="Times New Roman" w:hAnsi="Times New Roman" w:cs="Times New Roman"/>
        </w:rPr>
        <w:t xml:space="preserve">á </w:t>
      </w:r>
      <w:r>
        <w:rPr>
          <w:rFonts w:ascii="Times New Roman" w:eastAsia="Times New Roman" w:hAnsi="Times New Roman" w:cs="Times New Roman"/>
          <w:color w:val="000000"/>
        </w:rPr>
        <w:t>vplyvy na služby verejnej správy pre občana, a ani vplyvy na manželstvo, rodičovstvo a rodinu.</w:t>
      </w:r>
    </w:p>
    <w:p w14:paraId="00000022" w14:textId="77777777" w:rsidR="00604C13" w:rsidRDefault="00604C13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23" w14:textId="77777777" w:rsidR="00604C13" w:rsidRDefault="00604C13">
      <w:pPr>
        <w:rPr>
          <w:rFonts w:ascii="Times New Roman" w:eastAsia="Times New Roman" w:hAnsi="Times New Roman" w:cs="Times New Roman"/>
          <w:b/>
          <w:color w:val="000000"/>
        </w:rPr>
      </w:pPr>
    </w:p>
    <w:p w14:paraId="00000024" w14:textId="77777777" w:rsidR="00604C13" w:rsidRDefault="00034D9D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B. Osobitná časť</w:t>
      </w:r>
    </w:p>
    <w:p w14:paraId="00000025" w14:textId="77777777" w:rsidR="00604C13" w:rsidRDefault="00604C13">
      <w:pPr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604C13" w:rsidRDefault="00034D9D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 čl. I.</w:t>
      </w:r>
    </w:p>
    <w:p w14:paraId="00000027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8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Zvyšuje sa hranica pre </w:t>
      </w:r>
      <w:r>
        <w:rPr>
          <w:rFonts w:ascii="Times New Roman" w:eastAsia="Times New Roman" w:hAnsi="Times New Roman" w:cs="Times New Roman"/>
          <w:color w:val="000000"/>
        </w:rPr>
        <w:t>odpisovanie hmotného majetku s obstarávacou cenou 1 700 eur a menej na 2 400 eur a menej. Odkedy bol naposledy zvyšovaný tento limit sa vplyvom inflácie a technologického pokroku značne zvýšila obstarávacia cena drobného majetku. Zvýšenie tohto limitu umož</w:t>
      </w:r>
      <w:r>
        <w:rPr>
          <w:rFonts w:ascii="Times New Roman" w:eastAsia="Times New Roman" w:hAnsi="Times New Roman" w:cs="Times New Roman"/>
          <w:color w:val="000000"/>
        </w:rPr>
        <w:t xml:space="preserve">ní podnikateľom jednorazovo odpísať drobný majetok vo vyššej hodnote, prevažne elektroniku bez toho, aby o ňom museli viesť evidenciu. Napríklad v Českej republike od roku 2021 pristúpili k zvýšeniu tohto limitu zo 40 000 Kč na 80 000 Kč z dôvodov potreby </w:t>
      </w:r>
      <w:r>
        <w:rPr>
          <w:rFonts w:ascii="Times New Roman" w:eastAsia="Times New Roman" w:hAnsi="Times New Roman" w:cs="Times New Roman"/>
          <w:color w:val="000000"/>
        </w:rPr>
        <w:t xml:space="preserve">stimulovania aktivity a zvýšenia spotreby. </w:t>
      </w:r>
    </w:p>
    <w:p w14:paraId="00000029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2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B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Skracuje sa doba odpisovania budov v 6. odpisovej skupine zo 40 na 30 rokov. Zníženie doby odpisovania reflektuje skutočnosti, že po určitom čase je nutné do obnovy budovy opäť investovať, pričom mater</w:t>
      </w:r>
      <w:r>
        <w:rPr>
          <w:rFonts w:ascii="Times New Roman" w:eastAsia="Times New Roman" w:hAnsi="Times New Roman" w:cs="Times New Roman"/>
          <w:color w:val="000000"/>
        </w:rPr>
        <w:t>iály a technológie rýchlo napredujú. Navrhované riešenie sa nijak významne nelíši od riešenia iných členských štátov Európskej únie, v ktorých sa administratívne budovy odpisujú v rozmedzí 10 až 50 rokov buď rovnomerne alebo zrýchlene.</w:t>
      </w:r>
    </w:p>
    <w:p w14:paraId="0000002C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3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E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Dopĺňa sa</w:t>
      </w:r>
      <w:r>
        <w:rPr>
          <w:rFonts w:ascii="Times New Roman" w:eastAsia="Times New Roman" w:hAnsi="Times New Roman" w:cs="Times New Roman"/>
          <w:color w:val="000000"/>
        </w:rPr>
        <w:t xml:space="preserve"> možnosť zrýchlene odpisovať hmotný nehnuteľný majetok zaradený do odpisovej skupiny 5 a 6, ak má budova energetický certifikát A podľa </w:t>
      </w:r>
      <w:r>
        <w:rPr>
          <w:rFonts w:ascii="Times New Roman" w:eastAsia="Times New Roman" w:hAnsi="Times New Roman" w:cs="Times New Roman"/>
        </w:rPr>
        <w:t>Vyhlášky Ministerstva dopravy, výstavby a regionálneho rozvoja Slovenskej republiky č. 364/2012 Z. z., ktorou sa vykonáv</w:t>
      </w:r>
      <w:r>
        <w:rPr>
          <w:rFonts w:ascii="Times New Roman" w:eastAsia="Times New Roman" w:hAnsi="Times New Roman" w:cs="Times New Roman"/>
        </w:rPr>
        <w:t>a zákon č. 555/2015 Z. z. o energetickej hospodárnosti budov a o zmene a doplnení niektorých zákonov v znení neskorších predpisov</w:t>
      </w:r>
      <w:r>
        <w:rPr>
          <w:rFonts w:ascii="Times New Roman" w:eastAsia="Times New Roman" w:hAnsi="Times New Roman" w:cs="Times New Roman"/>
          <w:color w:val="000000"/>
        </w:rPr>
        <w:t>. Táto zmena má za cieľ podporiť výstavbu a investície do energeticky menej náročných budov, ktoré prispejú nielen k úspore nák</w:t>
      </w:r>
      <w:r>
        <w:rPr>
          <w:rFonts w:ascii="Times New Roman" w:eastAsia="Times New Roman" w:hAnsi="Times New Roman" w:cs="Times New Roman"/>
          <w:color w:val="000000"/>
        </w:rPr>
        <w:t>ladov na energie, ale taktiež k ochrane životného prostredia.</w:t>
      </w:r>
    </w:p>
    <w:p w14:paraId="0000002F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0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1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nadväznosti na skrátenie doby odpisovania hmotného majetku zaradeného do 6 odpisovej skupiny na dobu 30 rokov sa primerane upravujú aj ročné odpisy pre odpisovú skupinu 6, a to konkrétne na hodnotu 1/30.</w:t>
      </w:r>
    </w:p>
    <w:p w14:paraId="00000032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3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5 a 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4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V nadväznosti na umožnenie zrýchlen</w:t>
      </w:r>
      <w:r>
        <w:rPr>
          <w:rFonts w:ascii="Times New Roman" w:eastAsia="Times New Roman" w:hAnsi="Times New Roman" w:cs="Times New Roman"/>
          <w:color w:val="000000"/>
        </w:rPr>
        <w:t xml:space="preserve">ého odpisovania majetku zaradeného do odpisovej skupiny 5 a 6 sa dopĺňajú koeficienty pre tieto odpisové skupiny, a to konkrétne pre odpisovú skupinu 5 v prvom roku odpisovania na 20, v ďalších rokoch odpisovania na 21 a pre zvýšenú zostatkovú cenu na 20. </w:t>
      </w:r>
      <w:r>
        <w:rPr>
          <w:rFonts w:ascii="Times New Roman" w:eastAsia="Times New Roman" w:hAnsi="Times New Roman" w:cs="Times New Roman"/>
          <w:color w:val="000000"/>
        </w:rPr>
        <w:t>Pre odpisovú skupinu 6 tieto koeficienty sú 30, 31 a 30 (v nezmenenom poradí). Daňovníkom to umožní rýchlejšie odpísať budovu s energetickým certifikátom A a tým dosiahnuť úspory na dani skôr.</w:t>
      </w:r>
    </w:p>
    <w:p w14:paraId="00000035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6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7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7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 daňovníkov, ktorí realizujú projekt výskumu a vý</w:t>
      </w:r>
      <w:r>
        <w:rPr>
          <w:rFonts w:ascii="Times New Roman" w:eastAsia="Times New Roman" w:hAnsi="Times New Roman" w:cs="Times New Roman"/>
          <w:color w:val="000000"/>
        </w:rPr>
        <w:t>voja sa zvyšuje daňové zvýhodnenie, ktoré spočíva v odpočte výdavkov (nákladov) na výskum a vývoj od základu dane, tzv. super odpočet. Zavádza sa zvýšenie odpočtu výdavkov (nákladov) na výskum a vývoj u daňovníka, ktorý realizuje projekt výskumu a vývoja z</w:t>
      </w:r>
      <w:r>
        <w:rPr>
          <w:rFonts w:ascii="Times New Roman" w:eastAsia="Times New Roman" w:hAnsi="Times New Roman" w:cs="Times New Roman"/>
          <w:color w:val="000000"/>
        </w:rPr>
        <w:t> doterajších 100 % na 200 %, pričom 200 % môže využiť na výdavky, ktoré v úhrnnej sume nepresahujú 1 mil</w:t>
      </w:r>
      <w:r>
        <w:rPr>
          <w:rFonts w:ascii="Times New Roman" w:eastAsia="Times New Roman" w:hAnsi="Times New Roman" w:cs="Times New Roman"/>
        </w:rPr>
        <w:t>ión</w:t>
      </w:r>
      <w:r>
        <w:rPr>
          <w:rFonts w:ascii="Times New Roman" w:eastAsia="Times New Roman" w:hAnsi="Times New Roman" w:cs="Times New Roman"/>
          <w:color w:val="000000"/>
        </w:rPr>
        <w:t xml:space="preserve"> eur. </w:t>
      </w:r>
      <w:sdt>
        <w:sdtPr>
          <w:tag w:val="goog_rdk_2"/>
          <w:id w:val="84042762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</w:rPr>
        <w:t>Na zvyšné výdavky presahujúce 1 mil</w:t>
      </w:r>
      <w:r>
        <w:rPr>
          <w:rFonts w:ascii="Times New Roman" w:eastAsia="Times New Roman" w:hAnsi="Times New Roman" w:cs="Times New Roman"/>
        </w:rPr>
        <w:t>ión</w:t>
      </w:r>
      <w:r>
        <w:rPr>
          <w:rFonts w:ascii="Times New Roman" w:eastAsia="Times New Roman" w:hAnsi="Times New Roman" w:cs="Times New Roman"/>
          <w:color w:val="000000"/>
        </w:rPr>
        <w:t xml:space="preserve"> eur sa uplatní odpočet 100 % výdavkov.</w:t>
      </w:r>
      <w:r>
        <w:rPr>
          <w:rFonts w:ascii="Times New Roman" w:eastAsia="Times New Roman" w:hAnsi="Times New Roman" w:cs="Times New Roman"/>
          <w:color w:val="000000"/>
        </w:rPr>
        <w:t xml:space="preserve"> V minulosti bol nastavený tzv. super odpočet na 200 % len v rokoch 2020 – 2021. Rok 2021 s 200% sadzbou bol rekordný čo sa týka počtu subjektov aj celkového objemu tzv. super odpočtu. Využilo ho 494 subjektov, celkový jeho objem bol cez 283 miliónov eur, </w:t>
      </w:r>
      <w:r>
        <w:rPr>
          <w:rFonts w:ascii="Times New Roman" w:eastAsia="Times New Roman" w:hAnsi="Times New Roman" w:cs="Times New Roman"/>
          <w:color w:val="000000"/>
        </w:rPr>
        <w:t>čo tvorilo predpokladanú úsporu pre podniky 59,5 milióna eur, takisto jeho priemerná výška bola doposiaľ najvyššia a to 573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000000"/>
        </w:rPr>
        <w:t>tisíc eur.  Avšak potenciál tohto nastavenia mohol byť oveľa vyšší, keďže toto obdobie sa prekrývalo s pandémiou COVID-19. Za rok 20</w:t>
      </w:r>
      <w:r>
        <w:rPr>
          <w:rFonts w:ascii="Times New Roman" w:eastAsia="Times New Roman" w:hAnsi="Times New Roman" w:cs="Times New Roman"/>
          <w:color w:val="000000"/>
        </w:rPr>
        <w:t>22 už so zníženou sadzbou 100 % po prvých daňových priznaniach požiadalo o superodpočet 19 % subjektov menej v porovnaní s rovnakým obdobím a celkový objem bol nižší o 40 %. Existenci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horného limitu pre uplatnenie 200% odpočtu je motiváciou najmä pre menš</w:t>
      </w:r>
      <w:r>
        <w:rPr>
          <w:rFonts w:ascii="Times New Roman" w:eastAsia="Times New Roman" w:hAnsi="Times New Roman" w:cs="Times New Roman"/>
          <w:color w:val="000000"/>
        </w:rPr>
        <w:t>ie a stredne veľké podniky, na ktoré je toto opatrenie zamerané, keďže 10 najväčších firiem využívajúcich tzv. super odpočet predstavuje približne polovicu celkového odpočtu za rok.</w:t>
      </w:r>
    </w:p>
    <w:p w14:paraId="00000038" w14:textId="77777777" w:rsidR="00604C13" w:rsidRDefault="00604C13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39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8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A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Vypúšťa sa právna úprava, podľa ktorej nebolo možné uplatniť od</w:t>
      </w:r>
      <w:r>
        <w:rPr>
          <w:rFonts w:ascii="Times New Roman" w:eastAsia="Times New Roman" w:hAnsi="Times New Roman" w:cs="Times New Roman"/>
          <w:color w:val="000000"/>
        </w:rPr>
        <w:t>počet na výdavky na služby, licencie a nehmotné výsledky výskumu a vývoja. Navrhovanou zmenou sa docieli rozšírenie možnosti tzv. super odpočtu aj o túto skupinu výdavkov, keďže mnohé nehmotné výsledky výskumu a vývoja sú obstarávané prostredníctvom extern</w:t>
      </w:r>
      <w:r>
        <w:rPr>
          <w:rFonts w:ascii="Times New Roman" w:eastAsia="Times New Roman" w:hAnsi="Times New Roman" w:cs="Times New Roman"/>
          <w:color w:val="000000"/>
        </w:rPr>
        <w:t>ých služieb, resp. kontraktorov.</w:t>
      </w:r>
    </w:p>
    <w:p w14:paraId="0000003B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C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9 a 10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3D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Navrhujú sa úpravy v Prílohe č. 1 v rámci odpisových skupín 0 a 2. V reakcii na energetickú a klimatickú krízu obsahujú zelené riešenia pre firmy, konkrétne zaradenia majetku ako tepelné čerpadlá, solárne a </w:t>
      </w:r>
      <w:r>
        <w:rPr>
          <w:rFonts w:ascii="Times New Roman" w:eastAsia="Times New Roman" w:hAnsi="Times New Roman" w:cs="Times New Roman"/>
          <w:color w:val="000000"/>
        </w:rPr>
        <w:t>fotovoltické články do 0 odpisovej skupiny s dobou odpisovania 2 roky. Podľa súčasnej právnej úpravy sa tento majetok odpisuje až 6 rokov, čo nie je pre podniky motivačné.</w:t>
      </w:r>
    </w:p>
    <w:p w14:paraId="0000003E" w14:textId="77777777" w:rsidR="00604C13" w:rsidRDefault="00604C13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F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K bodu 11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40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 prechodných ustanoveniach sa navrhuje, aby sa jednotlivé zmeny prvýkrá</w:t>
      </w:r>
      <w:r>
        <w:rPr>
          <w:rFonts w:ascii="Times New Roman" w:eastAsia="Times New Roman" w:hAnsi="Times New Roman" w:cs="Times New Roman"/>
          <w:color w:val="000000"/>
        </w:rPr>
        <w:t>t uplatnili na daňové priznania podané po 31. decembri 2024. Zároveň sa daňovníkom umožňuje zmenu odpisovej skupiny, zmenu doby odpisovania alebo zmenu odpisovej sadzby vykonať  a uplatniť v daňovom priznaní za rok 2024 podanom v roku 2025. Tzv. super odpo</w:t>
      </w:r>
      <w:r>
        <w:rPr>
          <w:rFonts w:ascii="Times New Roman" w:eastAsia="Times New Roman" w:hAnsi="Times New Roman" w:cs="Times New Roman"/>
          <w:color w:val="000000"/>
        </w:rPr>
        <w:t xml:space="preserve">čet pri výdavkoch na výskum a vývoj sa prvýkrát uplatní v zdaňovacom období, ktoré sa začína najskôr 1. januára 2025, tzn. v daňovom priznaní podanom v roku 2026. </w:t>
      </w:r>
    </w:p>
    <w:p w14:paraId="00000041" w14:textId="77777777" w:rsidR="00604C13" w:rsidRDefault="00604C13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42" w14:textId="77777777" w:rsidR="00604C13" w:rsidRDefault="00034D9D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 čl. II</w:t>
      </w:r>
    </w:p>
    <w:p w14:paraId="00000043" w14:textId="77777777" w:rsidR="00604C13" w:rsidRDefault="00034D9D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Účinnosť predkladanej novely zákona sa navrhuje od 1. januára 2025.</w:t>
      </w:r>
    </w:p>
    <w:p w14:paraId="00000046" w14:textId="7FCDCA25" w:rsidR="00604C13" w:rsidRDefault="00604C13">
      <w:pPr>
        <w:rPr>
          <w:rFonts w:ascii="Times New Roman" w:eastAsia="Times New Roman" w:hAnsi="Times New Roman" w:cs="Times New Roman"/>
          <w:b/>
          <w:smallCaps/>
        </w:rPr>
      </w:pPr>
      <w:bookmarkStart w:id="1" w:name="_GoBack"/>
      <w:bookmarkEnd w:id="1"/>
    </w:p>
    <w:sectPr w:rsidR="00604C13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13"/>
    <w:rsid w:val="00034D9D"/>
    <w:rsid w:val="00604C13"/>
    <w:rsid w:val="00A9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4670"/>
  <w15:docId w15:val="{53113A00-95E5-4B62-ACE1-A293A40C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3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3CE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63C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6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B722H2UrebGaXHXQE0TPvjoHQ==">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Truban, Michal, (asistent)</cp:lastModifiedBy>
  <cp:revision>2</cp:revision>
  <cp:lastPrinted>2024-01-12T09:46:00Z</cp:lastPrinted>
  <dcterms:created xsi:type="dcterms:W3CDTF">2024-01-12T09:45:00Z</dcterms:created>
  <dcterms:modified xsi:type="dcterms:W3CDTF">2024-01-12T10:35:00Z</dcterms:modified>
</cp:coreProperties>
</file>