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2024,</w:t>
      </w:r>
    </w:p>
    <w:p w:rsidR="00000000" w:rsidDel="00000000" w:rsidP="00000000" w:rsidRDefault="00000000" w:rsidRPr="00000000" w14:paraId="0000000A">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rFonts w:ascii="Times New Roman" w:cs="Times New Roman" w:eastAsia="Times New Roman" w:hAnsi="Times New Roman"/>
          <w:b w:val="1"/>
          <w:sz w:val="24"/>
          <w:szCs w:val="24"/>
          <w:rtl w:val="0"/>
        </w:rPr>
        <w:t xml:space="preserve">ktorým sa mení a dopĺňa zákon č. 595/2003 Z. z. o dani z príjmov v znení neskorších predpisov</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Národná rada Slovenskej republiky sa uzniesla na tomto zákone:</w:t>
      </w:r>
    </w:p>
    <w:p w:rsidR="00000000" w:rsidDel="00000000" w:rsidP="00000000" w:rsidRDefault="00000000" w:rsidRPr="00000000" w14:paraId="0000000E">
      <w:pPr>
        <w:spacing w:after="0" w:line="240" w:lineRule="auto"/>
        <w:jc w:val="center"/>
        <w:rPr>
          <w:b w:val="1"/>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Čl. I</w:t>
      </w:r>
    </w:p>
    <w:p w:rsidR="00000000" w:rsidDel="00000000" w:rsidP="00000000" w:rsidRDefault="00000000" w:rsidRPr="00000000" w14:paraId="00000010">
      <w:pPr>
        <w:spacing w:after="0" w:line="240" w:lineRule="auto"/>
        <w:jc w:val="center"/>
        <w:rPr>
          <w:b w:val="1"/>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a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sa mení a dopĺňa takto:</w:t>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22 ods. 2 písm. a), ods. 6 písm. c) až e), ods. 15 a § 29 ods. 1, 2 a 3 sa suma „1 700 eur“ nahrádza sumou „2 400 eur“.</w:t>
      </w:r>
    </w:p>
    <w:p w:rsidR="00000000" w:rsidDel="00000000" w:rsidP="00000000" w:rsidRDefault="00000000" w:rsidRPr="00000000" w14:paraId="00000014">
      <w:pPr>
        <w:spacing w:after="0" w:lineRule="auto"/>
        <w:ind w:left="426" w:hanging="42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26 ods. 1 druhá veta znie: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„Doba odpisovania</w:t>
      </w:r>
    </w:p>
    <w:p w:rsidR="00000000" w:rsidDel="00000000" w:rsidP="00000000" w:rsidRDefault="00000000" w:rsidRPr="00000000" w14:paraId="00000017">
      <w:pPr>
        <w:spacing w:after="0" w:lineRule="auto"/>
        <w:ind w:left="426" w:hanging="426"/>
        <w:rPr>
          <w:rFonts w:ascii="Times New Roman" w:cs="Times New Roman" w:eastAsia="Times New Roman" w:hAnsi="Times New Roman"/>
          <w:sz w:val="24"/>
          <w:szCs w:val="24"/>
        </w:rPr>
      </w:pPr>
      <w:r w:rsidDel="00000000" w:rsidR="00000000" w:rsidRPr="00000000">
        <w:rPr>
          <w:rtl w:val="0"/>
        </w:rPr>
      </w:r>
    </w:p>
    <w:tbl>
      <w:tblPr>
        <w:tblStyle w:val="Table1"/>
        <w:tblW w:w="5342.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23"/>
        <w:gridCol w:w="3119"/>
        <w:tblGridChange w:id="0">
          <w:tblGrid>
            <w:gridCol w:w="2223"/>
            <w:gridCol w:w="3119"/>
          </w:tblGrid>
        </w:tblGridChange>
      </w:tblGrid>
      <w:tr>
        <w:trPr>
          <w:cantSplit w:val="0"/>
          <w:tblHeader w:val="0"/>
        </w:trPr>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Odpisová skupina</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Doba odpisovania</w:t>
            </w:r>
          </w:p>
        </w:tc>
      </w:tr>
      <w:tr>
        <w:trPr>
          <w:cantSplit w:val="0"/>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roky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roky</w:t>
            </w:r>
          </w:p>
        </w:tc>
      </w:tr>
      <w:tr>
        <w:trPr>
          <w:cantSplit w:val="0"/>
          <w:tblHeader w:val="0"/>
        </w:trPr>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rokov</w:t>
            </w:r>
          </w:p>
        </w:tc>
      </w:tr>
      <w:tr>
        <w:trPr>
          <w:cantSplit w:val="0"/>
          <w:tblHeader w:val="0"/>
        </w:trPr>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rokov</w:t>
            </w:r>
          </w:p>
        </w:tc>
      </w:tr>
      <w:tr>
        <w:trPr>
          <w:cantSplit w:val="0"/>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rokov</w:t>
            </w:r>
          </w:p>
        </w:tc>
      </w:tr>
      <w:tr>
        <w:trPr>
          <w:cantSplit w:val="0"/>
          <w:tblHeader w:val="0"/>
        </w:trPr>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rokov</w:t>
            </w:r>
          </w:p>
        </w:tc>
      </w:tr>
      <w:tr>
        <w:trPr>
          <w:cantSplit w:val="0"/>
          <w:tblHeader w:val="0"/>
        </w:trPr>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rokov.“.</w:t>
            </w:r>
          </w:p>
        </w:tc>
      </w:tr>
    </w:tbl>
    <w:p w:rsidR="00000000" w:rsidDel="00000000" w:rsidP="00000000" w:rsidRDefault="00000000" w:rsidRPr="00000000" w14:paraId="00000028">
      <w:pPr>
        <w:spacing w:after="0" w:lineRule="auto"/>
        <w:ind w:left="426" w:hanging="42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hd w:fill="ffffff" w:val="clear"/>
        <w:tabs>
          <w:tab w:val="left" w:leader="none" w:pos="426"/>
        </w:tabs>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26 ods. 3 druhá veta znie:</w:t>
      </w:r>
    </w:p>
    <w:p w:rsidR="00000000" w:rsidDel="00000000" w:rsidP="00000000" w:rsidRDefault="00000000" w:rsidRPr="00000000" w14:paraId="0000002B">
      <w:pPr>
        <w:shd w:fill="ffffff" w:val="clear"/>
        <w:tabs>
          <w:tab w:val="left" w:leader="none" w:pos="426"/>
        </w:tabs>
        <w:spacing w:after="8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„Metódou zrýchleného odpisovania (§ 28) môže daňovník odpisovať hmotný majetok zaradený podľa prílohy č. 1 do odpisovej skupiny 2 a 3 a hmotný majetok zaradený podľa prílohy č. 1 do odpisovej skupiny 5 a 6, ak bola budova energetickou certifikáciou podľa osobitného predpisu</w:t>
      </w:r>
      <w:r w:rsidDel="00000000" w:rsidR="00000000" w:rsidRPr="00000000">
        <w:rPr>
          <w:rFonts w:ascii="Times New Roman" w:cs="Times New Roman" w:eastAsia="Times New Roman" w:hAnsi="Times New Roman"/>
          <w:sz w:val="24"/>
          <w:szCs w:val="24"/>
          <w:vertAlign w:val="superscript"/>
          <w:rtl w:val="0"/>
        </w:rPr>
        <w:t xml:space="preserve">120aaaa</w:t>
      </w:r>
      <w:r w:rsidDel="00000000" w:rsidR="00000000" w:rsidRPr="00000000">
        <w:rPr>
          <w:rFonts w:ascii="Times New Roman" w:cs="Times New Roman" w:eastAsia="Times New Roman" w:hAnsi="Times New Roman"/>
          <w:sz w:val="24"/>
          <w:szCs w:val="24"/>
          <w:rtl w:val="0"/>
        </w:rPr>
        <w:t xml:space="preserve">) zatriedená do energetickej triedy A.</w:t>
      </w:r>
      <w:r w:rsidDel="00000000" w:rsidR="00000000" w:rsidRPr="00000000">
        <w:rPr>
          <w:rFonts w:ascii="Times New Roman" w:cs="Times New Roman" w:eastAsia="Times New Roman" w:hAnsi="Times New Roman"/>
          <w:sz w:val="24"/>
          <w:szCs w:val="24"/>
          <w:vertAlign w:val="superscript"/>
          <w:rtl w:val="0"/>
        </w:rPr>
        <w:t xml:space="preserve">120aaab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pacing w:after="0" w:before="8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Poznámky pod čiarou k odkazom 120aaaa a 120aaab znejú:</w:t>
      </w:r>
    </w:p>
    <w:p w:rsidR="00000000" w:rsidDel="00000000" w:rsidP="00000000" w:rsidRDefault="00000000" w:rsidRPr="00000000" w14:paraId="0000002D">
      <w:pPr>
        <w:spacing w:after="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120aaaa</w:t>
      </w:r>
      <w:r w:rsidDel="00000000" w:rsidR="00000000" w:rsidRPr="00000000">
        <w:rPr>
          <w:rFonts w:ascii="Times New Roman" w:cs="Times New Roman" w:eastAsia="Times New Roman" w:hAnsi="Times New Roman"/>
          <w:sz w:val="24"/>
          <w:szCs w:val="24"/>
          <w:rtl w:val="0"/>
        </w:rPr>
        <w:t xml:space="preserve">) Zákon č. 555/2005 Z. z. o energetickej hospodárnosti budov a o zmene a doplnení niektorých zákonov v znení neskorších predpisov.</w:t>
      </w:r>
    </w:p>
    <w:p w:rsidR="00000000" w:rsidDel="00000000" w:rsidP="00000000" w:rsidRDefault="00000000" w:rsidRPr="00000000" w14:paraId="0000002E">
      <w:pPr>
        <w:shd w:fill="ffffff" w:val="clear"/>
        <w:tabs>
          <w:tab w:val="left" w:leader="none" w:pos="426"/>
        </w:tabs>
        <w:spacing w:after="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120aaab</w:t>
      </w:r>
      <w:r w:rsidDel="00000000" w:rsidR="00000000" w:rsidRPr="00000000">
        <w:rPr>
          <w:rFonts w:ascii="Times New Roman" w:cs="Times New Roman" w:eastAsia="Times New Roman" w:hAnsi="Times New Roman"/>
          <w:sz w:val="24"/>
          <w:szCs w:val="24"/>
          <w:rtl w:val="0"/>
        </w:rPr>
        <w:t xml:space="preserve">) Vyhláška Ministerstva dopravy, výstavby a regionálneho rozvoja Slovenskej republiky č. 364/2012 Z. z., ktorou sa vykonáva zákon č. 555/2015 Z. z. o energetickej hospodárnosti budov a o zmene a doplnení niektorých zákonov v znení neskorších predpisov.“.</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27 odsek 1 znie:</w:t>
      </w:r>
    </w:p>
    <w:p w:rsidR="00000000" w:rsidDel="00000000" w:rsidP="00000000" w:rsidRDefault="00000000" w:rsidRPr="00000000" w14:paraId="00000031">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 rovnomernom odpisovaní sa ročný odpis určí ako podiel vstupnej ceny hmotného majetku a doby odpisovania ustanovenej pre príslušnú odpisovú skupinu v § 26 ods. 1 takto:</w:t>
      </w:r>
    </w:p>
    <w:p w:rsidR="00000000" w:rsidDel="00000000" w:rsidP="00000000" w:rsidRDefault="00000000" w:rsidRPr="00000000" w14:paraId="00000032">
      <w:pPr>
        <w:spacing w:after="0" w:line="240" w:lineRule="auto"/>
        <w:ind w:left="426" w:hanging="426"/>
        <w:jc w:val="both"/>
        <w:rPr>
          <w:rFonts w:ascii="Times New Roman" w:cs="Times New Roman" w:eastAsia="Times New Roman" w:hAnsi="Times New Roman"/>
          <w:sz w:val="24"/>
          <w:szCs w:val="24"/>
        </w:rPr>
      </w:pPr>
      <w:r w:rsidDel="00000000" w:rsidR="00000000" w:rsidRPr="00000000">
        <w:rPr>
          <w:rtl w:val="0"/>
        </w:rPr>
      </w:r>
    </w:p>
    <w:tbl>
      <w:tblPr>
        <w:tblStyle w:val="Table2"/>
        <w:tblW w:w="864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4252"/>
        <w:tblGridChange w:id="0">
          <w:tblGrid>
            <w:gridCol w:w="4395"/>
            <w:gridCol w:w="4252"/>
          </w:tblGrid>
        </w:tblGridChange>
      </w:tblGrid>
      <w:tr>
        <w:trPr>
          <w:cantSplit w:val="0"/>
          <w:tblHeader w:val="0"/>
        </w:trPr>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Odpisová skupina</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Ročný odpis</w:t>
            </w:r>
          </w:p>
        </w:tc>
      </w:tr>
      <w:tr>
        <w:trPr>
          <w:cantSplit w:val="0"/>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tc>
      </w:tr>
      <w:tr>
        <w:trPr>
          <w:cantSplit w:val="0"/>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p>
        </w:tc>
      </w:tr>
      <w:tr>
        <w:trPr>
          <w:cantSplit w:val="0"/>
          <w:tblHeader w:val="0"/>
        </w:trPr>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r>
      <w:tr>
        <w:trPr>
          <w:cantSplit w:val="0"/>
          <w:tblHeader w:val="0"/>
        </w:trPr>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 </w:t>
            </w:r>
          </w:p>
        </w:tc>
      </w:tr>
      <w:tr>
        <w:trPr>
          <w:cantSplit w:val="0"/>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 </w:t>
            </w:r>
          </w:p>
        </w:tc>
      </w:tr>
      <w:tr>
        <w:trPr>
          <w:cantSplit w:val="0"/>
          <w:tblHeader w:val="0"/>
        </w:trPr>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1/30.“.</w:t>
            </w:r>
          </w:p>
        </w:tc>
      </w:tr>
      <w:tr>
        <w:trPr>
          <w:cantSplit w:val="0"/>
          <w:tblHeader w:val="0"/>
        </w:trPr>
        <w:tc>
          <w:tcPr>
            <w:vAlign w:val="center"/>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Nadpis § 28 znie: „Zrýchlené odpisovanie hmotného majetku zaradeného do odpisovej skupiny 2, 3, 5 a 6“.</w:t>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28 odsek 1 znie: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Pri zrýchlenom odpisovaní hmotného majetku sa odpisovým skupinám 2, 3, 5 a 6 priraďujú tieto koeficienty pre zrýchlené odpisovanie:</w:t>
      </w:r>
    </w:p>
    <w:tbl>
      <w:tblPr>
        <w:tblStyle w:val="Table3"/>
        <w:tblW w:w="9781.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61"/>
        <w:gridCol w:w="1701"/>
        <w:gridCol w:w="2835"/>
        <w:gridCol w:w="1984"/>
        <w:tblGridChange w:id="0">
          <w:tblGrid>
            <w:gridCol w:w="3261"/>
            <w:gridCol w:w="1701"/>
            <w:gridCol w:w="2835"/>
            <w:gridCol w:w="1984"/>
          </w:tblGrid>
        </w:tblGridChange>
      </w:tblGrid>
      <w:tr>
        <w:trPr>
          <w:cantSplit w:val="0"/>
          <w:trHeight w:val="271" w:hRule="atLeast"/>
          <w:tblHeader w:val="0"/>
        </w:trPr>
        <w:tc>
          <w:tcPr>
            <w:vMerge w:val="restart"/>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Odpisová</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skupina</w:t>
            </w:r>
            <w:r w:rsidDel="00000000" w:rsidR="00000000" w:rsidRPr="00000000">
              <w:rPr>
                <w:rtl w:val="0"/>
              </w:rPr>
            </w:r>
          </w:p>
        </w:tc>
        <w:tc>
          <w:tcPr>
            <w:gridSpan w:val="3"/>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5" w:hRule="atLeast"/>
          <w:tblHeader w:val="0"/>
        </w:trPr>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prvom roku   odpisovania</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ďalších rokoch odpisovania</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 zvýšenú zostatkovú cenu</w:t>
            </w:r>
          </w:p>
        </w:tc>
      </w:tr>
      <w:tr>
        <w:trPr>
          <w:cantSplit w:val="0"/>
          <w:trHeight w:val="288" w:hRule="atLeast"/>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271" w:hRule="atLeast"/>
          <w:tblHeader w:val="0"/>
        </w:trPr>
        <w:tc>
          <w:tcP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1" w:hRule="atLeast"/>
          <w:tblHeader w:val="0"/>
        </w:trPr>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r>
      <w:tr>
        <w:trPr>
          <w:cantSplit w:val="0"/>
          <w:trHeight w:val="271" w:hRule="atLeast"/>
          <w:tblHeader w:val="0"/>
        </w:trPr>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w:t>
            </w:r>
          </w:p>
        </w:tc>
      </w:tr>
      <w:tr>
        <w:trPr>
          <w:cantSplit w:val="0"/>
          <w:trHeight w:val="271" w:hRule="atLeast"/>
          <w:tblHeader w:val="0"/>
        </w:trPr>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30c odsek 1 znie:</w:t>
      </w:r>
    </w:p>
    <w:p w:rsidR="00000000" w:rsidDel="00000000" w:rsidP="00000000" w:rsidRDefault="00000000" w:rsidRPr="00000000" w14:paraId="0000006B">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výskumu a vývoja možno odpočítať</w:t>
      </w:r>
    </w:p>
    <w:p w:rsidR="00000000" w:rsidDel="00000000" w:rsidP="00000000" w:rsidRDefault="00000000" w:rsidRPr="00000000" w14:paraId="0000006C">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w:t>
        <w:tab/>
        <w:t xml:space="preserve">200 % výdavkov (nákladov) vynaložených na výskum a vývoj</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 v zdaňovacom období, za ktoré sa podáva daňové priznanie, z úhrnnej výšky výdavkov nepresahujúcej 1 000 000 eur a</w:t>
      </w:r>
    </w:p>
    <w:p w:rsidR="00000000" w:rsidDel="00000000" w:rsidP="00000000" w:rsidRDefault="00000000" w:rsidRPr="00000000" w14:paraId="0000006D">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t>
        <w:tab/>
        <w:t xml:space="preserve">100 % výdavkov (nákladov) vynaložených na výskum a vývoj</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 v zdaňovacom období, za ktoré sa podáva daňové priznanie, z úhrnnej výšky výdavkov presahujúcej 1 000 000 eur.“.</w:t>
      </w:r>
    </w:p>
    <w:p w:rsidR="00000000" w:rsidDel="00000000" w:rsidP="00000000" w:rsidRDefault="00000000" w:rsidRPr="00000000" w14:paraId="0000006E">
      <w:pPr>
        <w:spacing w:after="0" w:lineRule="auto"/>
        <w:ind w:left="426" w:hanging="426"/>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30c odsek 5 znie:</w:t>
      </w:r>
    </w:p>
    <w:p w:rsidR="00000000" w:rsidDel="00000000" w:rsidP="00000000" w:rsidRDefault="00000000" w:rsidRPr="00000000" w14:paraId="00000070">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Odpočet podľa odsekov 1 a 2 nemožno uplatniť na výdavky (náklady), na ktoré bola poskytnutá úplná alebo čiastočná podpora z verejných financií, okrem príspevku podľa osobitného predpisu</w:t>
      </w:r>
      <w:r w:rsidDel="00000000" w:rsidR="00000000" w:rsidRPr="00000000">
        <w:rPr>
          <w:rFonts w:ascii="Times New Roman" w:cs="Times New Roman" w:eastAsia="Times New Roman" w:hAnsi="Times New Roman"/>
          <w:color w:val="000000"/>
          <w:sz w:val="24"/>
          <w:szCs w:val="24"/>
          <w:vertAlign w:val="superscript"/>
          <w:rtl w:val="0"/>
        </w:rPr>
        <w:t xml:space="preserve">46a</w:t>
      </w:r>
      <w:r w:rsidDel="00000000" w:rsidR="00000000" w:rsidRPr="00000000">
        <w:rPr>
          <w:rFonts w:ascii="Times New Roman" w:cs="Times New Roman" w:eastAsia="Times New Roman" w:hAnsi="Times New Roman"/>
          <w:color w:val="000000"/>
          <w:sz w:val="24"/>
          <w:szCs w:val="24"/>
          <w:rtl w:val="0"/>
        </w:rPr>
        <w:t xml:space="preserve">) na úhradu časti mzdových nákladov na každého zamestnanca v závislosti od poklesu tržieb.“.</w:t>
      </w:r>
    </w:p>
    <w:p w:rsidR="00000000" w:rsidDel="00000000" w:rsidP="00000000" w:rsidRDefault="00000000" w:rsidRPr="00000000" w14:paraId="00000071">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prílohe č. 1 sa na konci odpisovej skupiny 0 pripájajú tieto slová:</w:t>
      </w:r>
    </w:p>
    <w:p w:rsidR="00000000" w:rsidDel="00000000" w:rsidP="00000000" w:rsidRDefault="00000000" w:rsidRPr="00000000" w14:paraId="00000073">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tab/>
        <w:t xml:space="preserve">28.29.2   Fotovoltické a solárne panely</w:t>
      </w:r>
    </w:p>
    <w:p w:rsidR="00000000" w:rsidDel="00000000" w:rsidP="00000000" w:rsidRDefault="00000000" w:rsidRPr="00000000" w14:paraId="00000074">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w:t>
        <w:tab/>
        <w:t xml:space="preserve">28.25.1   Tepelné čerpadlá“.</w:t>
      </w:r>
    </w:p>
    <w:p w:rsidR="00000000" w:rsidDel="00000000" w:rsidP="00000000" w:rsidRDefault="00000000" w:rsidRPr="00000000" w14:paraId="00000075">
      <w:pPr>
        <w:spacing w:after="0" w:lineRule="auto"/>
        <w:ind w:left="426" w:hanging="426"/>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prílohe č. 1 odpisovej skupine 2 položky 2-21 a 2-22 znejú:</w:t>
      </w:r>
    </w:p>
    <w:p w:rsidR="00000000" w:rsidDel="00000000" w:rsidP="00000000" w:rsidRDefault="00000000" w:rsidRPr="00000000" w14:paraId="00000077">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„2-21       28.25.13  Chladiace a mraziace zariadenia</w:t>
      </w:r>
    </w:p>
    <w:p w:rsidR="00000000" w:rsidDel="00000000" w:rsidP="00000000" w:rsidRDefault="00000000" w:rsidRPr="00000000" w14:paraId="00000078">
      <w:pPr>
        <w:spacing w:after="0" w:lineRule="auto"/>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2-22         28.29</w:t>
        <w:tab/>
        <w:t xml:space="preserve">   Ostatné stroje a zariadenia na všeobecné účely inde neuvedené okrem</w:t>
      </w:r>
    </w:p>
    <w:p w:rsidR="00000000" w:rsidDel="00000000" w:rsidP="00000000" w:rsidRDefault="00000000" w:rsidRPr="00000000" w14:paraId="00000079">
      <w:pPr>
        <w:spacing w:after="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- 28.29.1 - Plynové generátory, destilačné a filtračné prístroje</w:t>
      </w:r>
    </w:p>
    <w:p w:rsidR="00000000" w:rsidDel="00000000" w:rsidP="00000000" w:rsidRDefault="00000000" w:rsidRPr="00000000" w14:paraId="0000007A">
      <w:pPr>
        <w:spacing w:after="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- 28.29.2 - Fotovoltické a solárne panely</w:t>
      </w:r>
    </w:p>
    <w:p w:rsidR="00000000" w:rsidDel="00000000" w:rsidP="00000000" w:rsidRDefault="00000000" w:rsidRPr="00000000" w14:paraId="0000007B">
      <w:pPr>
        <w:spacing w:after="0" w:lineRule="auto"/>
        <w:ind w:left="2552" w:hanging="145.9999999999999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- 28.29.3 - Technické a domáce váhy a ostatné prístroje a zariadenia na váženie a meranie“.</w:t>
      </w:r>
    </w:p>
    <w:p w:rsidR="00000000" w:rsidDel="00000000" w:rsidP="00000000" w:rsidRDefault="00000000" w:rsidRPr="00000000" w14:paraId="0000007C">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 52zzz sa vkladá § 52zzza, ktorý vrátane nadpisu znie:</w:t>
      </w:r>
    </w:p>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52zzza</w:t>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Prechodné ustanovenia k úpravám účinným od 1. januára 2025</w:t>
      </w:r>
    </w:p>
    <w:p w:rsidR="00000000" w:rsidDel="00000000" w:rsidP="00000000" w:rsidRDefault="00000000" w:rsidRPr="00000000" w14:paraId="00000080">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Ustanovenia § 26 ods. 1 a 3, § 27 ods. 1, § 28 ods. 1, § 30c ods. 5 a príloha č. 1 v znení účinnom od 1. januára 2025 sa prvýkrát použijú pri podaní daňového priznania po 31. decembri 2024. Zmenu odpisovej skupiny, zmenu doby odpisovania alebo zmenu ročnej odpisovej sadzby je možné vykonať aj pri tom majetku, ktorý sa odpisoval podľa predpisu účinného do 31. decembra 2024, pričom už uplatnené odpisy sa spätne neupravujú.</w:t>
      </w:r>
    </w:p>
    <w:p w:rsidR="00000000" w:rsidDel="00000000" w:rsidP="00000000" w:rsidRDefault="00000000" w:rsidRPr="00000000" w14:paraId="00000081">
      <w:pPr>
        <w:ind w:left="42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 Ustanovenie § 30c ods. 1 v znení účinnom od 1. januára 2025 sa prvýkrát použije za zdaňovacie obdobie, ktoré sa začína najskôr 1. januára 2025.</w:t>
      </w: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center"/>
        <w:rPr>
          <w:b w:val="1"/>
        </w:rPr>
      </w:pPr>
      <w:r w:rsidDel="00000000" w:rsidR="00000000" w:rsidRPr="00000000">
        <w:rPr>
          <w:rFonts w:ascii="Times New Roman" w:cs="Times New Roman" w:eastAsia="Times New Roman" w:hAnsi="Times New Roman"/>
          <w:b w:val="1"/>
          <w:rtl w:val="0"/>
        </w:rPr>
        <w:t xml:space="preserve">Čl. II</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Tento zákon nadobúda účinnosť 1. januára 2025.</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footerReference r:id="rId7"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Arial Narrow" w:cs="Arial Narrow" w:eastAsia="Arial Narrow" w:hAnsi="Arial Narrow"/>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Narrow" w:cs="Arial Narrow" w:eastAsia="Arial Narrow" w:hAnsi="Arial Narrow"/>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Narrow" w:cs="Arial Narrow" w:eastAsia="Arial Narrow" w:hAnsi="Arial Narrow"/>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02RPNebP6Q477jRtg4Xcraxo8w==">CgMxLjA4AHIhMUp1VXFKdk5TYWdCQVF5ZzdVajE2MHg3cUZxZ2VCREVn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