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58DDC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14:paraId="041FFACE" w14:textId="77777777" w:rsidR="00B67AAD" w:rsidRPr="00463564" w:rsidRDefault="00B67AAD" w:rsidP="00B67AAD">
      <w:pPr>
        <w:pStyle w:val="Nadpis1"/>
        <w:spacing w:before="120" w:line="276" w:lineRule="auto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b w:val="0"/>
          <w:bCs/>
          <w:sz w:val="22"/>
          <w:szCs w:val="22"/>
        </w:rPr>
        <w:t> </w:t>
      </w:r>
    </w:p>
    <w:p w14:paraId="59E5680F" w14:textId="77777777" w:rsidR="00B67AAD" w:rsidRPr="00463564" w:rsidRDefault="00B67AAD" w:rsidP="00B67AAD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  <w:lang w:eastAsia="x-none"/>
        </w:rPr>
      </w:pPr>
      <w:r>
        <w:rPr>
          <w:rFonts w:ascii="Book Antiqua" w:hAnsi="Book Antiqua"/>
          <w:sz w:val="22"/>
          <w:szCs w:val="22"/>
        </w:rPr>
        <w:t>A. Všeobecná časť</w:t>
      </w:r>
    </w:p>
    <w:p w14:paraId="50D5DC44" w14:textId="77777777" w:rsidR="00B67AAD" w:rsidRPr="00E00806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0806">
        <w:rPr>
          <w:rFonts w:ascii="Book Antiqua" w:hAnsi="Book Antiqua"/>
          <w:sz w:val="22"/>
          <w:szCs w:val="22"/>
        </w:rPr>
        <w:t xml:space="preserve">Návrh ústavného zákona, ktorým sa mení a dopĺňa ústavný </w:t>
      </w:r>
      <w:r w:rsidRPr="00E00806">
        <w:rPr>
          <w:rFonts w:ascii="Book Antiqua" w:hAnsi="Book Antiqua"/>
          <w:bCs/>
          <w:sz w:val="22"/>
          <w:szCs w:val="22"/>
        </w:rPr>
        <w:t xml:space="preserve">zákon č. 397/2004 Z. z. </w:t>
      </w:r>
      <w:r w:rsidRPr="00E00806">
        <w:rPr>
          <w:rFonts w:ascii="Book Antiqua" w:hAnsi="Book Antiqua"/>
          <w:sz w:val="22"/>
          <w:szCs w:val="22"/>
        </w:rPr>
        <w:t>o spolupráci Národnej rady Slovenskej republiky a vlády Slovenskej republiky v záležitostiach Európskej únie (ďalej len „návrh ústavného zákona“) predkladá skupina poslancov Národnej rady Slovenskej republiky.</w:t>
      </w:r>
    </w:p>
    <w:p w14:paraId="37700E38" w14:textId="7404A3E3" w:rsidR="00B67AAD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Cieľom </w:t>
      </w:r>
      <w:r w:rsidRPr="00E00806">
        <w:rPr>
          <w:rFonts w:ascii="Book Antiqua" w:hAnsi="Book Antiqua"/>
          <w:b/>
          <w:sz w:val="22"/>
          <w:szCs w:val="22"/>
        </w:rPr>
        <w:t>návrhu</w:t>
      </w:r>
      <w:r w:rsidRPr="00924508">
        <w:rPr>
          <w:rFonts w:ascii="Book Antiqua" w:hAnsi="Book Antiqua"/>
          <w:b/>
          <w:sz w:val="22"/>
          <w:szCs w:val="22"/>
        </w:rPr>
        <w:t xml:space="preserve"> ústavného zákona je zlepšiť spoluprácu N</w:t>
      </w:r>
      <w:r>
        <w:rPr>
          <w:rFonts w:ascii="Book Antiqua" w:hAnsi="Book Antiqua"/>
          <w:b/>
          <w:sz w:val="22"/>
          <w:szCs w:val="22"/>
        </w:rPr>
        <w:t>árodnej rady Slovenskej republiky (ďalej len „Národná rada SR“)</w:t>
      </w:r>
      <w:r w:rsidRPr="00924508">
        <w:rPr>
          <w:rFonts w:ascii="Book Antiqua" w:hAnsi="Book Antiqua"/>
          <w:b/>
          <w:sz w:val="22"/>
          <w:szCs w:val="22"/>
        </w:rPr>
        <w:t xml:space="preserve"> s vládou Slovenskej republiky (ďalej len „vláda“) v európskych záležitostiach pri vypracovávaní stanovísk Slovenskej republiky k návrhom právne záväzných aktov a iných aktov Európskej únie (ďalej len „EÚ“) vládou a ich schvaľovaní N</w:t>
      </w:r>
      <w:r>
        <w:rPr>
          <w:rFonts w:ascii="Book Antiqua" w:hAnsi="Book Antiqua"/>
          <w:b/>
          <w:sz w:val="22"/>
          <w:szCs w:val="22"/>
        </w:rPr>
        <w:t>árodnou radou</w:t>
      </w:r>
      <w:r w:rsidRPr="00924508">
        <w:rPr>
          <w:rFonts w:ascii="Book Antiqua" w:hAnsi="Book Antiqua"/>
          <w:b/>
          <w:sz w:val="22"/>
          <w:szCs w:val="22"/>
        </w:rPr>
        <w:t xml:space="preserve"> SR predtým, ako o nich budú rokovať zástupcovia vlád členských štátov EÚ, a to tak, že sa </w:t>
      </w:r>
      <w:r>
        <w:rPr>
          <w:rFonts w:ascii="Book Antiqua" w:hAnsi="Book Antiqua"/>
          <w:b/>
          <w:sz w:val="22"/>
          <w:szCs w:val="22"/>
        </w:rPr>
        <w:t xml:space="preserve">spresní rámec tejto spolupráce optimalizáciou doterajších lehôt </w:t>
      </w:r>
      <w:r w:rsidRPr="00924508">
        <w:rPr>
          <w:rFonts w:ascii="Book Antiqua" w:hAnsi="Book Antiqua"/>
          <w:b/>
          <w:sz w:val="22"/>
          <w:szCs w:val="22"/>
        </w:rPr>
        <w:t xml:space="preserve">na vypracovanie týchto stanovísk </w:t>
      </w:r>
      <w:r>
        <w:rPr>
          <w:rFonts w:ascii="Book Antiqua" w:hAnsi="Book Antiqua"/>
          <w:b/>
          <w:sz w:val="22"/>
          <w:szCs w:val="22"/>
        </w:rPr>
        <w:t>a vhodnejším nastavením sankcií za nedodržanie povinností v zmysle tohto zákona tak zo strany vlády, ako aj parlamentu.</w:t>
      </w:r>
    </w:p>
    <w:p w14:paraId="60DE5B4D" w14:textId="28AEE7B3" w:rsidR="00B67AAD" w:rsidRPr="00924508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Súvisiace zmeny a doplnenia sú navrhnuté aj v novele </w:t>
      </w:r>
      <w:r w:rsidRPr="00463564">
        <w:rPr>
          <w:rFonts w:ascii="Book Antiqua" w:hAnsi="Book Antiqua"/>
          <w:sz w:val="22"/>
          <w:szCs w:val="22"/>
        </w:rPr>
        <w:t>zákona Národnej rady S</w:t>
      </w:r>
      <w:r>
        <w:rPr>
          <w:rFonts w:ascii="Book Antiqua" w:hAnsi="Book Antiqua"/>
          <w:sz w:val="22"/>
          <w:szCs w:val="22"/>
        </w:rPr>
        <w:t>R</w:t>
      </w:r>
      <w:r w:rsidRPr="00463564">
        <w:rPr>
          <w:rFonts w:ascii="Book Antiqua" w:hAnsi="Book Antiqua"/>
          <w:sz w:val="22"/>
          <w:szCs w:val="22"/>
        </w:rPr>
        <w:t xml:space="preserve"> č. 350/1996 Z. z. o rokovacom poriadku Národnej rady S</w:t>
      </w:r>
      <w:r>
        <w:rPr>
          <w:rFonts w:ascii="Book Antiqua" w:hAnsi="Book Antiqua"/>
          <w:sz w:val="22"/>
          <w:szCs w:val="22"/>
        </w:rPr>
        <w:t>R</w:t>
      </w:r>
      <w:r w:rsidRPr="00463564">
        <w:rPr>
          <w:rFonts w:ascii="Book Antiqua" w:hAnsi="Book Antiqua"/>
          <w:sz w:val="22"/>
          <w:szCs w:val="22"/>
        </w:rPr>
        <w:t xml:space="preserve"> v znení neskorších predpisov, </w:t>
      </w:r>
      <w:r>
        <w:rPr>
          <w:rFonts w:ascii="Book Antiqua" w:hAnsi="Book Antiqua"/>
          <w:sz w:val="22"/>
          <w:szCs w:val="22"/>
        </w:rPr>
        <w:t>ktorá sa predkladá súčasne s týmto návrhom ústavného zákona.</w:t>
      </w:r>
    </w:p>
    <w:p w14:paraId="4D617476" w14:textId="36B7F91B" w:rsidR="00B67AAD" w:rsidRPr="00463564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Platné</w:t>
      </w:r>
      <w:r w:rsidRPr="00463564">
        <w:rPr>
          <w:rFonts w:ascii="Book Antiqua" w:hAnsi="Book Antiqua"/>
          <w:sz w:val="22"/>
          <w:szCs w:val="22"/>
        </w:rPr>
        <w:t xml:space="preserve"> znenie ústavného zákona</w:t>
      </w:r>
      <w:r>
        <w:rPr>
          <w:rFonts w:ascii="Book Antiqua" w:hAnsi="Book Antiqua"/>
          <w:sz w:val="22"/>
          <w:szCs w:val="22"/>
        </w:rPr>
        <w:t xml:space="preserve"> v čl. 2</w:t>
      </w:r>
      <w:r w:rsidRPr="00463564">
        <w:rPr>
          <w:rFonts w:ascii="Book Antiqua" w:hAnsi="Book Antiqua"/>
          <w:sz w:val="22"/>
          <w:szCs w:val="22"/>
        </w:rPr>
        <w:t xml:space="preserve"> ods. 4 nepriamo </w:t>
      </w:r>
      <w:r>
        <w:rPr>
          <w:rFonts w:ascii="Book Antiqua" w:hAnsi="Book Antiqua"/>
          <w:sz w:val="22"/>
          <w:szCs w:val="22"/>
        </w:rPr>
        <w:t xml:space="preserve">ustanovuje povinnosť </w:t>
      </w:r>
      <w:r w:rsidRPr="00463564">
        <w:rPr>
          <w:rFonts w:ascii="Book Antiqua" w:hAnsi="Book Antiqua"/>
          <w:sz w:val="22"/>
          <w:szCs w:val="22"/>
        </w:rPr>
        <w:t>člen</w:t>
      </w:r>
      <w:r>
        <w:rPr>
          <w:rFonts w:ascii="Book Antiqua" w:hAnsi="Book Antiqua"/>
          <w:sz w:val="22"/>
          <w:szCs w:val="22"/>
        </w:rPr>
        <w:t>a vlády zasielať Národnej rady SR</w:t>
      </w:r>
      <w:r w:rsidRPr="00463564">
        <w:rPr>
          <w:rFonts w:ascii="Book Antiqua" w:hAnsi="Book Antiqua"/>
          <w:sz w:val="22"/>
          <w:szCs w:val="22"/>
        </w:rPr>
        <w:t xml:space="preserve">, ktorá si </w:t>
      </w:r>
      <w:r>
        <w:rPr>
          <w:rFonts w:ascii="Book Antiqua" w:hAnsi="Book Antiqua"/>
          <w:sz w:val="22"/>
          <w:szCs w:val="22"/>
        </w:rPr>
        <w:t>na tento účel si zriadila V</w:t>
      </w:r>
      <w:r w:rsidRPr="00463564">
        <w:rPr>
          <w:rFonts w:ascii="Book Antiqua" w:hAnsi="Book Antiqua"/>
          <w:sz w:val="22"/>
          <w:szCs w:val="22"/>
        </w:rPr>
        <w:t xml:space="preserve">ýbor </w:t>
      </w:r>
      <w:r>
        <w:rPr>
          <w:rFonts w:ascii="Book Antiqua" w:hAnsi="Book Antiqua"/>
          <w:sz w:val="22"/>
          <w:szCs w:val="22"/>
        </w:rPr>
        <w:t xml:space="preserve">NR SR pre európske záležitosti (ďalej len „VEZ“) </w:t>
      </w:r>
      <w:r w:rsidRPr="00463564">
        <w:rPr>
          <w:rFonts w:ascii="Book Antiqua" w:hAnsi="Book Antiqua"/>
          <w:sz w:val="22"/>
          <w:szCs w:val="22"/>
        </w:rPr>
        <w:t>návrhy stanovísk Slovenskej republiky v lehote do dvoch týždňov pred samotným rokovaním v Rade Európskej únie (ďalej len „Rada“). Prax je však taká, že táto</w:t>
      </w:r>
      <w:r>
        <w:rPr>
          <w:rFonts w:ascii="Book Antiqua" w:hAnsi="Book Antiqua"/>
          <w:sz w:val="22"/>
          <w:szCs w:val="22"/>
        </w:rPr>
        <w:t xml:space="preserve"> lehota sa vždy nedodržiava a neraz sa stáva</w:t>
      </w:r>
      <w:r w:rsidRPr="00463564">
        <w:rPr>
          <w:rFonts w:ascii="Book Antiqua" w:hAnsi="Book Antiqua"/>
          <w:sz w:val="22"/>
          <w:szCs w:val="22"/>
        </w:rPr>
        <w:t>, keď</w:t>
      </w:r>
      <w:r>
        <w:rPr>
          <w:rFonts w:ascii="Book Antiqua" w:hAnsi="Book Antiqua"/>
          <w:sz w:val="22"/>
          <w:szCs w:val="22"/>
        </w:rPr>
        <w:t xml:space="preserve"> člen vlády vôbec nezašle</w:t>
      </w:r>
      <w:r w:rsidRPr="00463564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VEZ </w:t>
      </w:r>
      <w:r w:rsidRPr="00463564">
        <w:rPr>
          <w:rFonts w:ascii="Book Antiqua" w:hAnsi="Book Antiqua"/>
          <w:sz w:val="22"/>
          <w:szCs w:val="22"/>
        </w:rPr>
        <w:t xml:space="preserve">návrh stanoviska </w:t>
      </w:r>
      <w:r>
        <w:rPr>
          <w:rFonts w:ascii="Book Antiqua" w:hAnsi="Book Antiqua"/>
          <w:sz w:val="22"/>
          <w:szCs w:val="22"/>
        </w:rPr>
        <w:t>Slovenskej republiky, hoci ho vyjadrí na rokovaní Rady.</w:t>
      </w:r>
    </w:p>
    <w:p w14:paraId="2EBDA464" w14:textId="1B4F4B75" w:rsidR="00B67AAD" w:rsidRPr="00463564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Súčasný systém spolupráce medzi Národnou radou SR a vládou nie je nastavený dobre, pretože objektívne nie je možné dodržať stanovené lehoty na vypracovanie stanovísk Slovenskej republiky vládou a ich predloženie N</w:t>
      </w:r>
      <w:r w:rsidR="00DE71D8">
        <w:rPr>
          <w:rFonts w:ascii="Book Antiqua" w:hAnsi="Book Antiqua"/>
          <w:sz w:val="22"/>
          <w:szCs w:val="22"/>
        </w:rPr>
        <w:t>árodnej rade</w:t>
      </w:r>
      <w:r>
        <w:rPr>
          <w:rFonts w:ascii="Book Antiqua" w:hAnsi="Book Antiqua"/>
          <w:sz w:val="22"/>
          <w:szCs w:val="22"/>
        </w:rPr>
        <w:t xml:space="preserve"> SR, a to najmä z dôvodu, že program rokovaní jednotlivých formácií</w:t>
      </w:r>
      <w:r w:rsidRPr="00463564">
        <w:rPr>
          <w:rFonts w:ascii="Book Antiqua" w:hAnsi="Book Antiqua"/>
          <w:sz w:val="22"/>
          <w:szCs w:val="22"/>
        </w:rPr>
        <w:t xml:space="preserve"> Rady sa definitívne upresňuje až v čase jedného týždňa pred samotným zasadnutím, kedy sú dostupné aj všetky materiál</w:t>
      </w:r>
      <w:r>
        <w:rPr>
          <w:rFonts w:ascii="Book Antiqua" w:hAnsi="Book Antiqua"/>
          <w:sz w:val="22"/>
          <w:szCs w:val="22"/>
        </w:rPr>
        <w:t>y, ktoré môžu byť N</w:t>
      </w:r>
      <w:r w:rsidR="00DE71D8">
        <w:rPr>
          <w:rFonts w:ascii="Book Antiqua" w:hAnsi="Book Antiqua"/>
          <w:sz w:val="22"/>
          <w:szCs w:val="22"/>
        </w:rPr>
        <w:t>árodnej rade</w:t>
      </w:r>
      <w:r>
        <w:rPr>
          <w:rFonts w:ascii="Book Antiqua" w:hAnsi="Book Antiqua"/>
          <w:sz w:val="22"/>
          <w:szCs w:val="22"/>
        </w:rPr>
        <w:t xml:space="preserve"> SR zaslané</w:t>
      </w:r>
      <w:r w:rsidRPr="00463564">
        <w:rPr>
          <w:rFonts w:ascii="Book Antiqua" w:hAnsi="Book Antiqua"/>
          <w:sz w:val="22"/>
          <w:szCs w:val="22"/>
        </w:rPr>
        <w:t xml:space="preserve"> a na podklade ktorých je možné kvalifikovane zaujať aj stanovisko</w:t>
      </w:r>
      <w:r>
        <w:rPr>
          <w:rFonts w:ascii="Book Antiqua" w:hAnsi="Book Antiqua"/>
          <w:sz w:val="22"/>
          <w:szCs w:val="22"/>
        </w:rPr>
        <w:t xml:space="preserve"> N</w:t>
      </w:r>
      <w:r w:rsidR="00DE71D8">
        <w:rPr>
          <w:rFonts w:ascii="Book Antiqua" w:hAnsi="Book Antiqua"/>
          <w:sz w:val="22"/>
          <w:szCs w:val="22"/>
        </w:rPr>
        <w:t>árodnej rady</w:t>
      </w:r>
      <w:r>
        <w:rPr>
          <w:rFonts w:ascii="Book Antiqua" w:hAnsi="Book Antiqua"/>
          <w:sz w:val="22"/>
          <w:szCs w:val="22"/>
        </w:rPr>
        <w:t xml:space="preserve"> SR. </w:t>
      </w:r>
      <w:r w:rsidRPr="00074B26">
        <w:rPr>
          <w:rFonts w:ascii="Book Antiqua" w:hAnsi="Book Antiqua"/>
          <w:b/>
          <w:sz w:val="22"/>
          <w:szCs w:val="22"/>
        </w:rPr>
        <w:t>Preto sa v návrhu ústav</w:t>
      </w:r>
      <w:r>
        <w:rPr>
          <w:rFonts w:ascii="Book Antiqua" w:hAnsi="Book Antiqua"/>
          <w:b/>
          <w:sz w:val="22"/>
          <w:szCs w:val="22"/>
        </w:rPr>
        <w:t xml:space="preserve">ného zákona spresňuje doterajšia lehota </w:t>
      </w:r>
      <w:r w:rsidRPr="00074B26">
        <w:rPr>
          <w:rFonts w:ascii="Book Antiqua" w:hAnsi="Book Antiqua"/>
          <w:b/>
          <w:sz w:val="22"/>
          <w:szCs w:val="22"/>
        </w:rPr>
        <w:t>na päť pracovných dní</w:t>
      </w:r>
      <w:r>
        <w:rPr>
          <w:rFonts w:ascii="Book Antiqua" w:hAnsi="Book Antiqua"/>
          <w:sz w:val="22"/>
          <w:szCs w:val="22"/>
        </w:rPr>
        <w:t>.</w:t>
      </w:r>
    </w:p>
    <w:p w14:paraId="3C585BC8" w14:textId="372B4E8D" w:rsidR="00B67AAD" w:rsidRPr="00463564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Platné znenie ústavného zákona tiež neupravuje situáciu, </w:t>
      </w:r>
      <w:r w:rsidRPr="00463564">
        <w:rPr>
          <w:rFonts w:ascii="Book Antiqua" w:hAnsi="Book Antiqua"/>
          <w:sz w:val="22"/>
          <w:szCs w:val="22"/>
        </w:rPr>
        <w:t xml:space="preserve">ak </w:t>
      </w:r>
      <w:r>
        <w:rPr>
          <w:rFonts w:ascii="Book Antiqua" w:hAnsi="Book Antiqua"/>
          <w:sz w:val="22"/>
          <w:szCs w:val="22"/>
        </w:rPr>
        <w:t xml:space="preserve">si </w:t>
      </w:r>
      <w:r w:rsidRPr="00463564">
        <w:rPr>
          <w:rFonts w:ascii="Book Antiqua" w:hAnsi="Book Antiqua"/>
          <w:sz w:val="22"/>
          <w:szCs w:val="22"/>
        </w:rPr>
        <w:t>v</w:t>
      </w:r>
      <w:r>
        <w:rPr>
          <w:rFonts w:ascii="Book Antiqua" w:hAnsi="Book Antiqua"/>
          <w:sz w:val="22"/>
          <w:szCs w:val="22"/>
        </w:rPr>
        <w:t xml:space="preserve">láda alebo jej poverený člen </w:t>
      </w:r>
      <w:r w:rsidRPr="00463564">
        <w:rPr>
          <w:rFonts w:ascii="Book Antiqua" w:hAnsi="Book Antiqua"/>
          <w:sz w:val="22"/>
          <w:szCs w:val="22"/>
        </w:rPr>
        <w:t>nesplní povinnosť zaslať výboru návrh stanoviska Slovenskej republiky v ústavnej lehote, prípadne čo sa stane, ak nedôjde vôbec k zaslaniu takéhoto stanovisko</w:t>
      </w:r>
      <w:r>
        <w:rPr>
          <w:rFonts w:ascii="Book Antiqua" w:hAnsi="Book Antiqua"/>
          <w:sz w:val="22"/>
          <w:szCs w:val="22"/>
        </w:rPr>
        <w:t>, čo možno vo vzťahu k</w:t>
      </w:r>
      <w:r w:rsidR="00DE71D8">
        <w:rPr>
          <w:rFonts w:ascii="Book Antiqua" w:hAnsi="Book Antiqua"/>
          <w:sz w:val="22"/>
          <w:szCs w:val="22"/>
        </w:rPr>
        <w:t> Národnej  rade</w:t>
      </w:r>
      <w:r>
        <w:rPr>
          <w:rFonts w:ascii="Book Antiqua" w:hAnsi="Book Antiqua"/>
          <w:sz w:val="22"/>
          <w:szCs w:val="22"/>
        </w:rPr>
        <w:t xml:space="preserve"> SR považovať za nevyvážené najmä z dôvodu, že nečinnosť N</w:t>
      </w:r>
      <w:r w:rsidR="00DE71D8">
        <w:rPr>
          <w:rFonts w:ascii="Book Antiqua" w:hAnsi="Book Antiqua"/>
          <w:sz w:val="22"/>
          <w:szCs w:val="22"/>
        </w:rPr>
        <w:t>árodnej rady</w:t>
      </w:r>
      <w:r>
        <w:rPr>
          <w:rFonts w:ascii="Book Antiqua" w:hAnsi="Book Antiqua"/>
          <w:sz w:val="22"/>
          <w:szCs w:val="22"/>
        </w:rPr>
        <w:t xml:space="preserve"> SR v tomto smere ústavný zákon upravuje. Preto sa zavádza už spomenutá sankcia v podobe vyjadrenia negatívneho stanoviska Slovenskej republiky na rokovaní Rady k návrhu aktu EÚ. </w:t>
      </w:r>
      <w:r w:rsidRPr="00074B26">
        <w:rPr>
          <w:rFonts w:ascii="Book Antiqua" w:hAnsi="Book Antiqua"/>
          <w:b/>
          <w:sz w:val="22"/>
          <w:szCs w:val="22"/>
        </w:rPr>
        <w:t>Súčasne sa zavádza poistka pre prípad nečinnosti N</w:t>
      </w:r>
      <w:r w:rsidR="00DE71D8">
        <w:rPr>
          <w:rFonts w:ascii="Book Antiqua" w:hAnsi="Book Antiqua"/>
          <w:b/>
          <w:sz w:val="22"/>
          <w:szCs w:val="22"/>
        </w:rPr>
        <w:t>árodnej rady</w:t>
      </w:r>
      <w:r w:rsidRPr="00074B26">
        <w:rPr>
          <w:rFonts w:ascii="Book Antiqua" w:hAnsi="Book Antiqua"/>
          <w:b/>
          <w:sz w:val="22"/>
          <w:szCs w:val="22"/>
        </w:rPr>
        <w:t xml:space="preserve"> SR v podobe viazanosti člena vlády tým návrhom stanoviska, ktoré vláda vypracovala, ale N</w:t>
      </w:r>
      <w:r w:rsidR="00DE71D8">
        <w:rPr>
          <w:rFonts w:ascii="Book Antiqua" w:hAnsi="Book Antiqua"/>
          <w:b/>
          <w:sz w:val="22"/>
          <w:szCs w:val="22"/>
        </w:rPr>
        <w:t>árodná rada</w:t>
      </w:r>
      <w:r w:rsidRPr="00074B26">
        <w:rPr>
          <w:rFonts w:ascii="Book Antiqua" w:hAnsi="Book Antiqua"/>
          <w:b/>
          <w:sz w:val="22"/>
          <w:szCs w:val="22"/>
        </w:rPr>
        <w:t xml:space="preserve"> SR sa k nemu v stanovenej lehote nevyjadrila</w:t>
      </w:r>
      <w:r>
        <w:rPr>
          <w:rFonts w:ascii="Book Antiqua" w:hAnsi="Book Antiqua"/>
          <w:sz w:val="22"/>
          <w:szCs w:val="22"/>
        </w:rPr>
        <w:t>.</w:t>
      </w:r>
    </w:p>
    <w:p w14:paraId="24C5DE20" w14:textId="77777777" w:rsidR="00B67AAD" w:rsidRPr="00463564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sz w:val="22"/>
          <w:szCs w:val="22"/>
        </w:rPr>
        <w:lastRenderedPageBreak/>
        <w:t>Predkladaný návrh ústavného zákona nezakladá žiadne vplyvy na rozpočet verejnej správy a na podnikateľské prostredie, nevyvoláva sociálne vplyvy, nemá vplyv na životné prostredie ani na informatizáciu spoločnosti.</w:t>
      </w:r>
    </w:p>
    <w:p w14:paraId="55E73CA1" w14:textId="77777777" w:rsidR="00B67AAD" w:rsidRPr="00463564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sz w:val="22"/>
          <w:szCs w:val="22"/>
        </w:rPr>
        <w:t>Návrh ústavného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230DBF83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i/>
          <w:sz w:val="22"/>
          <w:szCs w:val="22"/>
        </w:rPr>
      </w:pPr>
    </w:p>
    <w:p w14:paraId="6178C1F4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i/>
          <w:sz w:val="22"/>
          <w:szCs w:val="22"/>
        </w:rPr>
        <w:br w:type="page"/>
      </w:r>
      <w:r w:rsidRPr="00463564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70B5A4C6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sz w:val="22"/>
          <w:szCs w:val="22"/>
        </w:rPr>
        <w:t> </w:t>
      </w:r>
    </w:p>
    <w:p w14:paraId="037F38CB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b/>
          <w:bCs/>
          <w:sz w:val="22"/>
          <w:szCs w:val="22"/>
        </w:rPr>
        <w:t>K Čl. I</w:t>
      </w:r>
    </w:p>
    <w:p w14:paraId="42B276C6" w14:textId="77777777" w:rsidR="00B67AAD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463564">
        <w:rPr>
          <w:rFonts w:ascii="Book Antiqua" w:hAnsi="Book Antiqua"/>
          <w:bCs/>
          <w:sz w:val="22"/>
          <w:szCs w:val="22"/>
          <w:u w:val="single"/>
        </w:rPr>
        <w:t>K bodom 1 a</w:t>
      </w:r>
      <w:r>
        <w:rPr>
          <w:rFonts w:ascii="Book Antiqua" w:hAnsi="Book Antiqua"/>
          <w:bCs/>
          <w:sz w:val="22"/>
          <w:szCs w:val="22"/>
          <w:u w:val="single"/>
        </w:rPr>
        <w:t> </w:t>
      </w:r>
      <w:r w:rsidRPr="00463564">
        <w:rPr>
          <w:rFonts w:ascii="Book Antiqua" w:hAnsi="Book Antiqua"/>
          <w:bCs/>
          <w:sz w:val="22"/>
          <w:szCs w:val="22"/>
          <w:u w:val="single"/>
        </w:rPr>
        <w:t>2</w:t>
      </w:r>
    </w:p>
    <w:p w14:paraId="53835827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463564">
        <w:rPr>
          <w:rFonts w:ascii="Book Antiqua" w:hAnsi="Book Antiqua"/>
          <w:bCs/>
          <w:sz w:val="22"/>
          <w:szCs w:val="22"/>
        </w:rPr>
        <w:t>Id</w:t>
      </w:r>
      <w:r>
        <w:rPr>
          <w:rFonts w:ascii="Book Antiqua" w:hAnsi="Book Antiqua"/>
          <w:bCs/>
          <w:sz w:val="22"/>
          <w:szCs w:val="22"/>
        </w:rPr>
        <w:t>e o legislatívno-technickú zmenu</w:t>
      </w:r>
      <w:r w:rsidRPr="00463564">
        <w:rPr>
          <w:rFonts w:ascii="Book Antiqua" w:hAnsi="Book Antiqua"/>
          <w:bCs/>
          <w:sz w:val="22"/>
          <w:szCs w:val="22"/>
        </w:rPr>
        <w:t xml:space="preserve"> v súvislosti s prijatím Lisabonskej zmluvy, ktorou sa mení a dopĺňa Zmluva o Európskej únii a Zmluva o z</w:t>
      </w:r>
      <w:r>
        <w:rPr>
          <w:rFonts w:ascii="Book Antiqua" w:hAnsi="Book Antiqua"/>
          <w:bCs/>
          <w:sz w:val="22"/>
          <w:szCs w:val="22"/>
        </w:rPr>
        <w:t>aložení Európskeho spoločenstva, a to tak, že sa už používa len pojem Európska únia.</w:t>
      </w:r>
    </w:p>
    <w:p w14:paraId="70D9C248" w14:textId="77777777" w:rsidR="00B67AAD" w:rsidRPr="00463564" w:rsidRDefault="00B67AAD" w:rsidP="00B67AAD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  <w:u w:val="single"/>
          <w:lang w:eastAsia="x-none"/>
        </w:rPr>
      </w:pPr>
      <w:r w:rsidRPr="00463564">
        <w:rPr>
          <w:rFonts w:ascii="Book Antiqua" w:hAnsi="Book Antiqua"/>
          <w:bCs/>
          <w:sz w:val="22"/>
          <w:szCs w:val="22"/>
          <w:u w:val="single"/>
          <w:lang w:eastAsia="x-none"/>
        </w:rPr>
        <w:t>K bodu 3</w:t>
      </w:r>
    </w:p>
    <w:p w14:paraId="6CFF367F" w14:textId="326575B9" w:rsidR="00B67AAD" w:rsidRPr="00463564" w:rsidRDefault="00B67AAD" w:rsidP="00B67AAD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>
        <w:rPr>
          <w:rFonts w:ascii="Book Antiqua" w:hAnsi="Book Antiqua"/>
          <w:bCs/>
          <w:sz w:val="22"/>
          <w:szCs w:val="22"/>
          <w:lang w:eastAsia="x-none"/>
        </w:rPr>
        <w:tab/>
        <w:t xml:space="preserve">Návrhom 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>ústav</w:t>
      </w:r>
      <w:r>
        <w:rPr>
          <w:rFonts w:ascii="Book Antiqua" w:hAnsi="Book Antiqua"/>
          <w:bCs/>
          <w:sz w:val="22"/>
          <w:szCs w:val="22"/>
          <w:lang w:eastAsia="x-none"/>
        </w:rPr>
        <w:t>ného zákona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 xml:space="preserve"> sa </w:t>
      </w:r>
      <w:r>
        <w:rPr>
          <w:rFonts w:ascii="Book Antiqua" w:hAnsi="Book Antiqua"/>
          <w:bCs/>
          <w:sz w:val="22"/>
          <w:szCs w:val="22"/>
          <w:lang w:eastAsia="x-none"/>
        </w:rPr>
        <w:t>spresňuje doterajšia lehota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>, v ktorej má vláda alebo povere</w:t>
      </w:r>
      <w:r>
        <w:rPr>
          <w:rFonts w:ascii="Book Antiqua" w:hAnsi="Book Antiqua"/>
          <w:bCs/>
          <w:sz w:val="22"/>
          <w:szCs w:val="22"/>
          <w:lang w:eastAsia="x-none"/>
        </w:rPr>
        <w:t>ný člen vlády predkladať N</w:t>
      </w:r>
      <w:r w:rsidR="00ED017A">
        <w:rPr>
          <w:rFonts w:ascii="Book Antiqua" w:hAnsi="Book Antiqua"/>
          <w:bCs/>
          <w:sz w:val="22"/>
          <w:szCs w:val="22"/>
          <w:lang w:eastAsia="x-none"/>
        </w:rPr>
        <w:t>árodnej rade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 SR 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>návrhy stan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ovísk Slovenskej republiky, 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>na päť pracovných dní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 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>pred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 rokovaním zástupcov vlád členských štátov EÚ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>.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 Platné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 xml:space="preserve"> znenie ústavného zákona 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síce určuje vláde 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 xml:space="preserve">lehotu </w:t>
      </w:r>
      <w:r>
        <w:rPr>
          <w:rFonts w:ascii="Book Antiqua" w:hAnsi="Book Antiqua"/>
          <w:bCs/>
          <w:sz w:val="22"/>
          <w:szCs w:val="22"/>
          <w:lang w:eastAsia="x-none"/>
        </w:rPr>
        <w:t>na predkladanie návrhov týchto stanovísk N</w:t>
      </w:r>
      <w:r w:rsidR="00ED017A">
        <w:rPr>
          <w:rFonts w:ascii="Book Antiqua" w:hAnsi="Book Antiqua"/>
          <w:bCs/>
          <w:sz w:val="22"/>
          <w:szCs w:val="22"/>
          <w:lang w:eastAsia="x-none"/>
        </w:rPr>
        <w:t>árodnej rade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 SR pred ich prerokovaním zástupcami vlád členských štátov Európskej únie, táto je však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 xml:space="preserve"> </w:t>
      </w:r>
      <w:r>
        <w:rPr>
          <w:rFonts w:ascii="Book Antiqua" w:hAnsi="Book Antiqua"/>
          <w:bCs/>
          <w:sz w:val="22"/>
          <w:szCs w:val="22"/>
          <w:lang w:eastAsia="x-none"/>
        </w:rPr>
        <w:t>nastavená veľmi flexibilne v prospech vlády.</w:t>
      </w:r>
    </w:p>
    <w:p w14:paraId="15DA872C" w14:textId="77777777" w:rsidR="00B67AAD" w:rsidRPr="00463564" w:rsidRDefault="00B67AAD" w:rsidP="00B67AAD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463564">
        <w:rPr>
          <w:rFonts w:ascii="Book Antiqua" w:hAnsi="Book Antiqua"/>
          <w:bCs/>
          <w:sz w:val="22"/>
          <w:szCs w:val="22"/>
          <w:u w:val="single"/>
          <w:lang w:eastAsia="x-none"/>
        </w:rPr>
        <w:t>K bodu 4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 xml:space="preserve"> </w:t>
      </w:r>
      <w:r w:rsidRPr="00463564">
        <w:rPr>
          <w:rFonts w:ascii="Book Antiqua" w:hAnsi="Book Antiqua"/>
          <w:bCs/>
          <w:sz w:val="22"/>
          <w:szCs w:val="22"/>
          <w:lang w:eastAsia="x-none"/>
        </w:rPr>
        <w:tab/>
      </w:r>
    </w:p>
    <w:p w14:paraId="7B805F26" w14:textId="4179A615" w:rsidR="00B67AAD" w:rsidRPr="00463564" w:rsidRDefault="00B67AAD" w:rsidP="00B67AAD">
      <w:pPr>
        <w:pStyle w:val="Zkladntext"/>
        <w:spacing w:before="120" w:line="276" w:lineRule="auto"/>
        <w:rPr>
          <w:rFonts w:ascii="Book Antiqua" w:hAnsi="Book Antiqua"/>
          <w:sz w:val="22"/>
          <w:szCs w:val="22"/>
          <w:lang w:eastAsia="x-none"/>
        </w:rPr>
      </w:pPr>
      <w:r w:rsidRPr="00463564">
        <w:rPr>
          <w:rFonts w:ascii="Book Antiqua" w:hAnsi="Book Antiqua"/>
          <w:sz w:val="22"/>
          <w:szCs w:val="22"/>
          <w:lang w:eastAsia="x-none"/>
        </w:rPr>
        <w:tab/>
      </w:r>
      <w:r>
        <w:rPr>
          <w:rFonts w:ascii="Book Antiqua" w:hAnsi="Book Antiqua"/>
          <w:sz w:val="22"/>
          <w:szCs w:val="22"/>
          <w:lang w:eastAsia="x-none"/>
        </w:rPr>
        <w:t xml:space="preserve">V platnom </w:t>
      </w:r>
      <w:r w:rsidRPr="00463564">
        <w:rPr>
          <w:rFonts w:ascii="Book Antiqua" w:hAnsi="Book Antiqua"/>
          <w:sz w:val="22"/>
          <w:szCs w:val="22"/>
          <w:lang w:eastAsia="x-none"/>
        </w:rPr>
        <w:t xml:space="preserve">znení ústavného zákona existuje </w:t>
      </w:r>
      <w:r>
        <w:rPr>
          <w:rFonts w:ascii="Book Antiqua" w:hAnsi="Book Antiqua"/>
          <w:sz w:val="22"/>
          <w:szCs w:val="22"/>
          <w:lang w:eastAsia="x-none"/>
        </w:rPr>
        <w:t xml:space="preserve">výlučne </w:t>
      </w:r>
      <w:r w:rsidRPr="00463564">
        <w:rPr>
          <w:rFonts w:ascii="Book Antiqua" w:hAnsi="Book Antiqua"/>
          <w:sz w:val="22"/>
          <w:szCs w:val="22"/>
          <w:lang w:eastAsia="x-none"/>
        </w:rPr>
        <w:t>sankc</w:t>
      </w:r>
      <w:r>
        <w:rPr>
          <w:rFonts w:ascii="Book Antiqua" w:hAnsi="Book Antiqua"/>
          <w:sz w:val="22"/>
          <w:szCs w:val="22"/>
          <w:lang w:eastAsia="x-none"/>
        </w:rPr>
        <w:t>ia pre N</w:t>
      </w:r>
      <w:r w:rsidR="00ED017A">
        <w:rPr>
          <w:rFonts w:ascii="Book Antiqua" w:hAnsi="Book Antiqua"/>
          <w:sz w:val="22"/>
          <w:szCs w:val="22"/>
          <w:lang w:eastAsia="x-none"/>
        </w:rPr>
        <w:t>árodnú radu</w:t>
      </w:r>
      <w:r>
        <w:rPr>
          <w:rFonts w:ascii="Book Antiqua" w:hAnsi="Book Antiqua"/>
          <w:sz w:val="22"/>
          <w:szCs w:val="22"/>
          <w:lang w:eastAsia="x-none"/>
        </w:rPr>
        <w:t xml:space="preserve"> SR v prípade</w:t>
      </w:r>
      <w:r w:rsidRPr="00463564">
        <w:rPr>
          <w:rFonts w:ascii="Book Antiqua" w:hAnsi="Book Antiqua"/>
          <w:sz w:val="22"/>
          <w:szCs w:val="22"/>
          <w:lang w:eastAsia="x-none"/>
        </w:rPr>
        <w:t xml:space="preserve">, pokiaľ k návrhom stanovísk </w:t>
      </w:r>
      <w:r>
        <w:rPr>
          <w:rFonts w:ascii="Book Antiqua" w:hAnsi="Book Antiqua"/>
          <w:sz w:val="22"/>
          <w:szCs w:val="22"/>
          <w:lang w:eastAsia="x-none"/>
        </w:rPr>
        <w:t xml:space="preserve">Slovenskej republiky predloženým vládou </w:t>
      </w:r>
      <w:r w:rsidRPr="00463564">
        <w:rPr>
          <w:rFonts w:ascii="Book Antiqua" w:hAnsi="Book Antiqua"/>
          <w:sz w:val="22"/>
          <w:szCs w:val="22"/>
          <w:lang w:eastAsia="x-none"/>
        </w:rPr>
        <w:t xml:space="preserve">nezaujme </w:t>
      </w:r>
      <w:r>
        <w:rPr>
          <w:rFonts w:ascii="Book Antiqua" w:hAnsi="Book Antiqua"/>
          <w:sz w:val="22"/>
          <w:szCs w:val="22"/>
          <w:lang w:eastAsia="x-none"/>
        </w:rPr>
        <w:t xml:space="preserve">VEZ </w:t>
      </w:r>
      <w:r w:rsidRPr="00463564">
        <w:rPr>
          <w:rFonts w:ascii="Book Antiqua" w:hAnsi="Book Antiqua"/>
          <w:sz w:val="22"/>
          <w:szCs w:val="22"/>
          <w:lang w:eastAsia="x-none"/>
        </w:rPr>
        <w:t xml:space="preserve">žiadne stanovisko. </w:t>
      </w:r>
      <w:r>
        <w:rPr>
          <w:rFonts w:ascii="Book Antiqua" w:hAnsi="Book Antiqua"/>
          <w:sz w:val="22"/>
          <w:szCs w:val="22"/>
          <w:lang w:eastAsia="x-none"/>
        </w:rPr>
        <w:t>Z hľadiska vyváženosti spolupráce medzi N</w:t>
      </w:r>
      <w:r w:rsidR="00ED017A">
        <w:rPr>
          <w:rFonts w:ascii="Book Antiqua" w:hAnsi="Book Antiqua"/>
          <w:sz w:val="22"/>
          <w:szCs w:val="22"/>
          <w:lang w:eastAsia="x-none"/>
        </w:rPr>
        <w:t>árodnou radou</w:t>
      </w:r>
      <w:r>
        <w:rPr>
          <w:rFonts w:ascii="Book Antiqua" w:hAnsi="Book Antiqua"/>
          <w:sz w:val="22"/>
          <w:szCs w:val="22"/>
          <w:lang w:eastAsia="x-none"/>
        </w:rPr>
        <w:t xml:space="preserve"> SR a </w:t>
      </w:r>
      <w:r w:rsidRPr="007E27BE">
        <w:rPr>
          <w:rFonts w:ascii="Book Antiqua" w:hAnsi="Book Antiqua"/>
          <w:sz w:val="22"/>
          <w:szCs w:val="22"/>
          <w:lang w:eastAsia="x-none"/>
        </w:rPr>
        <w:t xml:space="preserve">vládou v európskych záležitostiach však chýba sankcia pre prípad, pokiaľ by vláda alebo poverený člen vlády nepredložil návrh takéhoto stanoviska k návrhu právne záväzného aktu alebo iného aktu </w:t>
      </w:r>
      <w:r w:rsidRPr="007E27BE">
        <w:rPr>
          <w:rFonts w:ascii="Book Antiqua" w:hAnsi="Book Antiqua"/>
          <w:bCs/>
          <w:sz w:val="22"/>
          <w:szCs w:val="22"/>
        </w:rPr>
        <w:t>EÚ</w:t>
      </w:r>
      <w:r w:rsidRPr="007E27BE">
        <w:rPr>
          <w:rFonts w:ascii="Book Antiqua" w:hAnsi="Book Antiqua"/>
          <w:bCs/>
          <w:sz w:val="22"/>
          <w:szCs w:val="22"/>
          <w:lang w:eastAsia="x-none"/>
        </w:rPr>
        <w:t xml:space="preserve"> </w:t>
      </w:r>
      <w:r w:rsidRPr="007E27BE">
        <w:rPr>
          <w:rFonts w:ascii="Book Antiqua" w:hAnsi="Book Antiqua"/>
          <w:sz w:val="22"/>
          <w:szCs w:val="22"/>
          <w:lang w:eastAsia="x-none"/>
        </w:rPr>
        <w:t>v lehote stanovenej ústavným zákonom.</w:t>
      </w:r>
    </w:p>
    <w:p w14:paraId="06CF2F8B" w14:textId="55D5AAB4" w:rsidR="00B67AAD" w:rsidRPr="00463564" w:rsidRDefault="00B67AAD" w:rsidP="00B67AAD">
      <w:pPr>
        <w:pStyle w:val="Zkladntext"/>
        <w:spacing w:before="120" w:line="276" w:lineRule="auto"/>
        <w:rPr>
          <w:rFonts w:ascii="Book Antiqua" w:hAnsi="Book Antiqua"/>
          <w:sz w:val="22"/>
          <w:szCs w:val="22"/>
          <w:lang w:eastAsia="x-none"/>
        </w:rPr>
      </w:pPr>
      <w:r>
        <w:rPr>
          <w:rFonts w:ascii="Book Antiqua" w:hAnsi="Book Antiqua"/>
          <w:sz w:val="22"/>
          <w:szCs w:val="22"/>
          <w:lang w:eastAsia="x-none"/>
        </w:rPr>
        <w:tab/>
        <w:t xml:space="preserve">Preto sa v návrhu ústavného zákona </w:t>
      </w:r>
      <w:r w:rsidRPr="00463564">
        <w:rPr>
          <w:rFonts w:ascii="Book Antiqua" w:hAnsi="Book Antiqua"/>
          <w:sz w:val="22"/>
          <w:szCs w:val="22"/>
          <w:lang w:eastAsia="x-none"/>
        </w:rPr>
        <w:t>navrhuje, aby v prípade, a</w:t>
      </w:r>
      <w:r w:rsidRPr="00463564">
        <w:rPr>
          <w:rFonts w:ascii="Book Antiqua" w:hAnsi="Book Antiqua"/>
          <w:sz w:val="22"/>
          <w:szCs w:val="22"/>
        </w:rPr>
        <w:t>k vláda alebo</w:t>
      </w:r>
      <w:r>
        <w:rPr>
          <w:rFonts w:ascii="Book Antiqua" w:hAnsi="Book Antiqua"/>
          <w:sz w:val="22"/>
          <w:szCs w:val="22"/>
        </w:rPr>
        <w:t xml:space="preserve"> poverený člen vlády nepredloží</w:t>
      </w:r>
      <w:r>
        <w:rPr>
          <w:rFonts w:ascii="Book Antiqua" w:hAnsi="Book Antiqua"/>
          <w:sz w:val="22"/>
          <w:szCs w:val="22"/>
          <w:lang w:eastAsia="x-none"/>
        </w:rPr>
        <w:t xml:space="preserve"> N</w:t>
      </w:r>
      <w:r w:rsidR="00ED017A">
        <w:rPr>
          <w:rFonts w:ascii="Book Antiqua" w:hAnsi="Book Antiqua"/>
          <w:sz w:val="22"/>
          <w:szCs w:val="22"/>
          <w:lang w:eastAsia="x-none"/>
        </w:rPr>
        <w:t>árodnej rade</w:t>
      </w:r>
      <w:r>
        <w:rPr>
          <w:rFonts w:ascii="Book Antiqua" w:hAnsi="Book Antiqua"/>
          <w:sz w:val="22"/>
          <w:szCs w:val="22"/>
          <w:lang w:eastAsia="x-none"/>
        </w:rPr>
        <w:t xml:space="preserve"> SR</w:t>
      </w:r>
      <w:r w:rsidRPr="00463564">
        <w:rPr>
          <w:rFonts w:ascii="Book Antiqua" w:hAnsi="Book Antiqua"/>
          <w:sz w:val="22"/>
          <w:szCs w:val="22"/>
          <w:lang w:eastAsia="x-none"/>
        </w:rPr>
        <w:t xml:space="preserve"> </w:t>
      </w:r>
      <w:r w:rsidRPr="00463564">
        <w:rPr>
          <w:rFonts w:ascii="Book Antiqua" w:hAnsi="Book Antiqua"/>
          <w:sz w:val="22"/>
          <w:szCs w:val="22"/>
        </w:rPr>
        <w:t xml:space="preserve">návrh stanoviska Slovenskej republiky </w:t>
      </w:r>
      <w:r w:rsidRPr="00463564">
        <w:rPr>
          <w:rFonts w:ascii="Book Antiqua" w:hAnsi="Book Antiqua"/>
          <w:sz w:val="22"/>
          <w:szCs w:val="22"/>
          <w:lang w:eastAsia="x-none"/>
        </w:rPr>
        <w:t>do piatich pracovných dní pred rokovaním Rady</w:t>
      </w:r>
      <w:r w:rsidRPr="00463564">
        <w:rPr>
          <w:rFonts w:ascii="Book Antiqua" w:hAnsi="Book Antiqua"/>
          <w:sz w:val="22"/>
          <w:szCs w:val="22"/>
        </w:rPr>
        <w:t xml:space="preserve">, člen vlády </w:t>
      </w:r>
      <w:r w:rsidRPr="00463564">
        <w:rPr>
          <w:rFonts w:ascii="Book Antiqua" w:hAnsi="Book Antiqua"/>
          <w:sz w:val="22"/>
          <w:szCs w:val="22"/>
          <w:lang w:eastAsia="x-none"/>
        </w:rPr>
        <w:t>bude</w:t>
      </w:r>
      <w:r w:rsidRPr="00463564">
        <w:rPr>
          <w:rFonts w:ascii="Book Antiqua" w:hAnsi="Book Antiqua"/>
          <w:sz w:val="22"/>
          <w:szCs w:val="22"/>
        </w:rPr>
        <w:t xml:space="preserve"> povinný vyjadriť negatívne stanovisko Slovenskej republiky na </w:t>
      </w:r>
      <w:r w:rsidRPr="00463564">
        <w:rPr>
          <w:rFonts w:ascii="Book Antiqua" w:hAnsi="Book Antiqua"/>
          <w:sz w:val="22"/>
          <w:szCs w:val="22"/>
          <w:lang w:eastAsia="x-none"/>
        </w:rPr>
        <w:t xml:space="preserve">jej </w:t>
      </w:r>
      <w:r w:rsidRPr="00463564">
        <w:rPr>
          <w:rFonts w:ascii="Book Antiqua" w:hAnsi="Book Antiqua"/>
          <w:sz w:val="22"/>
          <w:szCs w:val="22"/>
        </w:rPr>
        <w:t>rokovaní</w:t>
      </w:r>
      <w:r>
        <w:rPr>
          <w:rFonts w:ascii="Book Antiqua" w:hAnsi="Book Antiqua"/>
          <w:sz w:val="22"/>
          <w:szCs w:val="22"/>
          <w:lang w:eastAsia="x-none"/>
        </w:rPr>
        <w:t>, čo možno považovať za primeranú sankciu v dôsledku ktorej sa nielen posilní postavenie N</w:t>
      </w:r>
      <w:r w:rsidR="00ED017A">
        <w:rPr>
          <w:rFonts w:ascii="Book Antiqua" w:hAnsi="Book Antiqua"/>
          <w:sz w:val="22"/>
          <w:szCs w:val="22"/>
          <w:lang w:eastAsia="x-none"/>
        </w:rPr>
        <w:t>árodnej rady</w:t>
      </w:r>
      <w:r>
        <w:rPr>
          <w:rFonts w:ascii="Book Antiqua" w:hAnsi="Book Antiqua"/>
          <w:sz w:val="22"/>
          <w:szCs w:val="22"/>
          <w:lang w:eastAsia="x-none"/>
        </w:rPr>
        <w:t xml:space="preserve"> SR v tomto procese, ale aj motivuje vláda k riadnemu plneniu svojich povinností vyplývajúcich jej z ústavného zákona.</w:t>
      </w:r>
    </w:p>
    <w:p w14:paraId="555F88FD" w14:textId="77777777" w:rsidR="00B67AAD" w:rsidRPr="00463564" w:rsidRDefault="00B67AAD" w:rsidP="00B67AAD">
      <w:pPr>
        <w:pStyle w:val="Zkladntext"/>
        <w:spacing w:before="120" w:line="276" w:lineRule="auto"/>
        <w:rPr>
          <w:rFonts w:ascii="Book Antiqua" w:hAnsi="Book Antiqua"/>
          <w:sz w:val="22"/>
          <w:szCs w:val="22"/>
          <w:u w:val="single"/>
          <w:lang w:eastAsia="x-none"/>
        </w:rPr>
      </w:pPr>
      <w:r w:rsidRPr="00463564">
        <w:rPr>
          <w:rFonts w:ascii="Book Antiqua" w:hAnsi="Book Antiqua"/>
          <w:sz w:val="22"/>
          <w:szCs w:val="22"/>
          <w:u w:val="single"/>
          <w:lang w:eastAsia="x-none"/>
        </w:rPr>
        <w:t>K bodu 5</w:t>
      </w:r>
    </w:p>
    <w:p w14:paraId="4D17332B" w14:textId="23616E23" w:rsidR="00B67AAD" w:rsidRPr="00463564" w:rsidRDefault="00B67AAD" w:rsidP="00B67AA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Nemožno vylúčiť</w:t>
      </w:r>
      <w:r w:rsidRPr="00463564">
        <w:rPr>
          <w:rFonts w:ascii="Book Antiqua" w:hAnsi="Book Antiqua"/>
          <w:sz w:val="22"/>
          <w:szCs w:val="22"/>
        </w:rPr>
        <w:t>, že vláda alebo poverený člen vlády si splní svo</w:t>
      </w:r>
      <w:r>
        <w:rPr>
          <w:rFonts w:ascii="Book Antiqua" w:hAnsi="Book Antiqua"/>
          <w:sz w:val="22"/>
          <w:szCs w:val="22"/>
        </w:rPr>
        <w:t xml:space="preserve">ju povinnosť a predloží v </w:t>
      </w:r>
      <w:r w:rsidRPr="00463564">
        <w:rPr>
          <w:rFonts w:ascii="Book Antiqua" w:hAnsi="Book Antiqua"/>
          <w:sz w:val="22"/>
          <w:szCs w:val="22"/>
        </w:rPr>
        <w:t xml:space="preserve">lehote </w:t>
      </w:r>
      <w:r>
        <w:rPr>
          <w:rFonts w:ascii="Book Antiqua" w:hAnsi="Book Antiqua"/>
          <w:sz w:val="22"/>
          <w:szCs w:val="22"/>
        </w:rPr>
        <w:t xml:space="preserve">stanovenej ústavným zákonom </w:t>
      </w:r>
      <w:r w:rsidRPr="00463564">
        <w:rPr>
          <w:rFonts w:ascii="Book Antiqua" w:hAnsi="Book Antiqua"/>
          <w:sz w:val="22"/>
          <w:szCs w:val="22"/>
        </w:rPr>
        <w:t>návrh stanoviska Slovenskej republiky</w:t>
      </w:r>
      <w:r>
        <w:rPr>
          <w:rFonts w:ascii="Book Antiqua" w:hAnsi="Book Antiqua"/>
          <w:sz w:val="22"/>
          <w:szCs w:val="22"/>
        </w:rPr>
        <w:t xml:space="preserve"> N</w:t>
      </w:r>
      <w:r w:rsidR="00ED017A">
        <w:rPr>
          <w:rFonts w:ascii="Book Antiqua" w:hAnsi="Book Antiqua"/>
          <w:sz w:val="22"/>
          <w:szCs w:val="22"/>
        </w:rPr>
        <w:t xml:space="preserve">árodnej rade </w:t>
      </w:r>
      <w:r>
        <w:rPr>
          <w:rFonts w:ascii="Book Antiqua" w:hAnsi="Book Antiqua"/>
          <w:sz w:val="22"/>
          <w:szCs w:val="22"/>
        </w:rPr>
        <w:t>SR</w:t>
      </w:r>
      <w:r w:rsidRPr="00463564">
        <w:rPr>
          <w:rFonts w:ascii="Book Antiqua" w:hAnsi="Book Antiqua"/>
          <w:sz w:val="22"/>
          <w:szCs w:val="22"/>
        </w:rPr>
        <w:t>, ale z dô</w:t>
      </w:r>
      <w:r>
        <w:rPr>
          <w:rFonts w:ascii="Book Antiqua" w:hAnsi="Book Antiqua"/>
          <w:sz w:val="22"/>
          <w:szCs w:val="22"/>
        </w:rPr>
        <w:t>vodu, že N</w:t>
      </w:r>
      <w:r w:rsidR="00ED017A">
        <w:rPr>
          <w:rFonts w:ascii="Book Antiqua" w:hAnsi="Book Antiqua"/>
          <w:sz w:val="22"/>
          <w:szCs w:val="22"/>
        </w:rPr>
        <w:t>árodná rada</w:t>
      </w:r>
      <w:r>
        <w:rPr>
          <w:rFonts w:ascii="Book Antiqua" w:hAnsi="Book Antiqua"/>
          <w:sz w:val="22"/>
          <w:szCs w:val="22"/>
        </w:rPr>
        <w:t xml:space="preserve"> SR</w:t>
      </w:r>
      <w:r w:rsidRPr="00463564">
        <w:rPr>
          <w:rFonts w:ascii="Book Antiqua" w:hAnsi="Book Antiqua"/>
          <w:sz w:val="22"/>
          <w:szCs w:val="22"/>
        </w:rPr>
        <w:t xml:space="preserve"> sa </w:t>
      </w:r>
      <w:r>
        <w:rPr>
          <w:rFonts w:ascii="Book Antiqua" w:hAnsi="Book Antiqua"/>
          <w:sz w:val="22"/>
          <w:szCs w:val="22"/>
        </w:rPr>
        <w:t xml:space="preserve">prostredníctvom VEZ </w:t>
      </w:r>
      <w:r w:rsidRPr="00463564">
        <w:rPr>
          <w:rFonts w:ascii="Book Antiqua" w:hAnsi="Book Antiqua"/>
          <w:sz w:val="22"/>
          <w:szCs w:val="22"/>
        </w:rPr>
        <w:t xml:space="preserve">k tomuto stanovisku ani deň pred </w:t>
      </w:r>
      <w:r w:rsidRPr="007E27BE">
        <w:rPr>
          <w:rFonts w:ascii="Book Antiqua" w:hAnsi="Book Antiqua"/>
          <w:sz w:val="22"/>
          <w:szCs w:val="22"/>
        </w:rPr>
        <w:t xml:space="preserve">rokovaním Rady nevyjadrí, resp. neschváli návrh stanoviska Slovenskej republiky a zároveň neschváli v danej veci iné stanovisko, a člen vlády sa ocitne v situácii, v ktorej si nebude istý, aké je vlastne stanovisko Slovenskej republiky k návrhu právne záväzného aktu alebo iného aktu </w:t>
      </w:r>
      <w:r w:rsidRPr="007E27BE">
        <w:rPr>
          <w:rFonts w:ascii="Book Antiqua" w:hAnsi="Book Antiqua"/>
          <w:bCs/>
          <w:sz w:val="22"/>
          <w:szCs w:val="22"/>
        </w:rPr>
        <w:t>EÚ</w:t>
      </w:r>
      <w:r w:rsidRPr="007E27BE">
        <w:rPr>
          <w:rFonts w:ascii="Book Antiqua" w:hAnsi="Book Antiqua"/>
          <w:sz w:val="22"/>
          <w:szCs w:val="22"/>
        </w:rPr>
        <w:t>. V takomto</w:t>
      </w:r>
      <w:r>
        <w:rPr>
          <w:rFonts w:ascii="Book Antiqua" w:hAnsi="Book Antiqua"/>
          <w:sz w:val="22"/>
          <w:szCs w:val="22"/>
        </w:rPr>
        <w:t xml:space="preserve"> prípade sa navrhuje, aby bol člen vlády </w:t>
      </w:r>
      <w:r w:rsidRPr="00463564">
        <w:rPr>
          <w:rFonts w:ascii="Book Antiqua" w:hAnsi="Book Antiqua"/>
          <w:sz w:val="22"/>
          <w:szCs w:val="22"/>
        </w:rPr>
        <w:t>viazaný návrhom stanoviska Slovenskej republiky</w:t>
      </w:r>
      <w:r>
        <w:rPr>
          <w:rFonts w:ascii="Book Antiqua" w:hAnsi="Book Antiqua"/>
          <w:sz w:val="22"/>
          <w:szCs w:val="22"/>
        </w:rPr>
        <w:t>, ktoré vláda vypracovala a predložila N</w:t>
      </w:r>
      <w:r w:rsidR="00ED017A">
        <w:rPr>
          <w:rFonts w:ascii="Book Antiqua" w:hAnsi="Book Antiqua"/>
          <w:sz w:val="22"/>
          <w:szCs w:val="22"/>
        </w:rPr>
        <w:t>árodnej rade</w:t>
      </w:r>
      <w:r>
        <w:rPr>
          <w:rFonts w:ascii="Book Antiqua" w:hAnsi="Book Antiqua"/>
          <w:sz w:val="22"/>
          <w:szCs w:val="22"/>
        </w:rPr>
        <w:t xml:space="preserve"> SR</w:t>
      </w:r>
      <w:r w:rsidRPr="00463564">
        <w:rPr>
          <w:rFonts w:ascii="Book Antiqua" w:hAnsi="Book Antiqua"/>
          <w:sz w:val="22"/>
          <w:szCs w:val="22"/>
        </w:rPr>
        <w:t>.</w:t>
      </w:r>
    </w:p>
    <w:p w14:paraId="472BDCB8" w14:textId="77777777" w:rsidR="00ED017A" w:rsidRDefault="00ED017A" w:rsidP="00B67AAD">
      <w:pPr>
        <w:spacing w:before="120" w:line="276" w:lineRule="auto"/>
        <w:rPr>
          <w:rFonts w:ascii="Book Antiqua" w:hAnsi="Book Antiqua"/>
          <w:bCs/>
          <w:sz w:val="22"/>
          <w:szCs w:val="22"/>
          <w:u w:val="single"/>
        </w:rPr>
      </w:pPr>
    </w:p>
    <w:p w14:paraId="6001E003" w14:textId="77777777" w:rsidR="00ED017A" w:rsidRDefault="00ED017A" w:rsidP="00B67AAD">
      <w:pPr>
        <w:spacing w:before="120" w:line="276" w:lineRule="auto"/>
        <w:rPr>
          <w:rFonts w:ascii="Book Antiqua" w:hAnsi="Book Antiqua"/>
          <w:bCs/>
          <w:sz w:val="22"/>
          <w:szCs w:val="22"/>
          <w:u w:val="single"/>
        </w:rPr>
      </w:pPr>
    </w:p>
    <w:p w14:paraId="0E12C99F" w14:textId="78BF5A8E" w:rsidR="00B67AAD" w:rsidRPr="00463564" w:rsidRDefault="00B67AAD" w:rsidP="00B67AAD">
      <w:pPr>
        <w:spacing w:before="120" w:line="276" w:lineRule="auto"/>
        <w:rPr>
          <w:rFonts w:ascii="Book Antiqua" w:hAnsi="Book Antiqua"/>
          <w:bCs/>
          <w:sz w:val="22"/>
          <w:szCs w:val="22"/>
          <w:u w:val="single"/>
        </w:rPr>
      </w:pPr>
      <w:r w:rsidRPr="00463564">
        <w:rPr>
          <w:rFonts w:ascii="Book Antiqua" w:hAnsi="Book Antiqua"/>
          <w:bCs/>
          <w:sz w:val="22"/>
          <w:szCs w:val="22"/>
          <w:u w:val="single"/>
        </w:rPr>
        <w:lastRenderedPageBreak/>
        <w:t>K bodu 6</w:t>
      </w:r>
    </w:p>
    <w:p w14:paraId="01CD99CE" w14:textId="7A822D1A" w:rsidR="00B67AAD" w:rsidRPr="004368D7" w:rsidRDefault="00B67AAD" w:rsidP="00B67AAD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63564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>Navrhovaná úprava bezprostredne súvisí s čl. I bodom 4 tohto návrhu ústavného zákona. Keďže vyjadrenie negatívneho stanoviska člena vlády na rokovaní zástupcov vlád členských štátov EÚ má podobu sankcie za nesplnenie si povinnosti vlády voči N</w:t>
      </w:r>
      <w:r w:rsidR="00ED017A">
        <w:rPr>
          <w:rFonts w:ascii="Book Antiqua" w:hAnsi="Book Antiqua"/>
          <w:bCs/>
          <w:sz w:val="22"/>
          <w:szCs w:val="22"/>
        </w:rPr>
        <w:t>árodnej rade</w:t>
      </w:r>
      <w:r>
        <w:rPr>
          <w:rFonts w:ascii="Book Antiqua" w:hAnsi="Book Antiqua"/>
          <w:bCs/>
          <w:sz w:val="22"/>
          <w:szCs w:val="22"/>
        </w:rPr>
        <w:t xml:space="preserve"> SR, neprichádza do úvahy možnosť, aby sa člen vlády mohol na uvedenom rokovaní odchýliť od stanoviska Slovenskej republiky schváleného N</w:t>
      </w:r>
      <w:r w:rsidR="00ED017A">
        <w:rPr>
          <w:rFonts w:ascii="Book Antiqua" w:hAnsi="Book Antiqua"/>
          <w:bCs/>
          <w:sz w:val="22"/>
          <w:szCs w:val="22"/>
        </w:rPr>
        <w:t>árodnou radou</w:t>
      </w:r>
      <w:r>
        <w:rPr>
          <w:rFonts w:ascii="Book Antiqua" w:hAnsi="Book Antiqua"/>
          <w:bCs/>
          <w:sz w:val="22"/>
          <w:szCs w:val="22"/>
        </w:rPr>
        <w:t xml:space="preserve"> SR, </w:t>
      </w:r>
      <w:proofErr w:type="spellStart"/>
      <w:r>
        <w:rPr>
          <w:rFonts w:ascii="Book Antiqua" w:hAnsi="Book Antiqua"/>
          <w:bCs/>
          <w:sz w:val="22"/>
          <w:szCs w:val="22"/>
        </w:rPr>
        <w:t>t.j</w:t>
      </w:r>
      <w:proofErr w:type="spellEnd"/>
      <w:r>
        <w:rPr>
          <w:rFonts w:ascii="Book Antiqua" w:hAnsi="Book Antiqua"/>
          <w:bCs/>
          <w:sz w:val="22"/>
          <w:szCs w:val="22"/>
        </w:rPr>
        <w:t>. v tomto prípade negatívneho stanoviska vyplývajúceho priamo z ústavného zákona. Navrhovanú právnu úpravu je potrebné vnímať tak, že záujmy Slovenskej republiky v tomto procese zabezpečuje primárne N</w:t>
      </w:r>
      <w:r w:rsidR="00ED017A">
        <w:rPr>
          <w:rFonts w:ascii="Book Antiqua" w:hAnsi="Book Antiqua"/>
          <w:bCs/>
          <w:sz w:val="22"/>
          <w:szCs w:val="22"/>
        </w:rPr>
        <w:t>árodná rada</w:t>
      </w:r>
      <w:r>
        <w:rPr>
          <w:rFonts w:ascii="Book Antiqua" w:hAnsi="Book Antiqua"/>
          <w:bCs/>
          <w:sz w:val="22"/>
          <w:szCs w:val="22"/>
        </w:rPr>
        <w:t xml:space="preserve"> SR, ktorá vyslovuje dôveru vláde, a preto by vláda nemala mať prospech z nesplnenia si svojej povinnosti, ktorá jej vyplýva z ústavného zákona.</w:t>
      </w:r>
    </w:p>
    <w:p w14:paraId="47921A6D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4B0C8FFB" w14:textId="77777777" w:rsidR="00B67AAD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63564">
        <w:rPr>
          <w:rFonts w:ascii="Book Antiqua" w:hAnsi="Book Antiqua"/>
          <w:b/>
          <w:sz w:val="22"/>
          <w:szCs w:val="22"/>
        </w:rPr>
        <w:t>K Čl. II</w:t>
      </w:r>
    </w:p>
    <w:p w14:paraId="3BFC6C7F" w14:textId="598C8635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8E0D63">
        <w:rPr>
          <w:rFonts w:ascii="Book Antiqua" w:hAnsi="Book Antiqua"/>
          <w:sz w:val="22"/>
          <w:szCs w:val="22"/>
        </w:rPr>
        <w:t xml:space="preserve">Navrhuje sa účinnosť predkladaného návrhu ústavného zákona so zohľadnením </w:t>
      </w:r>
      <w:proofErr w:type="spellStart"/>
      <w:r w:rsidRPr="008E0D63">
        <w:rPr>
          <w:rFonts w:ascii="Book Antiqua" w:hAnsi="Book Antiqua"/>
          <w:sz w:val="22"/>
          <w:szCs w:val="22"/>
        </w:rPr>
        <w:t>legisvakančnej</w:t>
      </w:r>
      <w:proofErr w:type="spellEnd"/>
      <w:r w:rsidRPr="008E0D63">
        <w:rPr>
          <w:rFonts w:ascii="Book Antiqua" w:hAnsi="Book Antiqua"/>
          <w:sz w:val="22"/>
          <w:szCs w:val="22"/>
        </w:rPr>
        <w:t xml:space="preserve"> lehoty, a to od 1. </w:t>
      </w:r>
      <w:r w:rsidR="00ED017A">
        <w:rPr>
          <w:rFonts w:ascii="Book Antiqua" w:hAnsi="Book Antiqua"/>
          <w:sz w:val="22"/>
          <w:szCs w:val="22"/>
        </w:rPr>
        <w:t xml:space="preserve">júna </w:t>
      </w:r>
      <w:r>
        <w:rPr>
          <w:rFonts w:ascii="Book Antiqua" w:hAnsi="Book Antiqua"/>
          <w:sz w:val="22"/>
          <w:szCs w:val="22"/>
        </w:rPr>
        <w:t>202</w:t>
      </w:r>
      <w:r w:rsidR="00ED017A">
        <w:rPr>
          <w:rFonts w:ascii="Book Antiqua" w:hAnsi="Book Antiqua"/>
          <w:sz w:val="22"/>
          <w:szCs w:val="22"/>
        </w:rPr>
        <w:t>4</w:t>
      </w:r>
      <w:r w:rsidRPr="008E0D63">
        <w:rPr>
          <w:rFonts w:ascii="Book Antiqua" w:hAnsi="Book Antiqua"/>
          <w:sz w:val="22"/>
          <w:szCs w:val="22"/>
        </w:rPr>
        <w:t>.</w:t>
      </w:r>
    </w:p>
    <w:p w14:paraId="5DDB1595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38D7DFFA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4CB85468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568B0AC6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2F292479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586907ED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5062045C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5B4E2186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5F69054B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5AFCF280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34EFF3B0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746482F2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4F008037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61439306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786C2D3C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691051C1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321D35CD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25A5C766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63DF6A4C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0CFDC213" w14:textId="77777777" w:rsidR="00B67AAD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2B625280" w14:textId="77777777" w:rsidR="00B67AAD" w:rsidRPr="00463564" w:rsidRDefault="00B67AAD" w:rsidP="00B67AAD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7603CC57" w14:textId="77777777" w:rsidR="00B67AAD" w:rsidRDefault="00B67AAD" w:rsidP="00B67AAD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0AC32FA1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7D06D713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b/>
          <w:bCs/>
          <w:sz w:val="22"/>
          <w:szCs w:val="22"/>
        </w:rPr>
        <w:t>návrhu ústavného zákona</w:t>
      </w:r>
      <w:r w:rsidRPr="00463564">
        <w:rPr>
          <w:rFonts w:ascii="Book Antiqua" w:hAnsi="Book Antiqua"/>
          <w:sz w:val="22"/>
          <w:szCs w:val="22"/>
        </w:rPr>
        <w:t xml:space="preserve"> </w:t>
      </w:r>
      <w:r w:rsidRPr="0046356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0A75FED3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sz w:val="22"/>
          <w:szCs w:val="22"/>
        </w:rPr>
        <w:t> </w:t>
      </w:r>
    </w:p>
    <w:p w14:paraId="6BBD8F22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463564">
        <w:rPr>
          <w:rFonts w:ascii="Book Antiqua" w:hAnsi="Book Antiqua"/>
          <w:b/>
          <w:bCs/>
          <w:sz w:val="22"/>
          <w:szCs w:val="22"/>
        </w:rPr>
        <w:t>1. Navrhovateľ ústavného zákona:</w:t>
      </w:r>
      <w:r w:rsidRPr="00463564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skupina poslancov</w:t>
      </w:r>
      <w:r w:rsidRPr="00463564">
        <w:rPr>
          <w:rFonts w:ascii="Book Antiqua" w:hAnsi="Book Antiqua"/>
          <w:sz w:val="22"/>
          <w:szCs w:val="22"/>
        </w:rPr>
        <w:t xml:space="preserve"> Národnej rady Slo</w:t>
      </w:r>
      <w:r>
        <w:rPr>
          <w:rFonts w:ascii="Book Antiqua" w:hAnsi="Book Antiqua"/>
          <w:sz w:val="22"/>
          <w:szCs w:val="22"/>
        </w:rPr>
        <w:t>venskej republiky</w:t>
      </w:r>
    </w:p>
    <w:p w14:paraId="62290B2D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sz w:val="22"/>
          <w:szCs w:val="22"/>
        </w:rPr>
        <w:t> </w:t>
      </w:r>
    </w:p>
    <w:p w14:paraId="5B9EB90E" w14:textId="77777777" w:rsidR="00B67AAD" w:rsidRPr="00463564" w:rsidRDefault="00B67AAD" w:rsidP="00B67AA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63564">
        <w:rPr>
          <w:rFonts w:ascii="Book Antiqua" w:hAnsi="Book Antiqua"/>
          <w:b/>
          <w:bCs/>
          <w:sz w:val="22"/>
          <w:szCs w:val="22"/>
        </w:rPr>
        <w:t>2. Názov návrhu ústavného zákona:</w:t>
      </w:r>
      <w:r w:rsidRPr="00463564">
        <w:rPr>
          <w:rFonts w:ascii="Book Antiqua" w:hAnsi="Book Antiqua"/>
          <w:sz w:val="22"/>
          <w:szCs w:val="22"/>
        </w:rPr>
        <w:t xml:space="preserve"> n</w:t>
      </w:r>
      <w:r w:rsidRPr="00463564">
        <w:rPr>
          <w:rFonts w:ascii="Book Antiqua" w:hAnsi="Book Antiqua"/>
          <w:color w:val="000000"/>
          <w:sz w:val="22"/>
          <w:szCs w:val="22"/>
        </w:rPr>
        <w:t xml:space="preserve">ávrh </w:t>
      </w:r>
      <w:r>
        <w:rPr>
          <w:rFonts w:ascii="Book Antiqua" w:hAnsi="Book Antiqua"/>
          <w:color w:val="000000"/>
          <w:sz w:val="22"/>
          <w:szCs w:val="22"/>
        </w:rPr>
        <w:t xml:space="preserve">ústavného </w:t>
      </w:r>
      <w:r w:rsidRPr="00463564">
        <w:rPr>
          <w:rFonts w:ascii="Book Antiqua" w:hAnsi="Book Antiqua"/>
          <w:sz w:val="22"/>
          <w:szCs w:val="22"/>
        </w:rPr>
        <w:t xml:space="preserve">zákona, ktorým sa </w:t>
      </w:r>
      <w:r w:rsidRPr="00463564">
        <w:rPr>
          <w:rFonts w:ascii="Book Antiqua" w:hAnsi="Book Antiqua"/>
          <w:bCs/>
          <w:sz w:val="22"/>
          <w:szCs w:val="22"/>
        </w:rPr>
        <w:t xml:space="preserve">mení a dopĺňa ústavný zákon č. 397/2004 Z. z. </w:t>
      </w:r>
      <w:r w:rsidRPr="00463564">
        <w:rPr>
          <w:rFonts w:ascii="Book Antiqua" w:hAnsi="Book Antiqua"/>
          <w:sz w:val="22"/>
          <w:szCs w:val="22"/>
        </w:rPr>
        <w:t>o spolupráci Národnej rady Slovenskej republiky a vlády Slovenskej republiky v záležitostiach Európskej únie</w:t>
      </w:r>
    </w:p>
    <w:p w14:paraId="732E23A7" w14:textId="77777777" w:rsidR="00B67AAD" w:rsidRDefault="00B67AAD" w:rsidP="00B67AA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4C1AA824" w14:textId="77777777" w:rsidR="00B67AAD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3. Predmet návrhu ústavného zákona:</w:t>
      </w:r>
    </w:p>
    <w:p w14:paraId="35B14B44" w14:textId="77777777" w:rsidR="00B67AAD" w:rsidRDefault="00B67AAD" w:rsidP="00B67AAD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je upravený v primárnom práve Európskej únie, </w:t>
      </w:r>
      <w:r w:rsidRPr="00463564">
        <w:rPr>
          <w:rFonts w:ascii="Book Antiqua" w:hAnsi="Book Antiqua"/>
          <w:bCs/>
          <w:sz w:val="22"/>
          <w:szCs w:val="22"/>
        </w:rPr>
        <w:t xml:space="preserve">a to </w:t>
      </w:r>
      <w:r>
        <w:rPr>
          <w:rFonts w:ascii="Book Antiqua" w:hAnsi="Book Antiqua"/>
          <w:bCs/>
          <w:sz w:val="22"/>
          <w:szCs w:val="22"/>
        </w:rPr>
        <w:t xml:space="preserve">v článkoch 5, 12, 48 ods. 7 a 69 Zmluvy o Európskej únii a </w:t>
      </w:r>
      <w:r w:rsidRPr="00463564">
        <w:rPr>
          <w:rFonts w:ascii="Book Antiqua" w:hAnsi="Book Antiqua"/>
          <w:bCs/>
          <w:sz w:val="22"/>
          <w:szCs w:val="22"/>
        </w:rPr>
        <w:t xml:space="preserve">v článkoch </w:t>
      </w:r>
      <w:r>
        <w:rPr>
          <w:rFonts w:ascii="Book Antiqua" w:hAnsi="Book Antiqua"/>
          <w:bCs/>
          <w:sz w:val="22"/>
          <w:szCs w:val="22"/>
        </w:rPr>
        <w:t xml:space="preserve">10 ods. 2, </w:t>
      </w:r>
      <w:r w:rsidRPr="00463564">
        <w:rPr>
          <w:rFonts w:ascii="Book Antiqua" w:hAnsi="Book Antiqua"/>
          <w:bCs/>
          <w:sz w:val="22"/>
          <w:szCs w:val="22"/>
        </w:rPr>
        <w:t xml:space="preserve">69, </w:t>
      </w:r>
      <w:r>
        <w:rPr>
          <w:rFonts w:ascii="Book Antiqua" w:hAnsi="Book Antiqua"/>
          <w:bCs/>
          <w:sz w:val="22"/>
          <w:szCs w:val="22"/>
        </w:rPr>
        <w:t xml:space="preserve">76, </w:t>
      </w:r>
      <w:r w:rsidRPr="00463564">
        <w:rPr>
          <w:rFonts w:ascii="Book Antiqua" w:hAnsi="Book Antiqua"/>
          <w:bCs/>
          <w:sz w:val="22"/>
          <w:szCs w:val="22"/>
        </w:rPr>
        <w:t>289, 290, 352 a 353 Zmluvy o fungovaní Európskej únie</w:t>
      </w:r>
      <w:r>
        <w:rPr>
          <w:rFonts w:ascii="Book Antiqua" w:hAnsi="Book Antiqua"/>
          <w:bCs/>
          <w:sz w:val="22"/>
          <w:szCs w:val="22"/>
        </w:rPr>
        <w:t>, ako aj v Protokole č. 1 a v Protokole č. 2 (najmä články 6, 7 a 8 – tzv. žltá, oranžová a červená karta národného parlamentu) k tejto zmluve,</w:t>
      </w:r>
    </w:p>
    <w:p w14:paraId="6DA12F8A" w14:textId="77777777" w:rsidR="00B67AAD" w:rsidRDefault="00B67AAD" w:rsidP="00B67AAD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14:paraId="5BA9B80B" w14:textId="77777777" w:rsidR="00B67AAD" w:rsidRDefault="00B67AAD" w:rsidP="00B67AAD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14:paraId="19066207" w14:textId="77777777" w:rsidR="00B67AAD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24EB6CD4" w14:textId="77777777" w:rsidR="00B67AAD" w:rsidRDefault="00B67AAD" w:rsidP="00B67AAD">
      <w:pPr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14:paraId="76BAC306" w14:textId="77777777" w:rsidR="00B67AAD" w:rsidRDefault="00B67AAD" w:rsidP="00B67AAD">
      <w:pPr>
        <w:spacing w:before="120" w:line="276" w:lineRule="auto"/>
        <w:ind w:left="540" w:hanging="25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a) bezpredmetné,</w:t>
      </w:r>
    </w:p>
    <w:p w14:paraId="75D8BE5A" w14:textId="77777777" w:rsidR="00B67AAD" w:rsidRDefault="00B67AAD" w:rsidP="00B67AAD">
      <w:pPr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b) v danej oblasti nebol proti Slovenskej republike začatý postup Európskej komisie a ani konanie Súdneho dvora Európskej únie podľa článkov 258 až 260 Zmluvy o fungovaní Európskej únie,</w:t>
      </w:r>
    </w:p>
    <w:p w14:paraId="170B8898" w14:textId="77777777" w:rsidR="00B67AAD" w:rsidRDefault="00B67AAD" w:rsidP="00B67AA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Book Antiqua" w:hAnsi="Book Antiqua"/>
          <w:b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c) bezpredmetné.</w:t>
      </w:r>
    </w:p>
    <w:p w14:paraId="3083F979" w14:textId="77777777" w:rsidR="00B67AAD" w:rsidRDefault="00B67AAD" w:rsidP="00B67AAD">
      <w:pPr>
        <w:spacing w:before="120" w:line="276" w:lineRule="auto"/>
        <w:ind w:left="539" w:hanging="255"/>
        <w:jc w:val="both"/>
        <w:rPr>
          <w:rFonts w:ascii="Book Antiqua" w:hAnsi="Book Antiqua"/>
          <w:color w:val="000000"/>
          <w:sz w:val="22"/>
          <w:szCs w:val="22"/>
        </w:rPr>
      </w:pPr>
    </w:p>
    <w:p w14:paraId="52067105" w14:textId="77777777" w:rsidR="00B67AAD" w:rsidRDefault="00B67AAD" w:rsidP="00B67AAD">
      <w:pPr>
        <w:numPr>
          <w:ilvl w:val="0"/>
          <w:numId w:val="3"/>
        </w:numPr>
        <w:tabs>
          <w:tab w:val="num" w:pos="284"/>
          <w:tab w:val="left" w:pos="341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Stupeň zlučiteľnosti návrhu ústavného zákona s právom Európskej únie</w:t>
      </w:r>
    </w:p>
    <w:p w14:paraId="5C2AB364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úplný.</w:t>
      </w:r>
    </w:p>
    <w:p w14:paraId="6D30F6B7" w14:textId="77777777" w:rsidR="00B67AAD" w:rsidRPr="00463564" w:rsidRDefault="00B67AAD" w:rsidP="00B67AAD">
      <w:pPr>
        <w:pStyle w:val="Normlnywebov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14:paraId="0A75C032" w14:textId="77777777" w:rsidR="00B67AAD" w:rsidRPr="00463564" w:rsidRDefault="00B67AAD" w:rsidP="00B67AAD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625AFF6D" w14:textId="77777777" w:rsidR="00B67AAD" w:rsidRPr="00463564" w:rsidRDefault="00B67AAD" w:rsidP="00B67AAD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5805DA74" w14:textId="77777777" w:rsidR="00B67AAD" w:rsidRPr="00463564" w:rsidRDefault="00B67AAD" w:rsidP="00B67AAD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739A7685" w14:textId="77777777" w:rsidR="00B67AAD" w:rsidRPr="00463564" w:rsidRDefault="00B67AAD" w:rsidP="00B67AAD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07C1B91E" w14:textId="77777777" w:rsidR="00B67AAD" w:rsidRPr="00463564" w:rsidRDefault="00B67AAD" w:rsidP="00B67AAD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DE75D7C" w14:textId="77777777" w:rsidR="00B67AAD" w:rsidRPr="00463564" w:rsidRDefault="00B67AAD" w:rsidP="00B67AAD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14:paraId="14703149" w14:textId="77777777" w:rsidR="00ED017A" w:rsidRPr="008A387F" w:rsidRDefault="00ED017A" w:rsidP="00ED017A">
      <w:pPr>
        <w:jc w:val="center"/>
        <w:rPr>
          <w:rFonts w:ascii="Book Antiqua" w:hAnsi="Book Antiqua"/>
          <w:b/>
          <w:sz w:val="22"/>
          <w:szCs w:val="22"/>
        </w:rPr>
      </w:pPr>
      <w:r w:rsidRPr="008A387F">
        <w:rPr>
          <w:rFonts w:ascii="Book Antiqua" w:hAnsi="Book Antiqua"/>
          <w:b/>
          <w:sz w:val="22"/>
          <w:szCs w:val="22"/>
        </w:rPr>
        <w:lastRenderedPageBreak/>
        <w:t>Doložka vybraných vplyvov</w:t>
      </w:r>
    </w:p>
    <w:p w14:paraId="2F1F7019" w14:textId="77777777" w:rsidR="00ED017A" w:rsidRPr="008A387F" w:rsidRDefault="00ED017A" w:rsidP="00ED017A">
      <w:pPr>
        <w:spacing w:after="200" w:line="276" w:lineRule="auto"/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ED017A" w:rsidRPr="008A387F" w14:paraId="29E49167" w14:textId="77777777" w:rsidTr="00526409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641C39DC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Základné údaje</w:t>
            </w:r>
          </w:p>
        </w:tc>
      </w:tr>
      <w:tr w:rsidR="00ED017A" w:rsidRPr="008A387F" w14:paraId="774C0F73" w14:textId="77777777" w:rsidTr="00526409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40AAE626" w14:textId="77777777" w:rsidR="00ED017A" w:rsidRPr="008A387F" w:rsidRDefault="00ED017A" w:rsidP="00526409">
            <w:pPr>
              <w:spacing w:after="200" w:line="276" w:lineRule="auto"/>
              <w:ind w:left="142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ED017A" w:rsidRPr="008A387F" w14:paraId="3D2CC7FD" w14:textId="77777777" w:rsidTr="00526409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75363F71" w14:textId="5E5C27C2" w:rsidR="00ED017A" w:rsidRPr="008A387F" w:rsidRDefault="00ED017A" w:rsidP="00ED017A">
            <w:pPr>
              <w:pStyle w:val="Normlnywebov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n</w:t>
            </w:r>
            <w:r w:rsidRPr="008A387F">
              <w:rPr>
                <w:rFonts w:ascii="Book Antiqua" w:hAnsi="Book Antiqua"/>
                <w:color w:val="000000"/>
                <w:sz w:val="20"/>
                <w:szCs w:val="20"/>
              </w:rPr>
              <w:t xml:space="preserve">ávrh ústavného </w:t>
            </w:r>
            <w:r w:rsidRPr="008A387F">
              <w:rPr>
                <w:rFonts w:ascii="Book Antiqua" w:hAnsi="Book Antiqua"/>
                <w:sz w:val="20"/>
                <w:szCs w:val="20"/>
              </w:rPr>
              <w:t xml:space="preserve">zákona, ktorým sa </w:t>
            </w:r>
            <w:r w:rsidRPr="008A387F">
              <w:rPr>
                <w:rFonts w:ascii="Book Antiqua" w:hAnsi="Book Antiqua"/>
                <w:bCs/>
                <w:sz w:val="20"/>
                <w:szCs w:val="20"/>
              </w:rPr>
              <w:t xml:space="preserve">mení a dopĺňa ústavný zákon č. 397/2004 Z. z. </w:t>
            </w:r>
            <w:r w:rsidRPr="008A387F">
              <w:rPr>
                <w:rFonts w:ascii="Book Antiqua" w:hAnsi="Book Antiqua"/>
                <w:sz w:val="20"/>
                <w:szCs w:val="20"/>
              </w:rPr>
              <w:t>o spolupráci Národnej rady Slovenskej republiky a vlády Slovenskej republiky v záležitostiach Európskej únie</w:t>
            </w:r>
          </w:p>
        </w:tc>
      </w:tr>
      <w:tr w:rsidR="00ED017A" w:rsidRPr="008A387F" w14:paraId="1515B3A2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A010B26" w14:textId="77777777" w:rsidR="00ED017A" w:rsidRPr="008A387F" w:rsidRDefault="00ED017A" w:rsidP="00526409">
            <w:pPr>
              <w:spacing w:after="200" w:line="276" w:lineRule="auto"/>
              <w:ind w:left="142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8A387F">
              <w:rPr>
                <w:rFonts w:ascii="Book Antiqua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8A387F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ED017A" w:rsidRPr="008A387F" w14:paraId="15AF3B5D" w14:textId="77777777" w:rsidTr="00526409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90705" w14:textId="6ED11E6F" w:rsidR="00ED017A" w:rsidRPr="008A387F" w:rsidRDefault="00ED017A" w:rsidP="00526409">
            <w:pPr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skupina poslancov</w:t>
            </w:r>
          </w:p>
        </w:tc>
      </w:tr>
      <w:tr w:rsidR="00ED017A" w:rsidRPr="008A387F" w14:paraId="511D7164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850BAA" w14:textId="77777777" w:rsidR="00ED017A" w:rsidRPr="008A387F" w:rsidRDefault="00ED017A" w:rsidP="0052640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017A" w:rsidRPr="008A387F" w14:paraId="540E1CCE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193F440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ED017A" w:rsidRPr="008A387F" w14:paraId="71FF0EE2" w14:textId="77777777" w:rsidTr="00526409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F7DB" w14:textId="77777777" w:rsidR="00ED017A" w:rsidRPr="008A387F" w:rsidRDefault="00ED017A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47F87169" w14:textId="77777777" w:rsidR="00ED017A" w:rsidRPr="008A387F" w:rsidRDefault="00ED017A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2123B5B8" w14:textId="77F7C919" w:rsidR="00ED017A" w:rsidRPr="008A387F" w:rsidRDefault="001D1A19" w:rsidP="008A387F">
            <w:pPr>
              <w:pStyle w:val="Normlnywebov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 w:cs="Book Antiqua"/>
                <w:sz w:val="20"/>
                <w:szCs w:val="20"/>
              </w:rPr>
              <w:t>Súčasná lehota na predkladanie predbežných stanovísk vládou pre VEZ (štyri týždne) je nereálna a z objektívnych dôvodov je nemožné ju dodržiavať.  Nastavenie spolupráce medzi Národnou radou SR a vládou neupravuje situácie, ak jedna strana nesplní svoje povinnosti z </w:t>
            </w:r>
            <w:r w:rsidR="008A387F">
              <w:rPr>
                <w:rFonts w:ascii="Book Antiqua" w:hAnsi="Book Antiqua" w:cs="Book Antiqua"/>
                <w:sz w:val="20"/>
                <w:szCs w:val="20"/>
              </w:rPr>
              <w:t>ú</w:t>
            </w:r>
            <w:r w:rsidRPr="008A387F">
              <w:rPr>
                <w:rFonts w:ascii="Book Antiqua" w:hAnsi="Book Antiqua" w:cs="Book Antiqua"/>
                <w:sz w:val="20"/>
                <w:szCs w:val="20"/>
              </w:rPr>
              <w:t>stavného zákona a predbežné stanovisko nepredloží alebo naopak druhá strana ho neprerokuje.</w:t>
            </w:r>
          </w:p>
        </w:tc>
      </w:tr>
      <w:tr w:rsidR="00ED017A" w:rsidRPr="008A387F" w14:paraId="316E9D4A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0EAF966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ED017A" w:rsidRPr="008A387F" w14:paraId="3F1AE618" w14:textId="77777777" w:rsidTr="00526409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4F48C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1C76A8CE" w14:textId="77777777" w:rsidR="00ED017A" w:rsidRPr="008A387F" w:rsidRDefault="00ED017A" w:rsidP="0052640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0F36A9C0" w14:textId="765A7FFD" w:rsidR="00ED017A" w:rsidRPr="008A387F" w:rsidRDefault="001D1A19" w:rsidP="008A387F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A387F">
              <w:rPr>
                <w:rFonts w:ascii="Book Antiqua" w:hAnsi="Book Antiqua" w:cs="Book Antiqua"/>
                <w:sz w:val="20"/>
                <w:szCs w:val="20"/>
              </w:rPr>
              <w:t>Cieľom návrhu ústavného zákona je zlepšiť spoluprácu Národnej rady SR s vládou v európskych záležitostiach pri vypracovávaní stanovísk a predbežných stanovísk Slovenskej republiky k návrhom právne záväzných aktov a iných aktov Európskej únie vládou a ich schvaľovaní Národnej rady SR prostredníctvom V</w:t>
            </w:r>
            <w:r w:rsidR="008A387F">
              <w:rPr>
                <w:rFonts w:ascii="Book Antiqua" w:hAnsi="Book Antiqua" w:cs="Book Antiqua"/>
                <w:sz w:val="20"/>
                <w:szCs w:val="20"/>
              </w:rPr>
              <w:t>ýboru NR SR pre európske záležitosti</w:t>
            </w:r>
            <w:r w:rsidRPr="008A387F">
              <w:rPr>
                <w:rFonts w:ascii="Book Antiqua" w:hAnsi="Book Antiqua" w:cs="Book Antiqua"/>
                <w:sz w:val="20"/>
                <w:szCs w:val="20"/>
              </w:rPr>
              <w:t xml:space="preserve"> predtým, ako o nich budú rokovať príslušné orgány EÚ.</w:t>
            </w:r>
          </w:p>
        </w:tc>
      </w:tr>
      <w:tr w:rsidR="00ED017A" w:rsidRPr="008A387F" w14:paraId="622548EE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F9FB2B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Dotknuté subjekty</w:t>
            </w:r>
          </w:p>
        </w:tc>
      </w:tr>
      <w:tr w:rsidR="00ED017A" w:rsidRPr="008A387F" w14:paraId="022646A2" w14:textId="77777777" w:rsidTr="00526409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C806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Uveďte subjekty, ktorých sa zmeny predkladaného materiálu dotknú priamo aj nepriamo:</w:t>
            </w:r>
          </w:p>
          <w:p w14:paraId="51A6AC21" w14:textId="6D50B865" w:rsidR="00ED017A" w:rsidRPr="008A387F" w:rsidRDefault="00ED017A" w:rsidP="008A387F">
            <w:pPr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 w:cs="Book Antiqua"/>
                <w:sz w:val="20"/>
                <w:szCs w:val="20"/>
              </w:rPr>
              <w:t>Národná rada SR, vláda a členovia vlády SR, Výbor</w:t>
            </w:r>
            <w:r w:rsidR="008A387F">
              <w:rPr>
                <w:rFonts w:ascii="Book Antiqua" w:hAnsi="Book Antiqua" w:cs="Book Antiqua"/>
                <w:sz w:val="20"/>
                <w:szCs w:val="20"/>
              </w:rPr>
              <w:t xml:space="preserve"> NR SR</w:t>
            </w:r>
            <w:r w:rsidRPr="008A387F">
              <w:rPr>
                <w:rFonts w:ascii="Book Antiqua" w:hAnsi="Book Antiqua" w:cs="Book Antiqua"/>
                <w:sz w:val="20"/>
                <w:szCs w:val="20"/>
              </w:rPr>
              <w:t xml:space="preserve"> pre </w:t>
            </w:r>
            <w:r w:rsidR="008A387F">
              <w:rPr>
                <w:rFonts w:ascii="Book Antiqua" w:hAnsi="Book Antiqua" w:cs="Book Antiqua"/>
                <w:sz w:val="20"/>
                <w:szCs w:val="20"/>
              </w:rPr>
              <w:t>e</w:t>
            </w:r>
            <w:r w:rsidRPr="008A387F">
              <w:rPr>
                <w:rFonts w:ascii="Book Antiqua" w:hAnsi="Book Antiqua" w:cs="Book Antiqua"/>
                <w:sz w:val="20"/>
                <w:szCs w:val="20"/>
              </w:rPr>
              <w:t>urópske záležitosti</w:t>
            </w:r>
          </w:p>
        </w:tc>
      </w:tr>
      <w:tr w:rsidR="00ED017A" w:rsidRPr="008A387F" w14:paraId="1FAFD815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17063C3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ED017A" w:rsidRPr="008A387F" w14:paraId="55B0F233" w14:textId="77777777" w:rsidTr="00526409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15680" w14:textId="77777777" w:rsidR="00ED017A" w:rsidRPr="008A387F" w:rsidRDefault="00ED017A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2660412C" w14:textId="5FB3218E" w:rsidR="00ED017A" w:rsidRPr="008A387F" w:rsidRDefault="001D1A19" w:rsidP="00526409">
            <w:pPr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 w:rsidRPr="008A387F">
              <w:rPr>
                <w:rFonts w:ascii="Book Antiqua" w:hAnsi="Book Antiqua" w:cs="Book Antiqua"/>
                <w:sz w:val="20"/>
                <w:szCs w:val="20"/>
              </w:rPr>
              <w:t>Ak by sa tento problém neriešil, ďalej bude spolupráca medzi Národnou radou SR a vládou pri príprave stanovísk na rokovanie inštitúcií EÚ narážať v praxi na nedostatky.</w:t>
            </w:r>
          </w:p>
        </w:tc>
      </w:tr>
      <w:tr w:rsidR="00ED017A" w:rsidRPr="008A387F" w14:paraId="7725F54E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04877BB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ED017A" w:rsidRPr="008A387F" w14:paraId="49A09ADB" w14:textId="77777777" w:rsidTr="00526409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0B045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AB6FD63" w14:textId="77777777" w:rsidR="00ED017A" w:rsidRPr="008A387F" w:rsidRDefault="00620D78" w:rsidP="00526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7A"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D017A" w:rsidRPr="008A387F">
              <w:rPr>
                <w:rFonts w:ascii="Book Antiqua" w:hAnsi="Book Antiqua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923B341" w14:textId="77777777" w:rsidR="00ED017A" w:rsidRPr="008A387F" w:rsidRDefault="00620D78" w:rsidP="00526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7A"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ED017A" w:rsidRPr="008A387F">
              <w:rPr>
                <w:rFonts w:ascii="Book Antiqua" w:hAnsi="Book Antiqua"/>
                <w:b/>
                <w:sz w:val="20"/>
                <w:szCs w:val="20"/>
              </w:rPr>
              <w:t xml:space="preserve">  Nie</w:t>
            </w:r>
          </w:p>
        </w:tc>
      </w:tr>
      <w:tr w:rsidR="00ED017A" w:rsidRPr="008A387F" w14:paraId="0944BF34" w14:textId="77777777" w:rsidTr="00526409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1A005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</w:tc>
      </w:tr>
      <w:tr w:rsidR="00ED017A" w:rsidRPr="008A387F" w14:paraId="068DF5B1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D67EA22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ED017A" w:rsidRPr="008A387F" w14:paraId="52A93515" w14:textId="77777777" w:rsidTr="00526409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F174AE4" w14:textId="77777777" w:rsidR="00ED017A" w:rsidRPr="008A387F" w:rsidRDefault="00ED017A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8A387F">
              <w:rPr>
                <w:rFonts w:ascii="Book Antiqua" w:hAnsi="Book Antiqua"/>
                <w:i/>
                <w:sz w:val="20"/>
                <w:szCs w:val="20"/>
              </w:rPr>
              <w:t>goldplating</w:t>
            </w:r>
            <w:proofErr w:type="spellEnd"/>
            <w:r w:rsidRPr="008A387F">
              <w:rPr>
                <w:rFonts w:ascii="Book Antiqua" w:hAnsi="Book Antiqua"/>
                <w:i/>
                <w:sz w:val="20"/>
                <w:szCs w:val="20"/>
              </w:rPr>
              <w:t>) spolu s odôvodnením opodstatnenosti presahu.</w:t>
            </w:r>
          </w:p>
          <w:p w14:paraId="0BA0BA2A" w14:textId="77777777" w:rsidR="00ED017A" w:rsidRPr="008A387F" w:rsidRDefault="00ED017A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30128C9D" w14:textId="48328CA8" w:rsidR="00ED017A" w:rsidRPr="008A387F" w:rsidRDefault="008A387F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bezpredmetné</w:t>
            </w:r>
          </w:p>
        </w:tc>
      </w:tr>
      <w:tr w:rsidR="00ED017A" w:rsidRPr="008A387F" w14:paraId="2D2BB41F" w14:textId="77777777" w:rsidTr="00526409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3C7F" w14:textId="77777777" w:rsidR="00ED017A" w:rsidRPr="008A387F" w:rsidRDefault="00ED017A" w:rsidP="005264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017A" w:rsidRPr="008A387F" w14:paraId="0EA5A333" w14:textId="77777777" w:rsidTr="0052640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0A9D6E4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ED017A" w:rsidRPr="008A387F" w14:paraId="6F0F2CC4" w14:textId="77777777" w:rsidTr="00526409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A21D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 xml:space="preserve">Uveďte termín, kedy by malo dôjsť k preskúmaniu účinnosti a účelnosti predkladaného materiálu. </w:t>
            </w:r>
          </w:p>
          <w:p w14:paraId="5FC1F58F" w14:textId="77777777" w:rsidR="00ED017A" w:rsidRPr="008A387F" w:rsidRDefault="00ED017A" w:rsidP="00526409">
            <w:pPr>
              <w:rPr>
                <w:rFonts w:ascii="Book Antiqua" w:hAnsi="Book Antiqua"/>
                <w:iCs/>
                <w:sz w:val="20"/>
                <w:szCs w:val="20"/>
              </w:rPr>
            </w:pPr>
            <w:r w:rsidRPr="008A387F">
              <w:rPr>
                <w:rFonts w:ascii="Book Antiqua" w:hAnsi="Book Antiqua"/>
                <w:iCs/>
                <w:sz w:val="20"/>
                <w:szCs w:val="20"/>
              </w:rPr>
              <w:t>Po 3 rokoch od nadobudnutia účinnosti.</w:t>
            </w:r>
          </w:p>
          <w:p w14:paraId="571D5671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Uveďte kritériá, na základe ktorých bude preskúmanie vykonané.</w:t>
            </w:r>
          </w:p>
          <w:p w14:paraId="1800B878" w14:textId="77777777" w:rsidR="001D1A19" w:rsidRPr="008A387F" w:rsidRDefault="001D1A19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0347A846" w14:textId="028D9D2E" w:rsidR="001D1A19" w:rsidRPr="008A387F" w:rsidRDefault="001D1A19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 xml:space="preserve">Kritériom môže byť lepšia spolupráca v európskych záležitostiach, </w:t>
            </w:r>
            <w:r w:rsidR="008A387F">
              <w:rPr>
                <w:rFonts w:ascii="Book Antiqua" w:hAnsi="Book Antiqua"/>
                <w:sz w:val="20"/>
                <w:szCs w:val="20"/>
              </w:rPr>
              <w:t>ktorú bude vedieť zhodnotiť Výbor NR SR pre európske záležitosti.</w:t>
            </w:r>
          </w:p>
        </w:tc>
      </w:tr>
      <w:tr w:rsidR="00ED017A" w:rsidRPr="008A387F" w14:paraId="7A5497D1" w14:textId="77777777" w:rsidTr="00526409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343542E8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lastRenderedPageBreak/>
              <w:t>Vybrané vplyvy materiálu</w:t>
            </w:r>
          </w:p>
        </w:tc>
      </w:tr>
      <w:tr w:rsidR="00ED017A" w:rsidRPr="008A387F" w14:paraId="76158109" w14:textId="77777777" w:rsidTr="0052640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A512F74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79638CD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90DEB23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6026F50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675227B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6B8C165" w14:textId="77777777" w:rsidR="00ED017A" w:rsidRPr="008A387F" w:rsidRDefault="00ED017A" w:rsidP="00526409">
                <w:pPr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E00B11" w14:textId="77777777" w:rsidR="00ED017A" w:rsidRPr="008A387F" w:rsidRDefault="00ED017A" w:rsidP="00526409">
            <w:pPr>
              <w:ind w:left="34"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ED017A" w:rsidRPr="008A387F" w14:paraId="6BD3C181" w14:textId="77777777" w:rsidTr="0052640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2042BC2" w14:textId="77777777" w:rsidR="00ED017A" w:rsidRPr="008A387F" w:rsidRDefault="00ED017A" w:rsidP="00526409">
            <w:pPr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 xml:space="preserve">    z toho rozpočtovo zabezpečené vplyvy,         </w:t>
            </w:r>
          </w:p>
          <w:p w14:paraId="650F841F" w14:textId="77777777" w:rsidR="00ED017A" w:rsidRPr="008A387F" w:rsidRDefault="00ED017A" w:rsidP="00526409">
            <w:pPr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 xml:space="preserve">    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F4C8084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EB06F8" w14:textId="77777777" w:rsidR="00ED017A" w:rsidRPr="008A387F" w:rsidRDefault="00ED017A" w:rsidP="00526409">
            <w:pPr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7728B7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61DF68" w14:textId="77777777" w:rsidR="00ED017A" w:rsidRPr="008A387F" w:rsidRDefault="00ED017A" w:rsidP="00526409">
            <w:pPr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2C453F9" w14:textId="77777777" w:rsidR="00ED017A" w:rsidRPr="008A387F" w:rsidRDefault="00ED017A" w:rsidP="00526409">
                <w:pPr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D66453" w14:textId="77777777" w:rsidR="00ED017A" w:rsidRPr="008A387F" w:rsidRDefault="00ED017A" w:rsidP="00526409">
            <w:pPr>
              <w:ind w:left="34"/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Čiastočne</w:t>
            </w:r>
          </w:p>
        </w:tc>
      </w:tr>
      <w:tr w:rsidR="00ED017A" w:rsidRPr="008A387F" w14:paraId="602FAA9E" w14:textId="77777777" w:rsidTr="0052640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5B36DB9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F850F6C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AD8B6E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2CAFC11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34CA75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4479968" w14:textId="77777777" w:rsidR="00ED017A" w:rsidRPr="008A387F" w:rsidRDefault="00ED017A" w:rsidP="00526409">
                <w:pPr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D51FBE" w14:textId="77777777" w:rsidR="00ED017A" w:rsidRPr="008A387F" w:rsidRDefault="00ED017A" w:rsidP="00526409">
            <w:pPr>
              <w:ind w:left="34"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ED017A" w:rsidRPr="008A387F" w14:paraId="5264F9C8" w14:textId="77777777" w:rsidTr="0052640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1FB14D23" w14:textId="77777777" w:rsidR="00ED017A" w:rsidRPr="008A387F" w:rsidRDefault="00ED017A" w:rsidP="00526409">
            <w:pPr>
              <w:ind w:left="171"/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z toho rozpočtovo zabezpečené vplyvy, 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FE8F41B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E99915" w14:textId="77777777" w:rsidR="00ED017A" w:rsidRPr="008A387F" w:rsidRDefault="00ED017A" w:rsidP="00526409">
            <w:pPr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AA29C69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57438F" w14:textId="77777777" w:rsidR="00ED017A" w:rsidRPr="008A387F" w:rsidRDefault="00ED017A" w:rsidP="00526409">
            <w:pPr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C78F81" w14:textId="77777777" w:rsidR="00ED017A" w:rsidRPr="008A387F" w:rsidRDefault="00ED017A" w:rsidP="00526409">
                <w:pPr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D9176F" w14:textId="77777777" w:rsidR="00ED017A" w:rsidRPr="008A387F" w:rsidRDefault="00ED017A" w:rsidP="00526409">
            <w:pPr>
              <w:ind w:left="34"/>
              <w:rPr>
                <w:rFonts w:ascii="Book Antiqua" w:hAnsi="Book Antiqua"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>Čiastočne</w:t>
            </w:r>
          </w:p>
        </w:tc>
      </w:tr>
      <w:tr w:rsidR="00ED017A" w:rsidRPr="008A387F" w14:paraId="01EA89C5" w14:textId="77777777" w:rsidTr="0052640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CF3C43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477835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DB66FD" w14:textId="77777777" w:rsidR="00ED017A" w:rsidRPr="008A387F" w:rsidRDefault="00ED017A" w:rsidP="00526409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B0ADAAA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73952E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F2EF55A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877042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ED017A" w:rsidRPr="008A387F" w14:paraId="3DC83BBC" w14:textId="77777777" w:rsidTr="0052640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B3EC5D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sz w:val="20"/>
                <w:szCs w:val="20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F5C32" w14:textId="77777777" w:rsidR="00ED017A" w:rsidRPr="008A387F" w:rsidRDefault="00ED017A" w:rsidP="00526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09B52" w14:textId="77777777" w:rsidR="00ED017A" w:rsidRPr="008A387F" w:rsidRDefault="00ED017A" w:rsidP="00526409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35242" w14:textId="77777777" w:rsidR="00ED017A" w:rsidRPr="008A387F" w:rsidRDefault="00ED017A" w:rsidP="00526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79408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6B985" w14:textId="77777777" w:rsidR="00ED017A" w:rsidRPr="008A387F" w:rsidRDefault="00ED017A" w:rsidP="0052640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E927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D017A" w:rsidRPr="008A387F" w14:paraId="2C0E6E46" w14:textId="77777777" w:rsidTr="0052640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5A86879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BCC73E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474D5" w14:textId="77777777" w:rsidR="00ED017A" w:rsidRPr="008A387F" w:rsidRDefault="00ED017A" w:rsidP="00526409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72EB04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ED7E9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9DEF38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F0E8F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ED017A" w:rsidRPr="008A387F" w14:paraId="43488BDB" w14:textId="77777777" w:rsidTr="0052640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0A9439A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893526C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DCD28" w14:textId="77777777" w:rsidR="00ED017A" w:rsidRPr="008A387F" w:rsidRDefault="00ED017A" w:rsidP="00526409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443BCB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6A06D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3572F5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7D023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ED017A" w:rsidRPr="008A387F" w14:paraId="6556C929" w14:textId="77777777" w:rsidTr="0052640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2A32CA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AEB4E3E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578B8" w14:textId="77777777" w:rsidR="00ED017A" w:rsidRPr="008A387F" w:rsidRDefault="00ED017A" w:rsidP="00526409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894D64E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E2F4C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C9962F4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61D82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ED017A" w:rsidRPr="008A387F" w14:paraId="18FBBD91" w14:textId="77777777" w:rsidTr="0052640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D7007EE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ED0DBA" w14:textId="77777777" w:rsidR="00ED017A" w:rsidRPr="008A387F" w:rsidRDefault="00ED017A" w:rsidP="00526409">
            <w:pPr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34715C" w14:textId="77777777" w:rsidR="00ED017A" w:rsidRPr="008A387F" w:rsidRDefault="00ED017A" w:rsidP="00526409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EDB9A0" w14:textId="77777777" w:rsidR="00ED017A" w:rsidRPr="008A387F" w:rsidRDefault="00ED017A" w:rsidP="00526409">
            <w:pPr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F71BD8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F41CE2" w14:textId="77777777" w:rsidR="00ED017A" w:rsidRPr="008A387F" w:rsidRDefault="00ED017A" w:rsidP="00526409">
            <w:pPr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50E1F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D017A" w:rsidRPr="008A387F" w14:paraId="1525A145" w14:textId="77777777" w:rsidTr="0052640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CA4125C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D610D1F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F410C7E" w14:textId="77777777" w:rsidR="00ED017A" w:rsidRPr="008A387F" w:rsidRDefault="00ED017A" w:rsidP="00526409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891A62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C60EEB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C374E1A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BBF152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ED017A" w:rsidRPr="008A387F" w14:paraId="6C5BAD1F" w14:textId="77777777" w:rsidTr="0052640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FA89CAC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8F4CB2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E3D2E" w14:textId="77777777" w:rsidR="00ED017A" w:rsidRPr="008A387F" w:rsidRDefault="00ED017A" w:rsidP="00526409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FDD27F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1223D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0B384E" w14:textId="77777777" w:rsidR="00ED017A" w:rsidRPr="008A387F" w:rsidRDefault="00ED017A" w:rsidP="00526409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E061" w14:textId="77777777" w:rsidR="00ED017A" w:rsidRPr="008A387F" w:rsidRDefault="00ED017A" w:rsidP="0052640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p w14:paraId="140D6DD5" w14:textId="77777777" w:rsidR="00ED017A" w:rsidRPr="008A387F" w:rsidRDefault="00ED017A" w:rsidP="00ED017A">
      <w:pPr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D017A" w:rsidRPr="008A387F" w14:paraId="1786BF74" w14:textId="77777777" w:rsidTr="0052640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3B49B0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Poznámky</w:t>
            </w:r>
          </w:p>
        </w:tc>
      </w:tr>
      <w:tr w:rsidR="00ED017A" w:rsidRPr="008A387F" w14:paraId="42EA510A" w14:textId="77777777" w:rsidTr="0052640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88CD" w14:textId="77777777" w:rsidR="00ED017A" w:rsidRPr="008A387F" w:rsidRDefault="00ED017A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 xml:space="preserve">V prípade potreby uveďte doplňujúce informácie k identifikovaným vplyvom. </w:t>
            </w:r>
          </w:p>
          <w:p w14:paraId="636BFB22" w14:textId="77777777" w:rsidR="00ED017A" w:rsidRPr="008A387F" w:rsidRDefault="00ED017A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781B1B11" w14:textId="77777777" w:rsidR="00ED017A" w:rsidRPr="008A387F" w:rsidRDefault="00ED017A" w:rsidP="008A387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D017A" w:rsidRPr="008A387F" w14:paraId="05B9B3FF" w14:textId="77777777" w:rsidTr="00526409">
        <w:tc>
          <w:tcPr>
            <w:tcW w:w="9176" w:type="dxa"/>
          </w:tcPr>
          <w:p w14:paraId="3233BBD5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ED017A" w:rsidRPr="008A387F" w14:paraId="677E2421" w14:textId="77777777" w:rsidTr="00526409">
        <w:trPr>
          <w:trHeight w:val="586"/>
        </w:trPr>
        <w:tc>
          <w:tcPr>
            <w:tcW w:w="9176" w:type="dxa"/>
          </w:tcPr>
          <w:p w14:paraId="403AFA67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Vypracovali ste návrh zákona v súčinnosti s príslušným ministerstvom?</w:t>
            </w:r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Áno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 Nie</w:t>
            </w:r>
          </w:p>
          <w:p w14:paraId="31A5272C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27DC9016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Uveďte údaje na kontaktnú osobu, ktorú je možné kontaktovať v súvislosti s posúdením vybraných vplyvov.</w:t>
            </w:r>
          </w:p>
          <w:p w14:paraId="5390724F" w14:textId="77777777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ED017A" w:rsidRPr="008A387F" w14:paraId="539A373B" w14:textId="77777777" w:rsidTr="00526409">
        <w:tc>
          <w:tcPr>
            <w:tcW w:w="9176" w:type="dxa"/>
          </w:tcPr>
          <w:p w14:paraId="6D3CE140" w14:textId="77777777" w:rsidR="00ED017A" w:rsidRPr="008A387F" w:rsidRDefault="00ED017A" w:rsidP="00ED017A">
            <w:pPr>
              <w:numPr>
                <w:ilvl w:val="0"/>
                <w:numId w:val="4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8A387F">
              <w:rPr>
                <w:rFonts w:ascii="Book Antiqua" w:hAnsi="Book Antiqua"/>
                <w:b/>
                <w:sz w:val="20"/>
                <w:szCs w:val="20"/>
              </w:rPr>
              <w:t>Stanovisko gestorov</w:t>
            </w:r>
          </w:p>
        </w:tc>
      </w:tr>
      <w:tr w:rsidR="00ED017A" w:rsidRPr="008A387F" w14:paraId="5196CDFC" w14:textId="77777777" w:rsidTr="00526409">
        <w:trPr>
          <w:trHeight w:val="401"/>
        </w:trPr>
        <w:tc>
          <w:tcPr>
            <w:tcW w:w="9176" w:type="dxa"/>
          </w:tcPr>
          <w:p w14:paraId="5E45AA53" w14:textId="2F4E8685" w:rsidR="00ED017A" w:rsidRPr="008A387F" w:rsidRDefault="00ED017A" w:rsidP="00526409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>Stanovisko Ministerstva financií SR</w:t>
            </w:r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</w:t>
            </w:r>
            <w:r w:rsidR="008A387F">
              <w:rPr>
                <w:rFonts w:ascii="Book Antiqua" w:hAnsi="Book Antiqua"/>
                <w:b/>
                <w:sz w:val="20"/>
                <w:szCs w:val="20"/>
              </w:rPr>
              <w:t xml:space="preserve">    </w:t>
            </w:r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vyžiadané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 priložené</w:t>
            </w:r>
          </w:p>
          <w:p w14:paraId="31A40E77" w14:textId="55EF82D6" w:rsidR="00ED017A" w:rsidRPr="008A387F" w:rsidRDefault="00ED017A" w:rsidP="00526409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8A387F">
              <w:rPr>
                <w:rFonts w:ascii="Book Antiqua" w:hAnsi="Book Antiqua"/>
                <w:i/>
                <w:sz w:val="20"/>
                <w:szCs w:val="20"/>
              </w:rPr>
              <w:t xml:space="preserve">Stanovisko Ministerstva hospodárstva SR                                  </w:t>
            </w:r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8A387F">
              <w:rPr>
                <w:rFonts w:ascii="Book Antiqua" w:hAnsi="Book Antiqua"/>
                <w:b/>
                <w:sz w:val="20"/>
                <w:szCs w:val="20"/>
              </w:rPr>
              <w:t xml:space="preserve">     vyžiadané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8A387F">
              <w:rPr>
                <w:rFonts w:ascii="Book Antiqua" w:hAnsi="Book Antiqua"/>
                <w:b/>
                <w:sz w:val="20"/>
                <w:szCs w:val="20"/>
              </w:rPr>
              <w:t xml:space="preserve">  priložené</w:t>
            </w:r>
          </w:p>
          <w:p w14:paraId="7DCBBCAD" w14:textId="77777777" w:rsidR="00ED017A" w:rsidRPr="008A387F" w:rsidRDefault="00ED017A" w:rsidP="00526409">
            <w:pPr>
              <w:rPr>
                <w:rFonts w:ascii="Book Antiqua" w:hAnsi="Book Antiqua"/>
                <w:bCs/>
                <w:i/>
                <w:iCs/>
                <w:sz w:val="20"/>
                <w:szCs w:val="20"/>
              </w:rPr>
            </w:pPr>
          </w:p>
          <w:p w14:paraId="0C1223B3" w14:textId="77777777" w:rsidR="00ED017A" w:rsidRPr="008A387F" w:rsidRDefault="00ED017A" w:rsidP="00526409">
            <w:pPr>
              <w:rPr>
                <w:rFonts w:ascii="Book Antiqua" w:hAnsi="Book Antiqua"/>
                <w:bCs/>
                <w:i/>
                <w:iCs/>
                <w:sz w:val="20"/>
                <w:szCs w:val="20"/>
              </w:rPr>
            </w:pPr>
            <w:r w:rsidRPr="008A387F">
              <w:rPr>
                <w:rFonts w:ascii="Book Antiqua" w:hAnsi="Book Antiqua"/>
                <w:bCs/>
                <w:i/>
                <w:iCs/>
                <w:sz w:val="20"/>
                <w:szCs w:val="20"/>
              </w:rPr>
              <w:t>V prípade potreby uveďte doplňujúce informácie alebo poznámky k stanovisku.</w:t>
            </w:r>
          </w:p>
          <w:p w14:paraId="2EF03E67" w14:textId="77777777" w:rsidR="00ED017A" w:rsidRPr="008A387F" w:rsidRDefault="00ED017A" w:rsidP="00526409">
            <w:pPr>
              <w:rPr>
                <w:rFonts w:ascii="Book Antiqua" w:hAnsi="Book Antiqua"/>
                <w:bCs/>
                <w:i/>
                <w:iCs/>
                <w:sz w:val="20"/>
                <w:szCs w:val="20"/>
              </w:rPr>
            </w:pPr>
          </w:p>
        </w:tc>
      </w:tr>
    </w:tbl>
    <w:p w14:paraId="21690AD9" w14:textId="77777777" w:rsidR="00ED017A" w:rsidRPr="008A387F" w:rsidRDefault="00ED017A" w:rsidP="00ED017A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b/>
          <w:bCs/>
          <w:color w:val="000000"/>
          <w:sz w:val="20"/>
          <w:szCs w:val="20"/>
        </w:rPr>
      </w:pPr>
    </w:p>
    <w:p w14:paraId="55D1F98D" w14:textId="77777777" w:rsidR="00ED017A" w:rsidRPr="008A387F" w:rsidRDefault="00ED017A" w:rsidP="00ED017A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  <w:sz w:val="20"/>
          <w:szCs w:val="20"/>
        </w:rPr>
      </w:pPr>
    </w:p>
    <w:p w14:paraId="053BE5B7" w14:textId="1208C81D" w:rsidR="00B67AAD" w:rsidRPr="008A387F" w:rsidRDefault="00B67AAD" w:rsidP="00B67AAD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sectPr w:rsidR="00B67AAD" w:rsidRPr="008A3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678BC" w14:textId="77777777" w:rsidR="00620D78" w:rsidRDefault="00620D78">
      <w:r>
        <w:separator/>
      </w:r>
    </w:p>
  </w:endnote>
  <w:endnote w:type="continuationSeparator" w:id="0">
    <w:p w14:paraId="22DD29A9" w14:textId="77777777" w:rsidR="00620D78" w:rsidRDefault="0062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1D1A" w14:textId="77777777" w:rsidR="004F7575" w:rsidRDefault="002B4FA5" w:rsidP="00776CA9">
    <w:pPr>
      <w:pStyle w:val="Pta"/>
      <w:framePr w:wrap="around" w:vAnchor="text" w:hAnchor="margin" w:xAlign="right"/>
      <w:rPr>
        <w:rStyle w:val="slostrany"/>
        <w:rFonts w:ascii="Times New Roman" w:hAnsi="Times New Roman"/>
      </w:rPr>
    </w:pPr>
    <w:r>
      <w:rPr>
        <w:rStyle w:val="slostrany"/>
        <w:rFonts w:ascii="Times New Roman" w:hAnsi="Times New Roman"/>
      </w:rPr>
      <w:fldChar w:fldCharType="begin"/>
    </w:r>
    <w:r>
      <w:rPr>
        <w:rStyle w:val="slostrany"/>
        <w:rFonts w:ascii="Times New Roman" w:hAnsi="Times New Roman"/>
      </w:rPr>
      <w:instrText xml:space="preserve">PAGE  </w:instrText>
    </w:r>
    <w:r>
      <w:rPr>
        <w:rStyle w:val="slostrany"/>
        <w:rFonts w:ascii="Times New Roman" w:hAnsi="Times New Roman"/>
      </w:rPr>
      <w:fldChar w:fldCharType="end"/>
    </w:r>
  </w:p>
  <w:p w14:paraId="5A2D5FBC" w14:textId="77777777" w:rsidR="004F7575" w:rsidRDefault="004F7575" w:rsidP="00776CA9">
    <w:pPr>
      <w:pStyle w:val="Pta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EAAF8" w14:textId="77777777" w:rsidR="004F7575" w:rsidRDefault="004F7575" w:rsidP="00776CA9">
    <w:pPr>
      <w:pStyle w:val="Pta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4206E" w14:textId="77777777" w:rsidR="00620D78" w:rsidRDefault="00620D78">
      <w:r>
        <w:separator/>
      </w:r>
    </w:p>
  </w:footnote>
  <w:footnote w:type="continuationSeparator" w:id="0">
    <w:p w14:paraId="72B49BC0" w14:textId="77777777" w:rsidR="00620D78" w:rsidRDefault="0062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37DC"/>
    <w:multiLevelType w:val="hybridMultilevel"/>
    <w:tmpl w:val="3DAEB0CE"/>
    <w:lvl w:ilvl="0" w:tplc="93825462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C0B68D1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E9233E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A8A703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32C9D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0EC99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3BA615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594AEB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944C07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455639C9"/>
    <w:multiLevelType w:val="hybridMultilevel"/>
    <w:tmpl w:val="38F69CA4"/>
    <w:lvl w:ilvl="0" w:tplc="4030C9D4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 w:tplc="5B48428C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 w:tplc="736ECB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21EE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B7672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E2065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4E2A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B4873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DC478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B2C530F"/>
    <w:multiLevelType w:val="hybridMultilevel"/>
    <w:tmpl w:val="62D4DC4E"/>
    <w:lvl w:ilvl="0" w:tplc="E0EC790C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1C565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6692C6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 w:tplc="25D26032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 w:tplc="B824B0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6EF8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8AD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B69C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50B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AD"/>
    <w:rsid w:val="001D1A19"/>
    <w:rsid w:val="002B4FA5"/>
    <w:rsid w:val="004F7575"/>
    <w:rsid w:val="00620D78"/>
    <w:rsid w:val="007676B6"/>
    <w:rsid w:val="008A387F"/>
    <w:rsid w:val="00A01661"/>
    <w:rsid w:val="00B67AAD"/>
    <w:rsid w:val="00C35304"/>
    <w:rsid w:val="00CB5C98"/>
    <w:rsid w:val="00DE71D8"/>
    <w:rsid w:val="00E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0298"/>
  <w15:chartTrackingRefBased/>
  <w15:docId w15:val="{104FD090-0622-4575-B59D-19AEECB5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AA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AAD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7AAD"/>
    <w:rPr>
      <w:rFonts w:ascii="Cambria" w:eastAsia="Calibri" w:hAnsi="Cambria" w:cs="Times New Roman"/>
      <w:b/>
      <w:kern w:val="32"/>
      <w:sz w:val="32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B67AAD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67AAD"/>
    <w:rPr>
      <w:rFonts w:ascii="Calibri" w:eastAsia="Calibri" w:hAnsi="Calibri" w:cs="Times New Roman"/>
      <w:kern w:val="0"/>
      <w:sz w:val="24"/>
      <w:szCs w:val="20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B67AAD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rsid w:val="00B67AAD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unhideWhenUsed/>
    <w:rsid w:val="00B67AAD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67AAD"/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ED01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D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3</cp:revision>
  <dcterms:created xsi:type="dcterms:W3CDTF">2024-01-10T12:38:00Z</dcterms:created>
  <dcterms:modified xsi:type="dcterms:W3CDTF">2024-01-10T13:03:00Z</dcterms:modified>
</cp:coreProperties>
</file>