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1A34" w:rsidRDefault="00000000">
      <w:pPr>
        <w:jc w:val="both"/>
      </w:pPr>
      <w:r>
        <w:rPr>
          <w:b/>
        </w:rPr>
        <w:t>Dôvodová správa</w:t>
      </w:r>
    </w:p>
    <w:p w14:paraId="00000002" w14:textId="77777777" w:rsidR="00701A34" w:rsidRDefault="00701A34">
      <w:pPr>
        <w:jc w:val="both"/>
        <w:rPr>
          <w:b/>
        </w:rPr>
      </w:pPr>
    </w:p>
    <w:p w14:paraId="00000003" w14:textId="77777777" w:rsidR="00701A34"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ind w:left="0" w:firstLine="0"/>
        <w:jc w:val="both"/>
        <w:rPr>
          <w:b/>
        </w:rPr>
      </w:pPr>
      <w:r>
        <w:rPr>
          <w:b/>
        </w:rPr>
        <w:t>Všeobecná časť</w:t>
      </w:r>
    </w:p>
    <w:p w14:paraId="00000004" w14:textId="77777777" w:rsidR="00701A34" w:rsidRDefault="00701A34">
      <w:pPr>
        <w:jc w:val="both"/>
      </w:pPr>
    </w:p>
    <w:p w14:paraId="00000005" w14:textId="77777777" w:rsidR="00701A34" w:rsidRDefault="00000000">
      <w:pPr>
        <w:jc w:val="both"/>
      </w:pPr>
      <w:r>
        <w:tab/>
        <w:t>Poslankyne Národnej rady Slovenskej republiky Zuzana Števulová a Lucia Plaváková a poslanec Národnej rady Slovenskej republiky Branislav Vančo predkladajú na rokovanie Národnej rady Slovenskej republiky návrh na vydanie zákona, ktorým sa mení a dopĺňa zákon č.  432/2021 Z. z. o disciplinárnom poriadku Najvyššieho správneho súdu Slovenskej republiky a o zmene a doplnení niektorých zákonov (disciplinárny súdny poriadok).</w:t>
      </w:r>
    </w:p>
    <w:p w14:paraId="00000006" w14:textId="77777777" w:rsidR="00701A34" w:rsidRDefault="00701A34">
      <w:pPr>
        <w:jc w:val="both"/>
      </w:pPr>
    </w:p>
    <w:p w14:paraId="00000007" w14:textId="77777777" w:rsidR="00701A34" w:rsidRDefault="00000000">
      <w:pPr>
        <w:pBdr>
          <w:top w:val="nil"/>
          <w:left w:val="nil"/>
          <w:bottom w:val="nil"/>
          <w:right w:val="nil"/>
          <w:between w:val="nil"/>
        </w:pBdr>
        <w:jc w:val="both"/>
        <w:rPr>
          <w:highlight w:val="white"/>
        </w:rPr>
      </w:pPr>
      <w:r>
        <w:rPr>
          <w:color w:val="000000"/>
          <w:highlight w:val="white"/>
        </w:rPr>
        <w:tab/>
        <w:t xml:space="preserve">Cieľom predkladaného návrhu je </w:t>
      </w:r>
      <w:r>
        <w:rPr>
          <w:highlight w:val="white"/>
        </w:rPr>
        <w:t xml:space="preserve">zmena kvóra potrebného na podanie návrhu na disciplinárne konanie voči generálnemu prokurátorovi z troch pätín poslancov Národnej rady Slovenskej republiky na jednu pätinu poslancov Národnej rady Slovenskej republiky. </w:t>
      </w:r>
    </w:p>
    <w:p w14:paraId="00000008" w14:textId="77777777" w:rsidR="00701A34" w:rsidRDefault="00701A34">
      <w:pPr>
        <w:pBdr>
          <w:top w:val="nil"/>
          <w:left w:val="nil"/>
          <w:bottom w:val="nil"/>
          <w:right w:val="nil"/>
          <w:between w:val="nil"/>
        </w:pBdr>
        <w:jc w:val="both"/>
        <w:rPr>
          <w:highlight w:val="white"/>
        </w:rPr>
      </w:pPr>
    </w:p>
    <w:p w14:paraId="00000009" w14:textId="77777777" w:rsidR="00701A34" w:rsidRDefault="00000000">
      <w:pPr>
        <w:pBdr>
          <w:top w:val="nil"/>
          <w:left w:val="nil"/>
          <w:bottom w:val="nil"/>
          <w:right w:val="nil"/>
          <w:between w:val="nil"/>
        </w:pBdr>
        <w:jc w:val="both"/>
        <w:rPr>
          <w:highlight w:val="white"/>
        </w:rPr>
      </w:pPr>
      <w:r>
        <w:rPr>
          <w:highlight w:val="white"/>
        </w:rPr>
        <w:tab/>
        <w:t>Navrhovaná zmena vychádza z aplikačnej praxe a z požiadaviek odbornej verejnosti. Ako sa uvádza v dokumente Nadácie Zastavme korupciu a Via Iuris: Návrhy pre silný právny štát, 2023</w:t>
      </w:r>
      <w:r>
        <w:rPr>
          <w:highlight w:val="white"/>
          <w:vertAlign w:val="superscript"/>
        </w:rPr>
        <w:footnoteReference w:id="1"/>
      </w:r>
      <w:r>
        <w:rPr>
          <w:highlight w:val="white"/>
        </w:rPr>
        <w:t>: “</w:t>
      </w:r>
      <w:r>
        <w:rPr>
          <w:i/>
          <w:highlight w:val="white"/>
        </w:rPr>
        <w:t>Navrhujeme tiež úpravu začatia disciplinárneho konania voči generálnemu prokurátorovi. Disciplinárne konanie voči generálnemu prokurátorovi môže v súčasnosti iniciovať prezident(ka) Slovenskej republiky alebo tri pätiny poslancov Národnej rady SR. Najmä v prípade poslaneckej iniciatívy je takmer nemožné dosiahnuť takúto väčšinu, čo navyše nekorešponduje ani so skutočnosťou, že na zvolenie generálneho prokurátora postačuje nadpolovičná väčšina prítomných poslancov. Preto navrhujeme, aby na podanie disciplinárneho návrhu postačila jedna pätina poslancov, čo môže zreálniť možnosť začať disciplinárne konanie, ak je to potrebné.</w:t>
      </w:r>
      <w:r>
        <w:rPr>
          <w:highlight w:val="white"/>
        </w:rPr>
        <w:t xml:space="preserve">” (str. 16). </w:t>
      </w:r>
    </w:p>
    <w:p w14:paraId="0000000A" w14:textId="77777777" w:rsidR="00701A34" w:rsidRDefault="00701A34">
      <w:pPr>
        <w:pBdr>
          <w:top w:val="nil"/>
          <w:left w:val="nil"/>
          <w:bottom w:val="nil"/>
          <w:right w:val="nil"/>
          <w:between w:val="nil"/>
        </w:pBdr>
        <w:jc w:val="both"/>
        <w:rPr>
          <w:highlight w:val="white"/>
        </w:rPr>
      </w:pPr>
    </w:p>
    <w:p w14:paraId="0000000B" w14:textId="77777777" w:rsidR="00701A34" w:rsidRDefault="00000000">
      <w:pPr>
        <w:pBdr>
          <w:top w:val="nil"/>
          <w:left w:val="nil"/>
          <w:bottom w:val="nil"/>
          <w:right w:val="nil"/>
          <w:between w:val="nil"/>
        </w:pBdr>
        <w:jc w:val="both"/>
        <w:rPr>
          <w:highlight w:val="white"/>
        </w:rPr>
      </w:pPr>
      <w:r>
        <w:rPr>
          <w:highlight w:val="white"/>
        </w:rPr>
        <w:tab/>
        <w:t xml:space="preserve">Predkladateľky a predkladateľ sa stotožňujú s citovaným názorom odbornej verejnosti a z týchto dôvodov predkladajú tento návrh. Jeho prijatie umožní tak koalícii ako aj opozícii využiť funkčný nástroj na iniciovanie disciplinárneho konania voči generálnemu prokurátorovi, čo zaručí, že tento nástroj bude vedieť využiť či už koalícia alebo opozícia účinne a aj v situácii, kedy bude generálny prokurátor zvolený predchádzajúcou vládou, nedôjde tak k jeho zabetónovaniu vo funkcii. Naopak, pôjde o účinný nástroj, ktorý bude môcť využiť ktorákoľvek strana politickej reprezentácie. </w:t>
      </w:r>
    </w:p>
    <w:p w14:paraId="0000000C" w14:textId="77777777" w:rsidR="00701A34" w:rsidRDefault="00701A34">
      <w:pPr>
        <w:pBdr>
          <w:top w:val="nil"/>
          <w:left w:val="nil"/>
          <w:bottom w:val="nil"/>
          <w:right w:val="nil"/>
          <w:between w:val="nil"/>
        </w:pBdr>
        <w:jc w:val="both"/>
        <w:rPr>
          <w:highlight w:val="white"/>
        </w:rPr>
      </w:pPr>
    </w:p>
    <w:p w14:paraId="0000000D" w14:textId="77777777" w:rsidR="00701A34" w:rsidRDefault="00000000">
      <w:pPr>
        <w:pBdr>
          <w:top w:val="nil"/>
          <w:left w:val="nil"/>
          <w:bottom w:val="nil"/>
          <w:right w:val="nil"/>
          <w:between w:val="nil"/>
        </w:pBdr>
        <w:ind w:firstLine="720"/>
        <w:jc w:val="both"/>
      </w:pPr>
      <w:r>
        <w:t>Návrh zákona je v súlade s Ústavou Slovenskej republiky, ústavnými zákonmi a inými zákonmi, medzinárodnými zmluvami a inými medzinárodnými dokumentami, ktorými je Slovenská republika viazaná.</w:t>
      </w:r>
    </w:p>
    <w:p w14:paraId="0000000E" w14:textId="77777777" w:rsidR="00701A34" w:rsidRDefault="00701A34">
      <w:pPr>
        <w:pBdr>
          <w:top w:val="nil"/>
          <w:left w:val="nil"/>
          <w:bottom w:val="nil"/>
          <w:right w:val="nil"/>
          <w:between w:val="nil"/>
        </w:pBdr>
        <w:jc w:val="both"/>
      </w:pPr>
    </w:p>
    <w:p w14:paraId="0000000F" w14:textId="77777777" w:rsidR="00701A34" w:rsidRDefault="00701A34">
      <w:pPr>
        <w:pBdr>
          <w:top w:val="nil"/>
          <w:left w:val="nil"/>
          <w:bottom w:val="nil"/>
          <w:right w:val="nil"/>
          <w:between w:val="nil"/>
        </w:pBdr>
        <w:jc w:val="both"/>
      </w:pPr>
    </w:p>
    <w:p w14:paraId="00000010" w14:textId="77777777" w:rsidR="00701A34" w:rsidRDefault="00701A34">
      <w:pPr>
        <w:pBdr>
          <w:top w:val="nil"/>
          <w:left w:val="nil"/>
          <w:bottom w:val="nil"/>
          <w:right w:val="nil"/>
          <w:between w:val="nil"/>
        </w:pBdr>
        <w:jc w:val="both"/>
      </w:pPr>
    </w:p>
    <w:p w14:paraId="00000011" w14:textId="77777777" w:rsidR="00701A34" w:rsidRDefault="00000000">
      <w:pPr>
        <w:spacing w:after="200" w:line="276" w:lineRule="auto"/>
        <w:jc w:val="both"/>
        <w:rPr>
          <w:b/>
          <w:u w:val="single"/>
        </w:rPr>
      </w:pPr>
      <w:r>
        <w:rPr>
          <w:b/>
        </w:rPr>
        <w:t xml:space="preserve">B. </w:t>
      </w:r>
      <w:r>
        <w:rPr>
          <w:b/>
        </w:rPr>
        <w:tab/>
        <w:t>Osobitná časť</w:t>
      </w:r>
    </w:p>
    <w:p w14:paraId="00000012" w14:textId="77777777" w:rsidR="00701A34" w:rsidRDefault="00000000">
      <w:pPr>
        <w:jc w:val="both"/>
        <w:rPr>
          <w:b/>
          <w:u w:val="single"/>
        </w:rPr>
      </w:pPr>
      <w:r>
        <w:rPr>
          <w:b/>
          <w:u w:val="single"/>
        </w:rPr>
        <w:t>K Čl. I</w:t>
      </w:r>
    </w:p>
    <w:p w14:paraId="00000013" w14:textId="77777777" w:rsidR="00701A34" w:rsidRDefault="00701A34">
      <w:pPr>
        <w:jc w:val="both"/>
        <w:rPr>
          <w:b/>
          <w:u w:val="single"/>
        </w:rPr>
      </w:pPr>
    </w:p>
    <w:p w14:paraId="00000014" w14:textId="77777777" w:rsidR="00701A34" w:rsidRDefault="00000000">
      <w:pPr>
        <w:jc w:val="both"/>
        <w:rPr>
          <w:color w:val="000000"/>
          <w:highlight w:val="white"/>
        </w:rPr>
      </w:pPr>
      <w:r>
        <w:rPr>
          <w:color w:val="000000"/>
          <w:highlight w:val="white"/>
        </w:rPr>
        <w:t>[§ 1</w:t>
      </w:r>
      <w:r>
        <w:rPr>
          <w:highlight w:val="white"/>
        </w:rPr>
        <w:t>6</w:t>
      </w:r>
      <w:r>
        <w:rPr>
          <w:color w:val="000000"/>
          <w:highlight w:val="white"/>
        </w:rPr>
        <w:t xml:space="preserve"> </w:t>
      </w:r>
      <w:r>
        <w:rPr>
          <w:highlight w:val="white"/>
        </w:rPr>
        <w:t>písm</w:t>
      </w:r>
      <w:r>
        <w:rPr>
          <w:color w:val="000000"/>
          <w:highlight w:val="white"/>
        </w:rPr>
        <w:t xml:space="preserve">. </w:t>
      </w:r>
      <w:r>
        <w:rPr>
          <w:highlight w:val="white"/>
        </w:rPr>
        <w:t>a)</w:t>
      </w:r>
      <w:r>
        <w:rPr>
          <w:color w:val="000000"/>
          <w:highlight w:val="white"/>
        </w:rPr>
        <w:t xml:space="preserve">] </w:t>
      </w:r>
    </w:p>
    <w:p w14:paraId="00000015" w14:textId="77777777" w:rsidR="00701A34" w:rsidRDefault="00701A34">
      <w:pPr>
        <w:jc w:val="both"/>
        <w:rPr>
          <w:highlight w:val="white"/>
        </w:rPr>
      </w:pPr>
    </w:p>
    <w:p w14:paraId="00000016" w14:textId="77777777" w:rsidR="00701A34" w:rsidRDefault="00000000">
      <w:pPr>
        <w:jc w:val="both"/>
        <w:rPr>
          <w:b/>
          <w:highlight w:val="yellow"/>
        </w:rPr>
      </w:pPr>
      <w:r>
        <w:rPr>
          <w:highlight w:val="white"/>
        </w:rPr>
        <w:t xml:space="preserve">Navrhovaná zmena mení kvórum potrebné na podanie disciplinárneho návrhu voči generálnemu prokurátorovi z troch pätín poslancov Národnej rady Slovenskej republiky na jednu pätinu poslancov Národnej rady Slovenskej republiky. </w:t>
      </w:r>
    </w:p>
    <w:p w14:paraId="00000017" w14:textId="77777777" w:rsidR="00701A34" w:rsidRDefault="00701A34">
      <w:pPr>
        <w:pBdr>
          <w:top w:val="nil"/>
          <w:left w:val="nil"/>
          <w:bottom w:val="nil"/>
          <w:right w:val="nil"/>
          <w:between w:val="nil"/>
        </w:pBdr>
        <w:jc w:val="both"/>
        <w:rPr>
          <w:color w:val="000000"/>
        </w:rPr>
      </w:pPr>
    </w:p>
    <w:p w14:paraId="00000018" w14:textId="77777777" w:rsidR="00701A34" w:rsidRDefault="00701A34">
      <w:pPr>
        <w:jc w:val="both"/>
        <w:rPr>
          <w:color w:val="000000"/>
          <w:highlight w:val="white"/>
        </w:rPr>
      </w:pPr>
    </w:p>
    <w:p w14:paraId="00000019" w14:textId="77777777" w:rsidR="00701A34" w:rsidRDefault="00000000">
      <w:pPr>
        <w:jc w:val="both"/>
        <w:rPr>
          <w:b/>
          <w:u w:val="single"/>
        </w:rPr>
      </w:pPr>
      <w:r>
        <w:rPr>
          <w:b/>
          <w:color w:val="000000"/>
          <w:highlight w:val="white"/>
          <w:u w:val="single"/>
        </w:rPr>
        <w:t>K Čl. II</w:t>
      </w:r>
    </w:p>
    <w:p w14:paraId="0000001A" w14:textId="77777777" w:rsidR="00701A34" w:rsidRDefault="00701A34">
      <w:pPr>
        <w:pBdr>
          <w:top w:val="nil"/>
          <w:left w:val="nil"/>
          <w:bottom w:val="nil"/>
          <w:right w:val="nil"/>
          <w:between w:val="nil"/>
        </w:pBdr>
        <w:jc w:val="both"/>
        <w:rPr>
          <w:color w:val="000000"/>
        </w:rPr>
      </w:pPr>
    </w:p>
    <w:p w14:paraId="0000001B" w14:textId="77777777" w:rsidR="00701A34" w:rsidRDefault="00000000">
      <w:pPr>
        <w:pBdr>
          <w:top w:val="nil"/>
          <w:left w:val="nil"/>
          <w:bottom w:val="nil"/>
          <w:right w:val="nil"/>
          <w:between w:val="nil"/>
        </w:pBdr>
        <w:jc w:val="both"/>
        <w:rPr>
          <w:color w:val="000000"/>
        </w:rPr>
      </w:pPr>
      <w:r>
        <w:rPr>
          <w:color w:val="000000"/>
        </w:rPr>
        <w:lastRenderedPageBreak/>
        <w:t>S ohľadom n</w:t>
      </w:r>
      <w:r>
        <w:rPr>
          <w:color w:val="000000"/>
          <w:highlight w:val="white"/>
        </w:rPr>
        <w:t xml:space="preserve">a predpokladaný priebeh legislatívneho procesu sa navrhuje nadobudnutie účinnosti od 1. </w:t>
      </w:r>
      <w:r>
        <w:rPr>
          <w:highlight w:val="white"/>
        </w:rPr>
        <w:t xml:space="preserve">júna </w:t>
      </w:r>
      <w:r>
        <w:rPr>
          <w:color w:val="000000"/>
        </w:rPr>
        <w:t>202</w:t>
      </w:r>
      <w:r>
        <w:t>4.</w:t>
      </w:r>
    </w:p>
    <w:sectPr w:rsidR="00701A34">
      <w:headerReference w:type="default" r:id="rId8"/>
      <w:footerReference w:type="default" r:id="rId9"/>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AA20" w14:textId="77777777" w:rsidR="00D918EB" w:rsidRDefault="00D918EB">
      <w:r>
        <w:separator/>
      </w:r>
    </w:p>
  </w:endnote>
  <w:endnote w:type="continuationSeparator" w:id="0">
    <w:p w14:paraId="3DF0AD52" w14:textId="77777777" w:rsidR="00D918EB" w:rsidRDefault="00D9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701A34" w:rsidRDefault="00701A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5015" w14:textId="77777777" w:rsidR="00D918EB" w:rsidRDefault="00D918EB">
      <w:r>
        <w:separator/>
      </w:r>
    </w:p>
  </w:footnote>
  <w:footnote w:type="continuationSeparator" w:id="0">
    <w:p w14:paraId="135B53ED" w14:textId="77777777" w:rsidR="00D918EB" w:rsidRDefault="00D918EB">
      <w:r>
        <w:continuationSeparator/>
      </w:r>
    </w:p>
  </w:footnote>
  <w:footnote w:id="1">
    <w:p w14:paraId="0000001E" w14:textId="77777777" w:rsidR="00701A34" w:rsidRDefault="00000000">
      <w:pPr>
        <w:rPr>
          <w:sz w:val="20"/>
          <w:szCs w:val="20"/>
        </w:rPr>
      </w:pPr>
      <w:r>
        <w:rPr>
          <w:vertAlign w:val="superscript"/>
        </w:rPr>
        <w:footnoteRef/>
      </w:r>
      <w:r>
        <w:rPr>
          <w:sz w:val="20"/>
          <w:szCs w:val="20"/>
        </w:rPr>
        <w:t xml:space="preserve"> https://viaiuris.sk/wp-content/uploads/2023/06/NZK-VI-navrhy-pre-silny-pravny-stat-01062023.pdf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701A34" w:rsidRDefault="00701A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34E1A"/>
    <w:multiLevelType w:val="multilevel"/>
    <w:tmpl w:val="E8907E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699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A34"/>
    <w:rsid w:val="00701A34"/>
    <w:rsid w:val="008A46A1"/>
    <w:rsid w:val="00D918EB"/>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5:docId w15:val="{39028A36-8186-3343-A157-83CCC9C1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0w1BS55gKDIe8r3bpr3meeIF7Q==">CgMxLjA4AHIhMTEwUDA3NFFVZWdFY25lT2tnRG43QTBrUmROYk9adFgy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Prachárová | CB ESPRI</cp:lastModifiedBy>
  <cp:revision>2</cp:revision>
  <dcterms:created xsi:type="dcterms:W3CDTF">2024-01-12T11:43:00Z</dcterms:created>
  <dcterms:modified xsi:type="dcterms:W3CDTF">2024-01-12T11:43:00Z</dcterms:modified>
</cp:coreProperties>
</file>