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A10F5" w14:textId="77777777" w:rsidR="00EC77A2" w:rsidRPr="00793146" w:rsidRDefault="00EC77A2" w:rsidP="00EC77A2">
      <w:pPr>
        <w:pBdr>
          <w:bottom w:val="single" w:sz="12" w:space="1" w:color="auto"/>
        </w:pBdr>
        <w:spacing w:before="120" w:line="276" w:lineRule="auto"/>
        <w:jc w:val="center"/>
        <w:rPr>
          <w:rFonts w:ascii="Book Antiqua" w:hAnsi="Book Antiqua" w:cs="Book Antiqua"/>
          <w:b/>
          <w:bCs/>
          <w:spacing w:val="20"/>
          <w:sz w:val="22"/>
          <w:szCs w:val="22"/>
        </w:rPr>
      </w:pPr>
      <w:r w:rsidRPr="00793146">
        <w:rPr>
          <w:rFonts w:ascii="Book Antiqua" w:hAnsi="Book Antiqua" w:cs="Book Antiqua"/>
          <w:b/>
          <w:bCs/>
          <w:spacing w:val="20"/>
          <w:sz w:val="22"/>
          <w:szCs w:val="22"/>
        </w:rPr>
        <w:t>NÁRODNÁ  RADA  SLOVENSKEJ  REPUBLIKY</w:t>
      </w:r>
    </w:p>
    <w:p w14:paraId="1BA941FA" w14:textId="77777777" w:rsidR="00EC77A2" w:rsidRPr="00793146" w:rsidRDefault="00EC77A2" w:rsidP="00EC77A2">
      <w:pPr>
        <w:spacing w:before="120" w:line="276" w:lineRule="auto"/>
        <w:jc w:val="center"/>
        <w:rPr>
          <w:rFonts w:ascii="Book Antiqua" w:hAnsi="Book Antiqua" w:cs="Book Antiqua"/>
          <w:spacing w:val="20"/>
          <w:sz w:val="22"/>
          <w:szCs w:val="22"/>
        </w:rPr>
      </w:pPr>
    </w:p>
    <w:p w14:paraId="4754C56C" w14:textId="77777777" w:rsidR="00EC77A2" w:rsidRPr="00367D0F" w:rsidRDefault="00EC77A2" w:rsidP="00EC77A2">
      <w:pPr>
        <w:spacing w:before="120" w:line="276" w:lineRule="auto"/>
        <w:jc w:val="center"/>
        <w:rPr>
          <w:rFonts w:ascii="Book Antiqua" w:hAnsi="Book Antiqua" w:cs="Book Antiqua"/>
          <w:spacing w:val="20"/>
          <w:sz w:val="22"/>
          <w:szCs w:val="22"/>
        </w:rPr>
      </w:pPr>
      <w:r>
        <w:rPr>
          <w:rFonts w:ascii="Book Antiqua" w:hAnsi="Book Antiqua" w:cs="Book Antiqua"/>
          <w:spacing w:val="20"/>
          <w:sz w:val="22"/>
          <w:szCs w:val="22"/>
        </w:rPr>
        <w:t>IX</w:t>
      </w:r>
      <w:r w:rsidRPr="00367D0F">
        <w:rPr>
          <w:rFonts w:ascii="Book Antiqua" w:hAnsi="Book Antiqua" w:cs="Book Antiqua"/>
          <w:spacing w:val="20"/>
          <w:sz w:val="22"/>
          <w:szCs w:val="22"/>
        </w:rPr>
        <w:t>. volebné obdobie</w:t>
      </w:r>
    </w:p>
    <w:p w14:paraId="1A26A384" w14:textId="77777777" w:rsidR="00EC77A2" w:rsidRPr="00367D0F" w:rsidRDefault="00EC77A2" w:rsidP="00EC77A2">
      <w:pPr>
        <w:spacing w:before="120" w:line="276" w:lineRule="auto"/>
        <w:jc w:val="center"/>
        <w:rPr>
          <w:rFonts w:ascii="Book Antiqua" w:hAnsi="Book Antiqua" w:cs="Book Antiqua"/>
          <w:b/>
          <w:bCs/>
          <w:spacing w:val="30"/>
          <w:sz w:val="22"/>
          <w:szCs w:val="22"/>
        </w:rPr>
      </w:pPr>
    </w:p>
    <w:p w14:paraId="575BCC47" w14:textId="77777777" w:rsidR="00EC77A2" w:rsidRPr="00367D0F" w:rsidRDefault="00EC77A2" w:rsidP="00EC77A2">
      <w:pPr>
        <w:spacing w:before="120" w:line="276" w:lineRule="auto"/>
        <w:jc w:val="center"/>
        <w:rPr>
          <w:rFonts w:ascii="Book Antiqua" w:hAnsi="Book Antiqua" w:cs="Book Antiqua"/>
          <w:b/>
          <w:bCs/>
          <w:spacing w:val="30"/>
          <w:sz w:val="22"/>
          <w:szCs w:val="22"/>
        </w:rPr>
      </w:pPr>
    </w:p>
    <w:p w14:paraId="77B8AB03" w14:textId="77777777" w:rsidR="00EC77A2" w:rsidRPr="003C5A1D" w:rsidRDefault="00EC77A2" w:rsidP="00EC77A2">
      <w:pPr>
        <w:spacing w:before="120" w:line="276" w:lineRule="auto"/>
        <w:jc w:val="center"/>
        <w:rPr>
          <w:rFonts w:ascii="Book Antiqua" w:hAnsi="Book Antiqua" w:cs="Book Antiqua"/>
          <w:bCs/>
          <w:spacing w:val="30"/>
          <w:sz w:val="22"/>
          <w:szCs w:val="22"/>
        </w:rPr>
      </w:pPr>
      <w:r w:rsidRPr="003C5A1D">
        <w:rPr>
          <w:rFonts w:ascii="Book Antiqua" w:hAnsi="Book Antiqua" w:cs="Book Antiqua"/>
          <w:bCs/>
          <w:spacing w:val="30"/>
          <w:sz w:val="22"/>
          <w:szCs w:val="22"/>
        </w:rPr>
        <w:t xml:space="preserve">Návrh </w:t>
      </w:r>
    </w:p>
    <w:p w14:paraId="02858F86" w14:textId="77777777" w:rsidR="00EC77A2" w:rsidRPr="00367D0F" w:rsidRDefault="00EC77A2" w:rsidP="00EC77A2">
      <w:pPr>
        <w:spacing w:before="120" w:line="276" w:lineRule="auto"/>
        <w:jc w:val="center"/>
        <w:rPr>
          <w:rFonts w:ascii="Book Antiqua" w:hAnsi="Book Antiqua" w:cs="Book Antiqua"/>
          <w:b/>
          <w:bCs/>
          <w:spacing w:val="30"/>
          <w:sz w:val="22"/>
          <w:szCs w:val="22"/>
        </w:rPr>
      </w:pPr>
    </w:p>
    <w:p w14:paraId="58DFBDDA" w14:textId="77777777" w:rsidR="00EC77A2" w:rsidRPr="00367D0F" w:rsidRDefault="00EC77A2" w:rsidP="00EC77A2">
      <w:pPr>
        <w:spacing w:before="120" w:line="276" w:lineRule="auto"/>
        <w:jc w:val="center"/>
        <w:rPr>
          <w:rFonts w:ascii="Book Antiqua" w:hAnsi="Book Antiqua" w:cs="Book Antiqua"/>
          <w:b/>
          <w:bCs/>
          <w:caps/>
          <w:spacing w:val="30"/>
          <w:sz w:val="22"/>
          <w:szCs w:val="22"/>
        </w:rPr>
      </w:pPr>
      <w:r w:rsidRPr="00367D0F">
        <w:rPr>
          <w:rFonts w:ascii="Book Antiqua" w:hAnsi="Book Antiqua" w:cs="Book Antiqua"/>
          <w:b/>
          <w:bCs/>
          <w:caps/>
          <w:spacing w:val="30"/>
          <w:sz w:val="22"/>
          <w:szCs w:val="22"/>
        </w:rPr>
        <w:t>zákon</w:t>
      </w:r>
    </w:p>
    <w:p w14:paraId="1A833A8D" w14:textId="77777777" w:rsidR="00EC77A2" w:rsidRPr="00367D0F" w:rsidRDefault="00EC77A2" w:rsidP="00EC77A2">
      <w:pPr>
        <w:spacing w:before="120" w:line="276" w:lineRule="auto"/>
        <w:jc w:val="center"/>
        <w:rPr>
          <w:rFonts w:ascii="Book Antiqua" w:hAnsi="Book Antiqua" w:cs="Book Antiqua"/>
          <w:sz w:val="22"/>
          <w:szCs w:val="22"/>
        </w:rPr>
      </w:pPr>
    </w:p>
    <w:p w14:paraId="376A0259" w14:textId="77777777" w:rsidR="00EC77A2" w:rsidRPr="00793146" w:rsidRDefault="00EC77A2" w:rsidP="00EC77A2">
      <w:pPr>
        <w:spacing w:before="120" w:line="276" w:lineRule="auto"/>
        <w:jc w:val="center"/>
        <w:rPr>
          <w:rFonts w:ascii="Book Antiqua" w:hAnsi="Book Antiqua" w:cs="Book Antiqua"/>
          <w:sz w:val="22"/>
          <w:szCs w:val="22"/>
        </w:rPr>
      </w:pPr>
      <w:r>
        <w:rPr>
          <w:rFonts w:ascii="Book Antiqua" w:hAnsi="Book Antiqua" w:cs="Book Antiqua"/>
          <w:sz w:val="22"/>
          <w:szCs w:val="22"/>
        </w:rPr>
        <w:t>z ... 2024</w:t>
      </w:r>
      <w:r w:rsidRPr="00367D0F">
        <w:rPr>
          <w:rFonts w:ascii="Book Antiqua" w:hAnsi="Book Antiqua" w:cs="Book Antiqua"/>
          <w:sz w:val="22"/>
          <w:szCs w:val="22"/>
        </w:rPr>
        <w:t>,</w:t>
      </w:r>
    </w:p>
    <w:p w14:paraId="78E8E2FA" w14:textId="77777777" w:rsidR="00EC77A2" w:rsidRPr="00793146" w:rsidRDefault="00EC77A2" w:rsidP="00EC77A2">
      <w:pPr>
        <w:spacing w:before="120" w:line="276" w:lineRule="auto"/>
        <w:jc w:val="center"/>
        <w:rPr>
          <w:rFonts w:ascii="Book Antiqua" w:hAnsi="Book Antiqua" w:cs="Book Antiqua"/>
          <w:sz w:val="22"/>
          <w:szCs w:val="22"/>
        </w:rPr>
      </w:pPr>
    </w:p>
    <w:p w14:paraId="19587813" w14:textId="77777777" w:rsidR="00EC77A2" w:rsidRPr="00793146" w:rsidRDefault="00EC77A2" w:rsidP="00EC77A2">
      <w:pPr>
        <w:spacing w:before="120" w:line="276" w:lineRule="auto"/>
        <w:jc w:val="center"/>
        <w:rPr>
          <w:rFonts w:ascii="Book Antiqua" w:hAnsi="Book Antiqua" w:cs="Book Antiqua"/>
          <w:sz w:val="22"/>
          <w:szCs w:val="22"/>
        </w:rPr>
      </w:pPr>
      <w:r w:rsidRPr="00793146">
        <w:rPr>
          <w:rFonts w:ascii="Book Antiqua" w:hAnsi="Book Antiqua" w:cs="Book Antiqua"/>
          <w:b/>
          <w:bCs/>
          <w:sz w:val="22"/>
          <w:szCs w:val="22"/>
        </w:rPr>
        <w:t>ktorým sa mení a dopĺňa zákon Národnej rady Slovenskej republiky č. 350/1996 Z. z. o rokovacom poriadku Národnej rady Slovenskej republiky v znení neskorších predpisov</w:t>
      </w:r>
    </w:p>
    <w:p w14:paraId="72033010" w14:textId="77777777" w:rsidR="00EC77A2" w:rsidRPr="00793146" w:rsidRDefault="00EC77A2" w:rsidP="00EC77A2">
      <w:pPr>
        <w:spacing w:before="120" w:line="276" w:lineRule="auto"/>
        <w:jc w:val="both"/>
        <w:rPr>
          <w:rFonts w:ascii="Book Antiqua" w:hAnsi="Book Antiqua" w:cs="Book Antiqua"/>
          <w:sz w:val="22"/>
          <w:szCs w:val="22"/>
        </w:rPr>
      </w:pPr>
    </w:p>
    <w:p w14:paraId="7F57DABB" w14:textId="77777777" w:rsidR="00EC77A2" w:rsidRPr="00793146" w:rsidRDefault="00EC77A2" w:rsidP="00EC77A2">
      <w:pPr>
        <w:spacing w:before="120" w:line="276" w:lineRule="auto"/>
        <w:jc w:val="both"/>
        <w:rPr>
          <w:rFonts w:ascii="Book Antiqua" w:hAnsi="Book Antiqua" w:cs="Book Antiqua"/>
          <w:sz w:val="22"/>
          <w:szCs w:val="22"/>
        </w:rPr>
      </w:pPr>
      <w:r w:rsidRPr="00793146">
        <w:rPr>
          <w:rFonts w:ascii="Book Antiqua" w:hAnsi="Book Antiqua" w:cs="Book Antiqua"/>
          <w:sz w:val="22"/>
          <w:szCs w:val="22"/>
        </w:rPr>
        <w:t xml:space="preserve">Národná rada Slovenskej republiky sa uzniesla na tomto zákone: </w:t>
      </w:r>
    </w:p>
    <w:p w14:paraId="686F4120" w14:textId="77777777" w:rsidR="00EC77A2" w:rsidRPr="00793146" w:rsidRDefault="00EC77A2" w:rsidP="00EC77A2">
      <w:pPr>
        <w:spacing w:before="120" w:line="276" w:lineRule="auto"/>
        <w:jc w:val="center"/>
        <w:rPr>
          <w:rFonts w:ascii="Book Antiqua" w:hAnsi="Book Antiqua" w:cs="Book Antiqua"/>
          <w:b/>
          <w:bCs/>
          <w:sz w:val="22"/>
          <w:szCs w:val="22"/>
        </w:rPr>
      </w:pPr>
    </w:p>
    <w:p w14:paraId="0F2258F2" w14:textId="77777777" w:rsidR="00EC77A2" w:rsidRPr="00CF2E10" w:rsidRDefault="00EC77A2" w:rsidP="00EC77A2">
      <w:pPr>
        <w:pStyle w:val="Nadpis3Podloha"/>
        <w:numPr>
          <w:ilvl w:val="0"/>
          <w:numId w:val="0"/>
        </w:numPr>
        <w:spacing w:line="276" w:lineRule="auto"/>
        <w:jc w:val="center"/>
        <w:rPr>
          <w:rFonts w:ascii="Book Antiqua" w:hAnsi="Book Antiqua" w:cs="Book Antiqua"/>
          <w:b/>
          <w:bCs/>
          <w:sz w:val="22"/>
          <w:szCs w:val="22"/>
        </w:rPr>
      </w:pPr>
      <w:r>
        <w:rPr>
          <w:rFonts w:ascii="Book Antiqua" w:hAnsi="Book Antiqua" w:cs="Book Antiqua"/>
          <w:b/>
          <w:bCs/>
          <w:sz w:val="22"/>
          <w:szCs w:val="22"/>
        </w:rPr>
        <w:t>Čl. I</w:t>
      </w:r>
      <w:bookmarkStart w:id="0" w:name="_GoBack"/>
      <w:bookmarkEnd w:id="0"/>
    </w:p>
    <w:p w14:paraId="33BAFA1B" w14:textId="397D0B2E" w:rsidR="00EC77A2" w:rsidRDefault="00EC77A2" w:rsidP="00EC77A2">
      <w:pPr>
        <w:pStyle w:val="Zkladntext"/>
        <w:spacing w:before="120" w:line="276" w:lineRule="auto"/>
        <w:ind w:firstLine="708"/>
        <w:rPr>
          <w:rFonts w:ascii="Book Antiqua" w:hAnsi="Book Antiqua" w:cs="Book Antiqua"/>
          <w:sz w:val="22"/>
          <w:szCs w:val="22"/>
        </w:rPr>
      </w:pPr>
      <w:r w:rsidRPr="000A0F29">
        <w:rPr>
          <w:rFonts w:ascii="Book Antiqua" w:hAnsi="Book Antiqua" w:cs="Book Antiqua"/>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w:t>
      </w:r>
      <w:r w:rsidR="00053DCC">
        <w:rPr>
          <w:rFonts w:ascii="Book Antiqua" w:hAnsi="Book Antiqua" w:cs="Book Antiqua"/>
          <w:sz w:val="22"/>
          <w:szCs w:val="22"/>
        </w:rPr>
        <w:t xml:space="preserve"> </w:t>
      </w:r>
      <w:r w:rsidRPr="000A0F29">
        <w:rPr>
          <w:rFonts w:ascii="Book Antiqua" w:hAnsi="Book Antiqua" w:cs="Book Antiqua"/>
          <w:sz w:val="22"/>
          <w:szCs w:val="22"/>
        </w:rPr>
        <w:t>Z. z., zákona č. 551/2003 Z. z., zákona č. 215/2004 Z. z., zákona č. 360/2004 Z. z., zákon</w:t>
      </w:r>
      <w:r w:rsidR="00053DCC">
        <w:rPr>
          <w:rFonts w:ascii="Book Antiqua" w:hAnsi="Book Antiqua" w:cs="Book Antiqua"/>
          <w:sz w:val="22"/>
          <w:szCs w:val="22"/>
        </w:rPr>
        <w:t>a</w:t>
      </w:r>
      <w:r w:rsidRPr="000A0F29">
        <w:rPr>
          <w:rFonts w:ascii="Book Antiqua" w:hAnsi="Book Antiqua" w:cs="Book Antiqua"/>
          <w:sz w:val="22"/>
          <w:szCs w:val="22"/>
        </w:rPr>
        <w:t xml:space="preserve">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zákona č. 402/2013 Z. z., zákona č. 375/2015 Z. z., zákona č. 399/2015 Z. z., zákona č. 1/2017 Z. z., zákona č. 55/2017 Z. z., zákona č. 217/2018 Z. z., zákona č. 314/2018 Z.</w:t>
      </w:r>
      <w:r>
        <w:rPr>
          <w:rFonts w:ascii="Book Antiqua" w:hAnsi="Book Antiqua" w:cs="Book Antiqua"/>
          <w:sz w:val="22"/>
          <w:szCs w:val="22"/>
        </w:rPr>
        <w:t xml:space="preserve"> z., zákona č. 318/2018 Z. z., </w:t>
      </w:r>
      <w:r w:rsidRPr="000A0F29">
        <w:rPr>
          <w:rFonts w:ascii="Book Antiqua" w:hAnsi="Book Antiqua" w:cs="Book Antiqua"/>
          <w:sz w:val="22"/>
          <w:szCs w:val="22"/>
        </w:rPr>
        <w:t>zákona</w:t>
      </w:r>
      <w:r>
        <w:rPr>
          <w:rFonts w:ascii="Book Antiqua" w:hAnsi="Book Antiqua" w:cs="Book Antiqua"/>
          <w:sz w:val="22"/>
          <w:szCs w:val="22"/>
        </w:rPr>
        <w:t xml:space="preserve"> </w:t>
      </w:r>
      <w:r w:rsidRPr="000A0F29">
        <w:rPr>
          <w:rFonts w:ascii="Book Antiqua" w:hAnsi="Book Antiqua" w:cs="Book Antiqua"/>
          <w:sz w:val="22"/>
          <w:szCs w:val="22"/>
        </w:rPr>
        <w:t>č. 6/2019 Z. z.</w:t>
      </w:r>
      <w:r>
        <w:rPr>
          <w:rFonts w:ascii="Book Antiqua" w:hAnsi="Book Antiqua" w:cs="Book Antiqua"/>
          <w:sz w:val="22"/>
          <w:szCs w:val="22"/>
        </w:rPr>
        <w:t xml:space="preserve">, </w:t>
      </w:r>
      <w:r w:rsidRPr="00837342">
        <w:rPr>
          <w:rFonts w:ascii="Book Antiqua" w:hAnsi="Book Antiqua" w:cs="Segoe UI"/>
          <w:sz w:val="22"/>
          <w:szCs w:val="22"/>
          <w:shd w:val="clear" w:color="auto" w:fill="FFFFFF"/>
        </w:rPr>
        <w:t>zákona č. 241/2020 Z.</w:t>
      </w:r>
      <w:r>
        <w:rPr>
          <w:rFonts w:ascii="Book Antiqua" w:hAnsi="Book Antiqua" w:cs="Segoe UI"/>
          <w:sz w:val="22"/>
          <w:szCs w:val="22"/>
          <w:shd w:val="clear" w:color="auto" w:fill="FFFFFF"/>
        </w:rPr>
        <w:t xml:space="preserve"> z., zákona č. 423/2020 Z. z., </w:t>
      </w:r>
      <w:r w:rsidRPr="00837342">
        <w:rPr>
          <w:rFonts w:ascii="Book Antiqua" w:hAnsi="Book Antiqua" w:cs="Segoe UI"/>
          <w:sz w:val="22"/>
          <w:szCs w:val="22"/>
          <w:shd w:val="clear" w:color="auto" w:fill="FFFFFF"/>
        </w:rPr>
        <w:t>zákona č. 288/2021 Z. z.</w:t>
      </w:r>
      <w:r>
        <w:rPr>
          <w:rFonts w:ascii="Book Antiqua" w:hAnsi="Book Antiqua" w:cs="Book Antiqua"/>
          <w:sz w:val="22"/>
          <w:szCs w:val="22"/>
        </w:rPr>
        <w:t xml:space="preserve">, zákona č. 264/2022 Z. z., zákona č. 252/2022 Z. z. a zákona č. 133/2023 Z. z. </w:t>
      </w:r>
      <w:r w:rsidRPr="000A0F29">
        <w:rPr>
          <w:rFonts w:ascii="Book Antiqua" w:hAnsi="Book Antiqua" w:cs="Book Antiqua"/>
          <w:sz w:val="22"/>
          <w:szCs w:val="22"/>
        </w:rPr>
        <w:t>sa mení a dopĺňa takto:</w:t>
      </w:r>
    </w:p>
    <w:p w14:paraId="17189F4E" w14:textId="392D1127" w:rsidR="00053DCC" w:rsidRDefault="00EC77A2" w:rsidP="00053DCC">
      <w:pPr>
        <w:pStyle w:val="Zkladntext"/>
        <w:numPr>
          <w:ilvl w:val="0"/>
          <w:numId w:val="3"/>
        </w:numPr>
        <w:spacing w:before="120" w:line="276" w:lineRule="auto"/>
        <w:rPr>
          <w:rFonts w:ascii="Book Antiqua" w:hAnsi="Book Antiqua"/>
          <w:noProof/>
          <w:sz w:val="22"/>
          <w:szCs w:val="22"/>
        </w:rPr>
      </w:pPr>
      <w:r w:rsidRPr="00FE74AF">
        <w:rPr>
          <w:rFonts w:ascii="Book Antiqua" w:hAnsi="Book Antiqua"/>
          <w:noProof/>
          <w:sz w:val="22"/>
          <w:szCs w:val="22"/>
        </w:rPr>
        <w:t>V § 17 ods. 2 druhej vete sa na konci pripájajú tieto slová: „alebo tretina členov Výboru Národnej rady Slovenskej republiky pre európske záležitosti (ďalej len „výbor pre európske záležitosti“) v prípade návrhu legislatívneho aktu Európskej únie podľa § 58aa ods. 4“.</w:t>
      </w:r>
    </w:p>
    <w:p w14:paraId="541C511E" w14:textId="61F4A845" w:rsidR="00053DCC" w:rsidRDefault="00053DCC" w:rsidP="00053DCC">
      <w:pPr>
        <w:pStyle w:val="Zkladntext"/>
        <w:numPr>
          <w:ilvl w:val="0"/>
          <w:numId w:val="3"/>
        </w:numPr>
        <w:spacing w:before="120" w:line="276" w:lineRule="auto"/>
        <w:rPr>
          <w:rFonts w:ascii="Book Antiqua" w:hAnsi="Book Antiqua"/>
          <w:noProof/>
          <w:sz w:val="22"/>
          <w:szCs w:val="22"/>
        </w:rPr>
      </w:pPr>
      <w:r>
        <w:rPr>
          <w:rFonts w:ascii="Book Antiqua" w:hAnsi="Book Antiqua"/>
          <w:noProof/>
          <w:sz w:val="22"/>
          <w:szCs w:val="22"/>
        </w:rPr>
        <w:lastRenderedPageBreak/>
        <w:t>V § 45 ods. 2 sa slová „</w:t>
      </w:r>
      <w:r w:rsidRPr="00FE74AF">
        <w:rPr>
          <w:rFonts w:ascii="Book Antiqua" w:hAnsi="Book Antiqua"/>
          <w:noProof/>
          <w:sz w:val="22"/>
          <w:szCs w:val="22"/>
        </w:rPr>
        <w:t>Výbor Národnej rady Slovenskej republiky pre európske záležitosti (ďalej len „výbor pre európske záležitosti“)</w:t>
      </w:r>
      <w:r>
        <w:rPr>
          <w:rFonts w:ascii="Book Antiqua" w:hAnsi="Book Antiqua"/>
          <w:noProof/>
          <w:sz w:val="22"/>
          <w:szCs w:val="22"/>
        </w:rPr>
        <w:t xml:space="preserve"> nahrádzajú slovami „výbor pre európske záležitosti“.</w:t>
      </w:r>
    </w:p>
    <w:p w14:paraId="2C5F2C87" w14:textId="0813C44E" w:rsidR="00EC77A2" w:rsidRDefault="00053DCC" w:rsidP="00101FE8">
      <w:pPr>
        <w:pStyle w:val="Zkladntext"/>
        <w:numPr>
          <w:ilvl w:val="0"/>
          <w:numId w:val="3"/>
        </w:numPr>
        <w:spacing w:before="120" w:line="276" w:lineRule="auto"/>
        <w:rPr>
          <w:rFonts w:ascii="Book Antiqua" w:hAnsi="Book Antiqua" w:cs="Book Antiqua"/>
          <w:sz w:val="22"/>
          <w:szCs w:val="22"/>
        </w:rPr>
      </w:pPr>
      <w:r>
        <w:rPr>
          <w:rFonts w:ascii="Book Antiqua" w:hAnsi="Book Antiqua"/>
          <w:noProof/>
          <w:sz w:val="22"/>
          <w:szCs w:val="22"/>
        </w:rPr>
        <w:t>V § 58a ods. 3 písm. f) sa slová „písmen a) a b)“ nahrádzajú slovami „písmen a) až c)“.</w:t>
      </w:r>
    </w:p>
    <w:p w14:paraId="5A3BFEE6" w14:textId="3CC7BA2D" w:rsidR="00EC77A2" w:rsidRPr="00FC12CF" w:rsidRDefault="00EC77A2" w:rsidP="00101FE8">
      <w:pPr>
        <w:pStyle w:val="Zkladntext"/>
        <w:numPr>
          <w:ilvl w:val="0"/>
          <w:numId w:val="3"/>
        </w:numPr>
        <w:spacing w:before="120" w:line="276" w:lineRule="auto"/>
        <w:rPr>
          <w:rFonts w:ascii="Book Antiqua" w:hAnsi="Book Antiqua" w:cs="Book Antiqua"/>
          <w:sz w:val="22"/>
          <w:szCs w:val="22"/>
        </w:rPr>
      </w:pPr>
      <w:r w:rsidRPr="00FC12CF">
        <w:rPr>
          <w:rFonts w:ascii="Book Antiqua" w:hAnsi="Book Antiqua"/>
          <w:noProof/>
          <w:sz w:val="22"/>
          <w:szCs w:val="22"/>
        </w:rPr>
        <w:t>Za § 58a sa vkladá § 58aa, ktorý vrátane nadpisu znie:</w:t>
      </w:r>
    </w:p>
    <w:p w14:paraId="4AAE9ED0" w14:textId="77777777" w:rsidR="00EC77A2" w:rsidRDefault="00EC77A2" w:rsidP="00EC77A2">
      <w:pPr>
        <w:spacing w:before="120" w:line="276" w:lineRule="auto"/>
        <w:ind w:left="143" w:firstLine="708"/>
        <w:jc w:val="center"/>
        <w:rPr>
          <w:rFonts w:ascii="Book Antiqua" w:hAnsi="Book Antiqua"/>
          <w:b/>
          <w:noProof/>
          <w:sz w:val="22"/>
          <w:szCs w:val="22"/>
        </w:rPr>
      </w:pPr>
      <w:r w:rsidRPr="00FE74AF">
        <w:rPr>
          <w:rFonts w:ascii="Book Antiqua" w:hAnsi="Book Antiqua"/>
          <w:b/>
          <w:noProof/>
          <w:sz w:val="22"/>
          <w:szCs w:val="22"/>
        </w:rPr>
        <w:t>„§ 58aa</w:t>
      </w:r>
    </w:p>
    <w:p w14:paraId="280F6290" w14:textId="77777777" w:rsidR="00EC77A2" w:rsidRPr="0088502D" w:rsidRDefault="00EC77A2" w:rsidP="00EC77A2">
      <w:pPr>
        <w:spacing w:before="120" w:line="276" w:lineRule="auto"/>
        <w:ind w:left="143" w:firstLine="708"/>
        <w:jc w:val="center"/>
        <w:rPr>
          <w:rFonts w:ascii="Book Antiqua" w:hAnsi="Book Antiqua"/>
          <w:b/>
          <w:noProof/>
          <w:sz w:val="22"/>
          <w:szCs w:val="22"/>
        </w:rPr>
      </w:pPr>
      <w:r w:rsidRPr="00FE74AF">
        <w:rPr>
          <w:rFonts w:ascii="Book Antiqua" w:hAnsi="Book Antiqua"/>
          <w:b/>
          <w:noProof/>
          <w:sz w:val="22"/>
          <w:szCs w:val="22"/>
        </w:rPr>
        <w:t xml:space="preserve">Posudzovanie súladu návrhov legislatívnych aktov Európskej únie </w:t>
      </w:r>
      <w:r>
        <w:rPr>
          <w:rFonts w:ascii="Book Antiqua" w:hAnsi="Book Antiqua"/>
          <w:b/>
          <w:noProof/>
          <w:sz w:val="22"/>
          <w:szCs w:val="22"/>
        </w:rPr>
        <w:t>so zásadou subsidiarity</w:t>
      </w:r>
    </w:p>
    <w:p w14:paraId="7144EF59" w14:textId="77777777" w:rsidR="00EC77A2" w:rsidRPr="0088502D" w:rsidRDefault="00EC77A2" w:rsidP="00EC77A2">
      <w:pPr>
        <w:numPr>
          <w:ilvl w:val="0"/>
          <w:numId w:val="2"/>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Predseda výboru pre európske záležitosti priebežne zaradí do návrhu programu schôdze výboru návrhy legislatívnych aktov Európskej únie, ktoré boli výboru pre európske záležitosti doručené, aby výbor pre európske záležitosti mohol preskúmať ich súlad so zásadou subsidiarity [§ 58a ods. 3 písm. c)] najneskôr do desiatich dní pred uplynutím lehoty ôsmych týždňov stanovenej podľa osobitného predpisu</w:t>
      </w:r>
      <w:r w:rsidRPr="00FE74AF">
        <w:rPr>
          <w:rFonts w:ascii="Book Antiqua" w:hAnsi="Book Antiqua"/>
          <w:noProof/>
          <w:sz w:val="22"/>
          <w:szCs w:val="22"/>
          <w:vertAlign w:val="superscript"/>
        </w:rPr>
        <w:t>47da)</w:t>
      </w:r>
      <w:r w:rsidRPr="00FE74AF">
        <w:rPr>
          <w:rFonts w:ascii="Book Antiqua" w:hAnsi="Book Antiqua"/>
          <w:noProof/>
          <w:sz w:val="22"/>
          <w:szCs w:val="22"/>
        </w:rPr>
        <w:t>.</w:t>
      </w:r>
    </w:p>
    <w:p w14:paraId="7C9F1CA5" w14:textId="77777777" w:rsidR="00EC77A2" w:rsidRPr="0088502D" w:rsidRDefault="00EC77A2" w:rsidP="00EC77A2">
      <w:pPr>
        <w:numPr>
          <w:ilvl w:val="0"/>
          <w:numId w:val="2"/>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Výbor pre európske záležitosti môže požiadať o stanovisko k návrhu legislatívneho aktu Európskej únie ostatné výbory národnej rady [§ 58a ods. 3 písm. f)] a stanoviť lehotu na zaslanie stanoviska, ktorá nesmie byť kratšia ako tri týždne.</w:t>
      </w:r>
    </w:p>
    <w:p w14:paraId="7F1AD4C2" w14:textId="77777777" w:rsidR="00EC77A2" w:rsidRPr="0088502D" w:rsidRDefault="00EC77A2" w:rsidP="00EC77A2">
      <w:pPr>
        <w:numPr>
          <w:ilvl w:val="0"/>
          <w:numId w:val="2"/>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Výbor pre európske záležitosti zaujme k návrhu legislatívneho aktu Európskej únie uznesením odôvodnené stanovisko</w:t>
      </w:r>
      <w:r w:rsidRPr="00FE74AF">
        <w:rPr>
          <w:rFonts w:ascii="Book Antiqua" w:hAnsi="Book Antiqua"/>
          <w:noProof/>
          <w:sz w:val="22"/>
          <w:szCs w:val="22"/>
          <w:vertAlign w:val="superscript"/>
        </w:rPr>
        <w:t>47da)</w:t>
      </w:r>
      <w:r w:rsidRPr="00FE74AF">
        <w:rPr>
          <w:rFonts w:ascii="Book Antiqua" w:hAnsi="Book Antiqua"/>
          <w:noProof/>
          <w:sz w:val="22"/>
          <w:szCs w:val="22"/>
        </w:rPr>
        <w:t>, ak sa domnieva, že takýto návrh nie je v súlade so zásadou subsidiarity. Výbor pre európske záležitosti zohľadní pred prijatím uznesenia podľa prvej vety stanoviská výborov národnej rady podľa odseku 2 a predbežné stanovisko vlády podľa § 58a ods. 8, ak boli výboru pre európske záležitosti doručené v stanovenej lehote. Predseda výboru pre európske záležitosti zašle odôvodnené stanovisko predsedovi národnej rad</w:t>
      </w:r>
      <w:r>
        <w:rPr>
          <w:rFonts w:ascii="Book Antiqua" w:hAnsi="Book Antiqua"/>
          <w:noProof/>
          <w:sz w:val="22"/>
          <w:szCs w:val="22"/>
        </w:rPr>
        <w:t>y do 48 hodín od jeho prijatia.</w:t>
      </w:r>
    </w:p>
    <w:p w14:paraId="43610931" w14:textId="77777777" w:rsidR="00EC77A2" w:rsidRPr="0088502D" w:rsidRDefault="00EC77A2" w:rsidP="00EC77A2">
      <w:pPr>
        <w:numPr>
          <w:ilvl w:val="0"/>
          <w:numId w:val="2"/>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 xml:space="preserve">Ak výbor pre európske záležitosti nepríjme uznesením odôvodnené stanovisko podľa odseku 3 a tretina členov výboru pre európske záležitosti sa napriek tomu domnieva, že návrh legislatívneho aktu Európskej únie nie je v súlade so zásadou subsidiarity, môže do 48 hodín od zasadnutia výboru pre európske záležitosti podľa odseku 3 požiadať predsedu národnej rady o zvolanie schôdze národnej rady podľa § 17 ods. 2. </w:t>
      </w:r>
      <w:r>
        <w:rPr>
          <w:rFonts w:ascii="Book Antiqua" w:hAnsi="Book Antiqua"/>
          <w:noProof/>
          <w:sz w:val="22"/>
          <w:szCs w:val="22"/>
        </w:rPr>
        <w:t>N</w:t>
      </w:r>
      <w:r w:rsidRPr="00FE74AF">
        <w:rPr>
          <w:rFonts w:ascii="Book Antiqua" w:hAnsi="Book Antiqua"/>
          <w:noProof/>
          <w:sz w:val="22"/>
          <w:szCs w:val="22"/>
        </w:rPr>
        <w:t>árodná rada zaujme k návrhu legislatívneho aktu Európskej únie uznesením odôvodnené stanovisko, ak sa domnieva, že takýto návrh nie je v súlade so zásadou subsidiarity.</w:t>
      </w:r>
    </w:p>
    <w:p w14:paraId="7CAA7A3C" w14:textId="77777777" w:rsidR="00EC77A2" w:rsidRPr="0088502D" w:rsidRDefault="00EC77A2" w:rsidP="00EC77A2">
      <w:pPr>
        <w:numPr>
          <w:ilvl w:val="0"/>
          <w:numId w:val="2"/>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 xml:space="preserve">Ak národná rada zaujme k návrhu legislatívneho aktu Európskej únie uznesením odôvodnené stanovisko podľa odseku 4, toto </w:t>
      </w:r>
      <w:r>
        <w:rPr>
          <w:rFonts w:ascii="Book Antiqua" w:hAnsi="Book Antiqua"/>
          <w:noProof/>
          <w:sz w:val="22"/>
          <w:szCs w:val="22"/>
        </w:rPr>
        <w:t>uznesenie</w:t>
      </w:r>
      <w:r w:rsidRPr="00FE74AF">
        <w:rPr>
          <w:rFonts w:ascii="Book Antiqua" w:hAnsi="Book Antiqua"/>
          <w:noProof/>
          <w:sz w:val="22"/>
          <w:szCs w:val="22"/>
        </w:rPr>
        <w:t xml:space="preserve"> má prednosť pred uznesením výboru pre európske záležitosti.</w:t>
      </w:r>
    </w:p>
    <w:p w14:paraId="33203D0B" w14:textId="553E1AE6" w:rsidR="00EC77A2" w:rsidRPr="0088502D" w:rsidRDefault="00EC77A2" w:rsidP="00EC77A2">
      <w:pPr>
        <w:numPr>
          <w:ilvl w:val="0"/>
          <w:numId w:val="2"/>
        </w:numPr>
        <w:spacing w:before="120" w:line="276" w:lineRule="auto"/>
        <w:ind w:left="1418" w:hanging="567"/>
        <w:jc w:val="both"/>
        <w:rPr>
          <w:rFonts w:ascii="Book Antiqua" w:hAnsi="Book Antiqua"/>
          <w:noProof/>
          <w:sz w:val="22"/>
          <w:szCs w:val="22"/>
        </w:rPr>
      </w:pPr>
      <w:r w:rsidRPr="00FE74AF">
        <w:rPr>
          <w:rFonts w:ascii="Book Antiqua" w:hAnsi="Book Antiqua"/>
          <w:noProof/>
          <w:sz w:val="22"/>
          <w:szCs w:val="22"/>
        </w:rPr>
        <w:t xml:space="preserve">Predseda národnej rady postúpi odôvodnené stanovisko výboru pre európske záležitosti podľa odseku 3 alebo odôvodnené stanovisko národnej rady podľa </w:t>
      </w:r>
      <w:r w:rsidRPr="00FE74AF">
        <w:rPr>
          <w:rFonts w:ascii="Book Antiqua" w:hAnsi="Book Antiqua"/>
          <w:noProof/>
          <w:sz w:val="22"/>
          <w:szCs w:val="22"/>
        </w:rPr>
        <w:lastRenderedPageBreak/>
        <w:t>odseku 4 bez zbytočného odkladu vláde, predsedovi Európskeho parlamentu, predsedovi Rady Európskej únie a predsedovi Európskej komisie.</w:t>
      </w:r>
    </w:p>
    <w:p w14:paraId="76D2A28A" w14:textId="77777777" w:rsidR="00EC77A2" w:rsidRPr="00FE74AF" w:rsidRDefault="00EC77A2" w:rsidP="00EC77A2">
      <w:pPr>
        <w:spacing w:before="120" w:line="276" w:lineRule="auto"/>
        <w:ind w:left="720"/>
        <w:jc w:val="both"/>
        <w:rPr>
          <w:rFonts w:ascii="Book Antiqua" w:hAnsi="Book Antiqua"/>
          <w:noProof/>
          <w:sz w:val="22"/>
          <w:szCs w:val="22"/>
        </w:rPr>
      </w:pPr>
      <w:r w:rsidRPr="00FE74AF">
        <w:rPr>
          <w:rFonts w:ascii="Book Antiqua" w:hAnsi="Book Antiqua"/>
          <w:noProof/>
          <w:sz w:val="22"/>
          <w:szCs w:val="22"/>
        </w:rPr>
        <w:t>Poznámka pod čiarou k odkazu 47da a znie:</w:t>
      </w:r>
    </w:p>
    <w:p w14:paraId="09B27648" w14:textId="02DDC792" w:rsidR="00EC77A2" w:rsidRDefault="00EC77A2" w:rsidP="00EC77A2">
      <w:pPr>
        <w:pStyle w:val="Zkladntext"/>
        <w:spacing w:before="120" w:line="276" w:lineRule="auto"/>
        <w:ind w:left="720"/>
        <w:rPr>
          <w:rFonts w:ascii="Book Antiqua" w:hAnsi="Book Antiqua"/>
          <w:noProof/>
          <w:sz w:val="22"/>
          <w:szCs w:val="22"/>
        </w:rPr>
      </w:pPr>
      <w:r w:rsidRPr="00FE74AF">
        <w:rPr>
          <w:rFonts w:ascii="Book Antiqua" w:hAnsi="Book Antiqua"/>
          <w:noProof/>
          <w:sz w:val="22"/>
          <w:szCs w:val="22"/>
        </w:rPr>
        <w:t>„</w:t>
      </w:r>
      <w:r w:rsidRPr="00FE74AF">
        <w:rPr>
          <w:rFonts w:ascii="Book Antiqua" w:hAnsi="Book Antiqua"/>
          <w:noProof/>
          <w:sz w:val="22"/>
          <w:szCs w:val="22"/>
          <w:vertAlign w:val="superscript"/>
        </w:rPr>
        <w:t>47da)</w:t>
      </w:r>
      <w:r w:rsidRPr="00FE74AF">
        <w:rPr>
          <w:rFonts w:ascii="Book Antiqua" w:hAnsi="Book Antiqua"/>
          <w:noProof/>
          <w:sz w:val="22"/>
          <w:szCs w:val="22"/>
        </w:rPr>
        <w:t xml:space="preserve"> </w:t>
      </w:r>
      <w:r>
        <w:rPr>
          <w:rFonts w:ascii="Book Antiqua" w:hAnsi="Book Antiqua"/>
          <w:noProof/>
          <w:sz w:val="22"/>
          <w:szCs w:val="22"/>
        </w:rPr>
        <w:t>Č</w:t>
      </w:r>
      <w:r w:rsidRPr="00FE74AF">
        <w:rPr>
          <w:rFonts w:ascii="Book Antiqua" w:hAnsi="Book Antiqua"/>
          <w:noProof/>
          <w:sz w:val="22"/>
          <w:szCs w:val="22"/>
        </w:rPr>
        <w:t>l. 6 Protokolu o uplatňovaní zásad subsidiarity a proporcionality pripojený k Zmluve o Európskej únii a k Zmlu</w:t>
      </w:r>
      <w:r>
        <w:rPr>
          <w:rFonts w:ascii="Book Antiqua" w:hAnsi="Book Antiqua"/>
          <w:noProof/>
          <w:sz w:val="22"/>
          <w:szCs w:val="22"/>
        </w:rPr>
        <w:t>ve o fungovaní Eur</w:t>
      </w:r>
      <w:r w:rsidRPr="00FE74AF">
        <w:rPr>
          <w:rFonts w:ascii="Book Antiqua" w:hAnsi="Book Antiqua"/>
          <w:noProof/>
          <w:sz w:val="22"/>
          <w:szCs w:val="22"/>
        </w:rPr>
        <w:t>ópskej únie.“.</w:t>
      </w:r>
      <w:r w:rsidR="00053DCC">
        <w:rPr>
          <w:rFonts w:ascii="Book Antiqua" w:hAnsi="Book Antiqua"/>
          <w:noProof/>
          <w:sz w:val="22"/>
          <w:szCs w:val="22"/>
        </w:rPr>
        <w:t>“.</w:t>
      </w:r>
    </w:p>
    <w:p w14:paraId="593406E8" w14:textId="77777777" w:rsidR="00EC77A2" w:rsidRPr="00CF2E10" w:rsidRDefault="00EC77A2" w:rsidP="00EC77A2">
      <w:pPr>
        <w:pStyle w:val="Zkladntext"/>
        <w:spacing w:before="120" w:line="276" w:lineRule="auto"/>
        <w:rPr>
          <w:rFonts w:ascii="Book Antiqua" w:hAnsi="Book Antiqua" w:cs="Book Antiqua"/>
          <w:sz w:val="22"/>
          <w:szCs w:val="22"/>
        </w:rPr>
      </w:pPr>
    </w:p>
    <w:p w14:paraId="3BF9D94F" w14:textId="77777777" w:rsidR="00EC77A2" w:rsidRPr="00793146" w:rsidRDefault="00EC77A2" w:rsidP="00EC77A2">
      <w:pPr>
        <w:spacing w:before="120" w:line="276" w:lineRule="auto"/>
        <w:jc w:val="center"/>
        <w:rPr>
          <w:rFonts w:ascii="Book Antiqua" w:hAnsi="Book Antiqua" w:cs="Book Antiqua"/>
          <w:b/>
          <w:bCs/>
          <w:sz w:val="22"/>
          <w:szCs w:val="22"/>
        </w:rPr>
      </w:pPr>
      <w:r w:rsidRPr="00793146">
        <w:rPr>
          <w:rFonts w:ascii="Book Antiqua" w:hAnsi="Book Antiqua" w:cs="Book Antiqua"/>
          <w:b/>
          <w:bCs/>
          <w:sz w:val="22"/>
          <w:szCs w:val="22"/>
        </w:rPr>
        <w:t>Čl. II</w:t>
      </w:r>
    </w:p>
    <w:p w14:paraId="7B127C2B" w14:textId="77777777" w:rsidR="00EC77A2" w:rsidRPr="00BA4143" w:rsidRDefault="00EC77A2" w:rsidP="00EC77A2">
      <w:pPr>
        <w:pStyle w:val="Zkladntext"/>
        <w:spacing w:before="120" w:line="276" w:lineRule="auto"/>
        <w:ind w:firstLine="708"/>
        <w:jc w:val="left"/>
        <w:rPr>
          <w:rFonts w:ascii="Book Antiqua" w:hAnsi="Book Antiqua" w:cs="Book Antiqua"/>
          <w:sz w:val="22"/>
          <w:szCs w:val="22"/>
        </w:rPr>
      </w:pPr>
      <w:r w:rsidRPr="000A0F29">
        <w:rPr>
          <w:rFonts w:ascii="Book Antiqua" w:hAnsi="Book Antiqua" w:cs="Book Antiqua"/>
          <w:sz w:val="22"/>
          <w:szCs w:val="22"/>
        </w:rPr>
        <w:t>Tento zákon n</w:t>
      </w:r>
      <w:r>
        <w:rPr>
          <w:rFonts w:ascii="Book Antiqua" w:hAnsi="Book Antiqua" w:cs="Book Antiqua"/>
          <w:sz w:val="22"/>
          <w:szCs w:val="22"/>
        </w:rPr>
        <w:t>adobúda účinnosť 1. júna 2024</w:t>
      </w:r>
      <w:r w:rsidRPr="000A0F29">
        <w:rPr>
          <w:rFonts w:ascii="Book Antiqua" w:hAnsi="Book Antiqua" w:cs="Book Antiqua"/>
          <w:sz w:val="22"/>
          <w:szCs w:val="22"/>
        </w:rPr>
        <w:t>.</w:t>
      </w:r>
    </w:p>
    <w:p w14:paraId="62443D2B" w14:textId="77777777" w:rsidR="007676B6" w:rsidRDefault="007676B6"/>
    <w:sectPr w:rsidR="007676B6" w:rsidSect="00C6460E">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1" w15:restartNumberingAfterBreak="0">
    <w:nsid w:val="3D38608A"/>
    <w:multiLevelType w:val="hybridMultilevel"/>
    <w:tmpl w:val="C40454EC"/>
    <w:lvl w:ilvl="0" w:tplc="DCE8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B756E31"/>
    <w:multiLevelType w:val="hybridMultilevel"/>
    <w:tmpl w:val="13DC4CF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6A505777"/>
    <w:multiLevelType w:val="hybridMultilevel"/>
    <w:tmpl w:val="F350E052"/>
    <w:lvl w:ilvl="0" w:tplc="CA826188">
      <w:start w:val="1"/>
      <w:numFmt w:val="decimal"/>
      <w:lvlText w:val="%1."/>
      <w:lvlJc w:val="left"/>
      <w:pPr>
        <w:ind w:left="861" w:hanging="435"/>
      </w:pPr>
      <w:rPr>
        <w:rFonts w:cs="Book Antiqua"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A2"/>
    <w:rsid w:val="00053DCC"/>
    <w:rsid w:val="000921F0"/>
    <w:rsid w:val="00101FE8"/>
    <w:rsid w:val="0042169E"/>
    <w:rsid w:val="004A7DF5"/>
    <w:rsid w:val="00654173"/>
    <w:rsid w:val="007676B6"/>
    <w:rsid w:val="008339C3"/>
    <w:rsid w:val="00C35304"/>
    <w:rsid w:val="00EC77A2"/>
    <w:rsid w:val="00F443CD"/>
    <w:rsid w:val="00F802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F89E"/>
  <w15:chartTrackingRefBased/>
  <w15:docId w15:val="{16CF2A22-EBA9-4C21-830F-D3FA1E7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77A2"/>
    <w:pPr>
      <w:autoSpaceDE w:val="0"/>
      <w:autoSpaceDN w:val="0"/>
      <w:spacing w:after="0" w:line="240" w:lineRule="auto"/>
    </w:pPr>
    <w:rPr>
      <w:rFonts w:ascii="Calibri" w:eastAsia="Times New Roman" w:hAnsi="Calibri" w:cs="Calibri"/>
      <w:kern w:val="0"/>
      <w:sz w:val="20"/>
      <w:szCs w:val="20"/>
      <w:lang w:eastAsia="sk-SK"/>
      <w14:ligatures w14:val="none"/>
    </w:rPr>
  </w:style>
  <w:style w:type="paragraph" w:styleId="Nadpis5">
    <w:name w:val="heading 5"/>
    <w:basedOn w:val="Normlny"/>
    <w:next w:val="Normlny"/>
    <w:link w:val="Nadpis5Char"/>
    <w:uiPriority w:val="99"/>
    <w:qFormat/>
    <w:rsid w:val="00EC77A2"/>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9"/>
    <w:qFormat/>
    <w:rsid w:val="00EC77A2"/>
    <w:pPr>
      <w:numPr>
        <w:ilvl w:val="5"/>
        <w:numId w:val="1"/>
      </w:numPr>
      <w:spacing w:before="240" w:after="60"/>
      <w:outlineLvl w:val="5"/>
    </w:pPr>
    <w:rPr>
      <w:b/>
      <w:bCs/>
    </w:rPr>
  </w:style>
  <w:style w:type="paragraph" w:styleId="Nadpis7">
    <w:name w:val="heading 7"/>
    <w:basedOn w:val="Normlny"/>
    <w:next w:val="Normlny"/>
    <w:link w:val="Nadpis7Char"/>
    <w:uiPriority w:val="99"/>
    <w:qFormat/>
    <w:rsid w:val="00EC77A2"/>
    <w:pPr>
      <w:numPr>
        <w:ilvl w:val="6"/>
        <w:numId w:val="1"/>
      </w:numPr>
      <w:spacing w:before="240" w:after="60"/>
      <w:outlineLvl w:val="6"/>
    </w:pPr>
    <w:rPr>
      <w:sz w:val="24"/>
      <w:szCs w:val="24"/>
    </w:rPr>
  </w:style>
  <w:style w:type="paragraph" w:styleId="Nadpis8">
    <w:name w:val="heading 8"/>
    <w:basedOn w:val="Normlny"/>
    <w:next w:val="Normlny"/>
    <w:link w:val="Nadpis8Char"/>
    <w:uiPriority w:val="99"/>
    <w:qFormat/>
    <w:rsid w:val="00EC77A2"/>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9"/>
    <w:qFormat/>
    <w:rsid w:val="00EC77A2"/>
    <w:pPr>
      <w:numPr>
        <w:ilvl w:val="8"/>
        <w:numId w:val="1"/>
      </w:numPr>
      <w:spacing w:before="240" w:after="6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EC77A2"/>
    <w:rPr>
      <w:rFonts w:ascii="Calibri" w:eastAsia="Times New Roman" w:hAnsi="Calibri" w:cs="Calibri"/>
      <w:b/>
      <w:bCs/>
      <w:i/>
      <w:iCs/>
      <w:kern w:val="0"/>
      <w:sz w:val="26"/>
      <w:szCs w:val="26"/>
      <w:lang w:eastAsia="sk-SK"/>
      <w14:ligatures w14:val="none"/>
    </w:rPr>
  </w:style>
  <w:style w:type="character" w:customStyle="1" w:styleId="Nadpis6Char">
    <w:name w:val="Nadpis 6 Char"/>
    <w:basedOn w:val="Predvolenpsmoodseku"/>
    <w:link w:val="Nadpis6"/>
    <w:uiPriority w:val="99"/>
    <w:rsid w:val="00EC77A2"/>
    <w:rPr>
      <w:rFonts w:ascii="Calibri" w:eastAsia="Times New Roman" w:hAnsi="Calibri" w:cs="Calibri"/>
      <w:b/>
      <w:bCs/>
      <w:kern w:val="0"/>
      <w:sz w:val="20"/>
      <w:szCs w:val="20"/>
      <w:lang w:eastAsia="sk-SK"/>
      <w14:ligatures w14:val="none"/>
    </w:rPr>
  </w:style>
  <w:style w:type="character" w:customStyle="1" w:styleId="Nadpis7Char">
    <w:name w:val="Nadpis 7 Char"/>
    <w:basedOn w:val="Predvolenpsmoodseku"/>
    <w:link w:val="Nadpis7"/>
    <w:uiPriority w:val="99"/>
    <w:rsid w:val="00EC77A2"/>
    <w:rPr>
      <w:rFonts w:ascii="Calibri" w:eastAsia="Times New Roman" w:hAnsi="Calibri" w:cs="Calibri"/>
      <w:kern w:val="0"/>
      <w:sz w:val="24"/>
      <w:szCs w:val="24"/>
      <w:lang w:eastAsia="sk-SK"/>
      <w14:ligatures w14:val="none"/>
    </w:rPr>
  </w:style>
  <w:style w:type="character" w:customStyle="1" w:styleId="Nadpis8Char">
    <w:name w:val="Nadpis 8 Char"/>
    <w:basedOn w:val="Predvolenpsmoodseku"/>
    <w:link w:val="Nadpis8"/>
    <w:uiPriority w:val="99"/>
    <w:rsid w:val="00EC77A2"/>
    <w:rPr>
      <w:rFonts w:ascii="Calibri" w:eastAsia="Times New Roman" w:hAnsi="Calibri" w:cs="Calibri"/>
      <w:i/>
      <w:iCs/>
      <w:kern w:val="0"/>
      <w:sz w:val="24"/>
      <w:szCs w:val="24"/>
      <w:lang w:eastAsia="sk-SK"/>
      <w14:ligatures w14:val="none"/>
    </w:rPr>
  </w:style>
  <w:style w:type="character" w:customStyle="1" w:styleId="Nadpis9Char">
    <w:name w:val="Nadpis 9 Char"/>
    <w:basedOn w:val="Predvolenpsmoodseku"/>
    <w:link w:val="Nadpis9"/>
    <w:uiPriority w:val="99"/>
    <w:rsid w:val="00EC77A2"/>
    <w:rPr>
      <w:rFonts w:ascii="Calibri" w:eastAsia="Times New Roman" w:hAnsi="Calibri" w:cs="Calibri"/>
      <w:kern w:val="0"/>
      <w:sz w:val="20"/>
      <w:szCs w:val="20"/>
      <w:lang w:eastAsia="sk-SK"/>
      <w14:ligatures w14:val="none"/>
    </w:rPr>
  </w:style>
  <w:style w:type="paragraph" w:customStyle="1" w:styleId="Nadpis1orobas">
    <w:name w:val="Nadpis 1.Čo robí (časť)"/>
    <w:basedOn w:val="Normlny"/>
    <w:next w:val="Normlny"/>
    <w:uiPriority w:val="99"/>
    <w:rsid w:val="00EC77A2"/>
    <w:pPr>
      <w:keepNext/>
      <w:numPr>
        <w:numId w:val="1"/>
      </w:numPr>
      <w:spacing w:before="360"/>
      <w:outlineLvl w:val="0"/>
    </w:pPr>
    <w:rPr>
      <w:b/>
      <w:bCs/>
      <w:kern w:val="32"/>
      <w:sz w:val="28"/>
      <w:szCs w:val="28"/>
    </w:rPr>
  </w:style>
  <w:style w:type="paragraph" w:customStyle="1" w:styleId="Nadpis2loha">
    <w:name w:val="Nadpis 2.Úloha"/>
    <w:basedOn w:val="Normlny"/>
    <w:uiPriority w:val="99"/>
    <w:rsid w:val="00EC77A2"/>
    <w:pPr>
      <w:numPr>
        <w:ilvl w:val="1"/>
        <w:numId w:val="1"/>
      </w:numPr>
      <w:spacing w:before="120"/>
      <w:jc w:val="both"/>
      <w:outlineLvl w:val="1"/>
    </w:pPr>
    <w:rPr>
      <w:sz w:val="24"/>
      <w:szCs w:val="24"/>
    </w:rPr>
  </w:style>
  <w:style w:type="paragraph" w:customStyle="1" w:styleId="Nadpis3Podloha">
    <w:name w:val="Nadpis 3.Podúloha"/>
    <w:basedOn w:val="Normlny"/>
    <w:uiPriority w:val="99"/>
    <w:rsid w:val="00EC77A2"/>
    <w:pPr>
      <w:keepNext/>
      <w:numPr>
        <w:ilvl w:val="2"/>
        <w:numId w:val="1"/>
      </w:numPr>
      <w:spacing w:before="120"/>
      <w:ind w:left="2269"/>
      <w:outlineLvl w:val="2"/>
    </w:pPr>
    <w:rPr>
      <w:sz w:val="24"/>
      <w:szCs w:val="24"/>
    </w:rPr>
  </w:style>
  <w:style w:type="paragraph" w:customStyle="1" w:styleId="Nadpis4Termn">
    <w:name w:val="Nadpis 4.Termín"/>
    <w:basedOn w:val="Normlny"/>
    <w:next w:val="Nadpis2loha"/>
    <w:uiPriority w:val="99"/>
    <w:rsid w:val="00EC77A2"/>
    <w:pPr>
      <w:numPr>
        <w:ilvl w:val="3"/>
        <w:numId w:val="1"/>
      </w:numPr>
      <w:spacing w:before="120" w:after="120"/>
      <w:outlineLvl w:val="3"/>
    </w:pPr>
    <w:rPr>
      <w:i/>
      <w:iCs/>
      <w:sz w:val="24"/>
      <w:szCs w:val="24"/>
    </w:rPr>
  </w:style>
  <w:style w:type="paragraph" w:styleId="Zkladntext">
    <w:name w:val="Body Text"/>
    <w:basedOn w:val="Normlny"/>
    <w:link w:val="ZkladntextChar"/>
    <w:uiPriority w:val="99"/>
    <w:rsid w:val="00EC77A2"/>
    <w:pPr>
      <w:jc w:val="both"/>
    </w:pPr>
  </w:style>
  <w:style w:type="character" w:customStyle="1" w:styleId="ZkladntextChar">
    <w:name w:val="Základný text Char"/>
    <w:basedOn w:val="Predvolenpsmoodseku"/>
    <w:link w:val="Zkladntext"/>
    <w:uiPriority w:val="99"/>
    <w:rsid w:val="00EC77A2"/>
    <w:rPr>
      <w:rFonts w:ascii="Calibri" w:eastAsia="Times New Roman" w:hAnsi="Calibri" w:cs="Calibri"/>
      <w:kern w:val="0"/>
      <w:sz w:val="20"/>
      <w:szCs w:val="20"/>
      <w:lang w:eastAsia="sk-SK"/>
      <w14:ligatures w14:val="none"/>
    </w:rPr>
  </w:style>
  <w:style w:type="paragraph" w:styleId="Revzia">
    <w:name w:val="Revision"/>
    <w:hidden/>
    <w:uiPriority w:val="99"/>
    <w:semiHidden/>
    <w:rsid w:val="00053DCC"/>
    <w:pPr>
      <w:spacing w:after="0" w:line="240" w:lineRule="auto"/>
    </w:pPr>
    <w:rPr>
      <w:rFonts w:ascii="Calibri" w:eastAsia="Times New Roman" w:hAnsi="Calibri" w:cs="Calibri"/>
      <w:kern w:val="0"/>
      <w:sz w:val="20"/>
      <w:szCs w:val="20"/>
      <w:lang w:eastAsia="sk-SK"/>
      <w14:ligatures w14:val="none"/>
    </w:rPr>
  </w:style>
  <w:style w:type="paragraph" w:styleId="Textbubliny">
    <w:name w:val="Balloon Text"/>
    <w:basedOn w:val="Normlny"/>
    <w:link w:val="TextbublinyChar"/>
    <w:uiPriority w:val="99"/>
    <w:semiHidden/>
    <w:unhideWhenUsed/>
    <w:rsid w:val="0042169E"/>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169E"/>
    <w:rPr>
      <w:rFonts w:ascii="Segoe UI" w:eastAsia="Times New Roman" w:hAnsi="Segoe UI" w:cs="Segoe UI"/>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4097</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Klub SLOVENSKO, ZA ĽUDÍ, KÚ</cp:lastModifiedBy>
  <cp:revision>3</cp:revision>
  <dcterms:created xsi:type="dcterms:W3CDTF">2024-01-11T08:28:00Z</dcterms:created>
  <dcterms:modified xsi:type="dcterms:W3CDTF">2024-01-11T09:41:00Z</dcterms:modified>
</cp:coreProperties>
</file>