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C4D1" w14:textId="77777777" w:rsidR="00054C41" w:rsidRPr="00895898" w:rsidRDefault="00054C41" w:rsidP="00054C41">
      <w:pPr>
        <w:jc w:val="center"/>
        <w:rPr>
          <w:rFonts w:ascii="Times New Roman" w:eastAsia="Calibri" w:hAnsi="Times New Roman" w:cs="Times New Roman"/>
          <w:b/>
          <w:sz w:val="28"/>
          <w:szCs w:val="28"/>
        </w:rPr>
      </w:pPr>
      <w:bookmarkStart w:id="0" w:name="_GoBack"/>
      <w:bookmarkEnd w:id="0"/>
      <w:r w:rsidRPr="00895898">
        <w:rPr>
          <w:rFonts w:ascii="Times New Roman" w:eastAsia="Calibri" w:hAnsi="Times New Roman" w:cs="Times New Roman"/>
          <w:b/>
          <w:sz w:val="28"/>
          <w:szCs w:val="28"/>
        </w:rPr>
        <w:t>Analýza vplyvov na podnikateľské prostredie</w:t>
      </w:r>
    </w:p>
    <w:p w14:paraId="37B35A25" w14:textId="77777777" w:rsidR="00054C41" w:rsidRPr="00895898" w:rsidRDefault="00054C41" w:rsidP="00054C41">
      <w:pPr>
        <w:jc w:val="both"/>
        <w:rPr>
          <w:rFonts w:ascii="Times New Roman" w:eastAsia="Calibri" w:hAnsi="Times New Roman" w:cs="Times New Roman"/>
          <w:b/>
          <w:sz w:val="24"/>
          <w:szCs w:val="24"/>
        </w:rPr>
      </w:pPr>
    </w:p>
    <w:p w14:paraId="76961D92" w14:textId="3B00F0B2" w:rsidR="00054C41" w:rsidRPr="00396CAB" w:rsidRDefault="00054C41" w:rsidP="00054C41">
      <w:pPr>
        <w:jc w:val="both"/>
        <w:rPr>
          <w:rFonts w:ascii="Times New Roman" w:eastAsia="Calibri" w:hAnsi="Times New Roman" w:cs="Times New Roman"/>
          <w:b/>
          <w:sz w:val="28"/>
          <w:szCs w:val="24"/>
        </w:rPr>
      </w:pPr>
      <w:r w:rsidRPr="001F1B43">
        <w:rPr>
          <w:rFonts w:ascii="Times New Roman" w:eastAsia="Calibri" w:hAnsi="Times New Roman" w:cs="Times New Roman"/>
          <w:b/>
          <w:sz w:val="24"/>
          <w:szCs w:val="24"/>
        </w:rPr>
        <w:t>Názov materiálu:</w:t>
      </w:r>
      <w:r w:rsidR="005E32C1">
        <w:rPr>
          <w:rFonts w:ascii="Times New Roman" w:eastAsia="Calibri" w:hAnsi="Times New Roman" w:cs="Times New Roman"/>
          <w:b/>
          <w:sz w:val="24"/>
          <w:szCs w:val="24"/>
        </w:rPr>
        <w:t xml:space="preserve"> </w:t>
      </w:r>
      <w:r w:rsidR="00396CAB" w:rsidRPr="00E1695A">
        <w:rPr>
          <w:rFonts w:ascii="Times New Roman" w:hAnsi="Times New Roman" w:cs="Times New Roman"/>
          <w:b/>
          <w:sz w:val="24"/>
        </w:rPr>
        <w:t>Návrh zákona, ktorým sa menia a dopĺňajú niektoré zákony v súvislosti so zlepšovaním podnikateľského prostredia a znižovaním administratívnej záťaž</w:t>
      </w:r>
      <w:r w:rsidR="00617852">
        <w:rPr>
          <w:rFonts w:ascii="Times New Roman" w:hAnsi="Times New Roman" w:cs="Times New Roman"/>
          <w:b/>
          <w:sz w:val="24"/>
        </w:rPr>
        <w:t>e</w:t>
      </w:r>
    </w:p>
    <w:p w14:paraId="77F96BF6" w14:textId="19E746F6" w:rsidR="00054C41" w:rsidRPr="004E1A6E" w:rsidRDefault="00054C41" w:rsidP="004E1A6E">
      <w:pPr>
        <w:pStyle w:val="Odsekzoznamu"/>
        <w:numPr>
          <w:ilvl w:val="0"/>
          <w:numId w:val="12"/>
        </w:numPr>
        <w:jc w:val="both"/>
        <w:rPr>
          <w:rFonts w:ascii="Times New Roman" w:eastAsia="Calibri" w:hAnsi="Times New Roman" w:cs="Times New Roman"/>
          <w:b/>
          <w:sz w:val="24"/>
          <w:szCs w:val="24"/>
        </w:rPr>
      </w:pPr>
      <w:r w:rsidRPr="004E1A6E">
        <w:rPr>
          <w:rFonts w:ascii="Times New Roman" w:eastAsia="Calibri" w:hAnsi="Times New Roman" w:cs="Times New Roman"/>
          <w:b/>
          <w:sz w:val="24"/>
          <w:szCs w:val="24"/>
        </w:rPr>
        <w:t>Predkladateľ:</w:t>
      </w:r>
      <w:r w:rsidR="005E32C1" w:rsidRPr="004E1A6E">
        <w:rPr>
          <w:rFonts w:ascii="Times New Roman" w:eastAsia="Calibri" w:hAnsi="Times New Roman" w:cs="Times New Roman"/>
          <w:b/>
          <w:sz w:val="24"/>
          <w:szCs w:val="24"/>
        </w:rPr>
        <w:t xml:space="preserve"> Ministerstvo hospodárstva SR</w:t>
      </w:r>
    </w:p>
    <w:p w14:paraId="0EB400DC"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2A91A721" w14:textId="7347FB75"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30C56119" w14:textId="77777777" w:rsidR="00054C41" w:rsidRPr="001F1B43" w:rsidRDefault="00054C41" w:rsidP="00054C41">
      <w:pPr>
        <w:spacing w:after="0"/>
        <w:jc w:val="both"/>
        <w:rPr>
          <w:rFonts w:ascii="Times New Roman" w:eastAsia="Calibri" w:hAnsi="Times New Roman" w:cs="Times New Roman"/>
          <w:b/>
          <w:sz w:val="24"/>
          <w:szCs w:val="24"/>
        </w:rPr>
      </w:pPr>
    </w:p>
    <w:p w14:paraId="1F2ADA32"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14:paraId="4A016909"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14:paraId="332752F1" w14:textId="77777777" w:rsidR="00054C41" w:rsidRPr="00895898" w:rsidRDefault="00054C41" w:rsidP="00054C41">
      <w:pPr>
        <w:spacing w:after="0"/>
        <w:rPr>
          <w:rFonts w:ascii="Times New Roman" w:eastAsia="Calibri" w:hAnsi="Times New Roman" w:cs="Times New Roman"/>
          <w:i/>
        </w:rPr>
      </w:pPr>
    </w:p>
    <w:tbl>
      <w:tblPr>
        <w:tblStyle w:val="Mriekatabuky2"/>
        <w:tblW w:w="12011" w:type="dxa"/>
        <w:tblLook w:val="04A0" w:firstRow="1" w:lastRow="0" w:firstColumn="1" w:lastColumn="0" w:noHBand="0" w:noVBand="1"/>
      </w:tblPr>
      <w:tblGrid>
        <w:gridCol w:w="3681"/>
        <w:gridCol w:w="2693"/>
        <w:gridCol w:w="2693"/>
        <w:gridCol w:w="1884"/>
        <w:gridCol w:w="1060"/>
      </w:tblGrid>
      <w:tr w:rsidR="0046121A" w:rsidRPr="00895898" w14:paraId="200C7519" w14:textId="77777777" w:rsidTr="000E2028">
        <w:trPr>
          <w:gridAfter w:val="2"/>
          <w:wAfter w:w="2944" w:type="dxa"/>
        </w:trPr>
        <w:tc>
          <w:tcPr>
            <w:tcW w:w="3681" w:type="dxa"/>
          </w:tcPr>
          <w:p w14:paraId="06A5A4C5" w14:textId="77777777" w:rsidR="0046121A" w:rsidRPr="00895898" w:rsidRDefault="0046121A" w:rsidP="0046121A">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14:paraId="1BAEDC68" w14:textId="77777777" w:rsidR="0046121A" w:rsidRPr="00895898" w:rsidRDefault="0046121A" w:rsidP="0046121A">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tcBorders>
              <w:top w:val="single" w:sz="8" w:space="0" w:color="auto"/>
              <w:left w:val="single" w:sz="4" w:space="0" w:color="auto"/>
              <w:bottom w:val="single" w:sz="4" w:space="0" w:color="auto"/>
              <w:right w:val="single" w:sz="8" w:space="0" w:color="000000"/>
            </w:tcBorders>
            <w:shd w:val="clear" w:color="000000" w:fill="92D050"/>
            <w:vAlign w:val="center"/>
          </w:tcPr>
          <w:p w14:paraId="1E4A3629" w14:textId="64F23257" w:rsidR="0046121A" w:rsidRPr="00895898" w:rsidRDefault="0046121A" w:rsidP="0046121A">
            <w:pPr>
              <w:jc w:val="center"/>
              <w:rPr>
                <w:rFonts w:ascii="Times New Roman" w:eastAsia="Calibri" w:hAnsi="Times New Roman" w:cs="Times New Roman"/>
                <w:b/>
                <w:bCs/>
                <w:color w:val="000000"/>
                <w:sz w:val="20"/>
              </w:rPr>
            </w:pPr>
            <w:r>
              <w:rPr>
                <w:b/>
                <w:bCs/>
                <w:color w:val="000000"/>
                <w:sz w:val="20"/>
                <w:szCs w:val="20"/>
              </w:rPr>
              <w:t>Zníženie nákladov v € na PP</w:t>
            </w:r>
          </w:p>
        </w:tc>
      </w:tr>
      <w:tr w:rsidR="00875862" w:rsidRPr="00895898" w14:paraId="40D2DDFC" w14:textId="77777777" w:rsidTr="0096758B">
        <w:trPr>
          <w:gridAfter w:val="2"/>
          <w:wAfter w:w="2944" w:type="dxa"/>
          <w:trHeight w:val="656"/>
        </w:trPr>
        <w:tc>
          <w:tcPr>
            <w:tcW w:w="3681" w:type="dxa"/>
          </w:tcPr>
          <w:p w14:paraId="18F50E63" w14:textId="1EC43257" w:rsidR="00875862" w:rsidRPr="00895898" w:rsidRDefault="00875862" w:rsidP="00875862">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Pr>
                <w:rFonts w:ascii="Times New Roman" w:eastAsia="Calibri" w:hAnsi="Times New Roman" w:cs="Times New Roman"/>
                <w:i/>
                <w:iCs/>
                <w:color w:val="000000"/>
                <w:sz w:val="20"/>
              </w:rPr>
              <w:t xml:space="preserve"> a poplatk</w:t>
            </w:r>
            <w:r w:rsidRPr="00A000DA">
              <w:rPr>
                <w:rFonts w:ascii="Times New Roman" w:eastAsia="Calibri" w:hAnsi="Times New Roman" w:cs="Times New Roman"/>
                <w:i/>
                <w:iCs/>
                <w:color w:val="000000"/>
                <w:sz w:val="20"/>
              </w:rPr>
              <w:t>y</w:t>
            </w:r>
            <w:r w:rsidRPr="00A000DA">
              <w:rPr>
                <w:rFonts w:ascii="Times New Roman" w:hAnsi="Times New Roman" w:cs="Times New Roman"/>
                <w:sz w:val="24"/>
                <w:szCs w:val="24"/>
              </w:rPr>
              <w:t>,</w:t>
            </w:r>
            <w:r>
              <w:rPr>
                <w:rFonts w:ascii="Times New Roman" w:hAnsi="Times New Roman" w:cs="Times New Roman"/>
                <w:b/>
                <w:bCs/>
                <w:sz w:val="24"/>
                <w:szCs w:val="24"/>
              </w:rPr>
              <w:t xml:space="preserve"> </w:t>
            </w:r>
            <w:r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14:paraId="0C359853" w14:textId="77777777" w:rsidR="00875862" w:rsidRPr="005717BB" w:rsidRDefault="00875862" w:rsidP="00875862">
            <w:pPr>
              <w:jc w:val="center"/>
              <w:rPr>
                <w:rFonts w:ascii="Times New Roman" w:eastAsia="Calibri" w:hAnsi="Times New Roman" w:cs="Times New Roman"/>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7F217001" w14:textId="38A0084D" w:rsidR="00875862" w:rsidRPr="005717BB" w:rsidRDefault="00875862" w:rsidP="00875862">
            <w:pPr>
              <w:jc w:val="center"/>
              <w:rPr>
                <w:rFonts w:ascii="Times New Roman" w:eastAsia="Calibri" w:hAnsi="Times New Roman" w:cs="Times New Roman"/>
                <w:sz w:val="20"/>
              </w:rPr>
            </w:pPr>
            <w:r w:rsidRPr="005717BB">
              <w:rPr>
                <w:b/>
                <w:bCs/>
                <w:color w:val="000000"/>
                <w:sz w:val="20"/>
                <w:szCs w:val="20"/>
              </w:rPr>
              <w:t>0</w:t>
            </w:r>
          </w:p>
        </w:tc>
      </w:tr>
      <w:tr w:rsidR="0096758B" w:rsidRPr="00895898" w14:paraId="2A3B7BD5" w14:textId="77777777" w:rsidTr="000E2028">
        <w:trPr>
          <w:gridAfter w:val="2"/>
          <w:wAfter w:w="2944" w:type="dxa"/>
        </w:trPr>
        <w:tc>
          <w:tcPr>
            <w:tcW w:w="3681" w:type="dxa"/>
          </w:tcPr>
          <w:p w14:paraId="749ADDB1" w14:textId="6814776F" w:rsidR="0096758B" w:rsidRPr="00895898" w:rsidRDefault="0096758B" w:rsidP="0096758B">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14:paraId="7437C4A3" w14:textId="77777777" w:rsidR="0096758B" w:rsidRPr="005717BB" w:rsidRDefault="0096758B" w:rsidP="0096758B">
            <w:pPr>
              <w:jc w:val="center"/>
              <w:rPr>
                <w:rFonts w:ascii="Times New Roman" w:eastAsia="Calibri" w:hAnsi="Times New Roman" w:cs="Times New Roman"/>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1A7F8C71" w14:textId="029B8C0A" w:rsidR="0096758B" w:rsidRPr="005717BB" w:rsidRDefault="0096758B" w:rsidP="0096758B">
            <w:pPr>
              <w:jc w:val="center"/>
              <w:rPr>
                <w:rFonts w:ascii="Times New Roman" w:eastAsia="Calibri" w:hAnsi="Times New Roman" w:cs="Times New Roman"/>
                <w:sz w:val="20"/>
              </w:rPr>
            </w:pPr>
            <w:r>
              <w:rPr>
                <w:b/>
                <w:bCs/>
                <w:color w:val="000000"/>
                <w:sz w:val="20"/>
                <w:szCs w:val="20"/>
              </w:rPr>
              <w:t>3</w:t>
            </w:r>
          </w:p>
        </w:tc>
      </w:tr>
      <w:tr w:rsidR="0096758B" w:rsidRPr="00895898" w14:paraId="5890A2A1" w14:textId="77777777" w:rsidTr="000E2028">
        <w:trPr>
          <w:gridAfter w:val="2"/>
          <w:wAfter w:w="2944" w:type="dxa"/>
        </w:trPr>
        <w:tc>
          <w:tcPr>
            <w:tcW w:w="3681" w:type="dxa"/>
          </w:tcPr>
          <w:p w14:paraId="470A575F" w14:textId="77777777" w:rsidR="0096758B" w:rsidRPr="00895898" w:rsidRDefault="0096758B" w:rsidP="0096758B">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14:paraId="72C6ABCE" w14:textId="77777777" w:rsidR="0096758B" w:rsidRPr="005717BB" w:rsidRDefault="0096758B" w:rsidP="0096758B">
            <w:pPr>
              <w:jc w:val="center"/>
              <w:rPr>
                <w:rFonts w:ascii="Times New Roman" w:eastAsia="Calibri" w:hAnsi="Times New Roman" w:cs="Times New Roman"/>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4AB9E4F0" w14:textId="590DF415" w:rsidR="0096758B" w:rsidRPr="000F4419" w:rsidRDefault="000F4419" w:rsidP="000F4419">
            <w:pPr>
              <w:jc w:val="center"/>
              <w:rPr>
                <w:b/>
                <w:bCs/>
                <w:color w:val="000000"/>
                <w:sz w:val="20"/>
                <w:szCs w:val="20"/>
              </w:rPr>
            </w:pPr>
            <w:r>
              <w:rPr>
                <w:b/>
                <w:bCs/>
                <w:color w:val="000000"/>
                <w:sz w:val="20"/>
                <w:szCs w:val="20"/>
              </w:rPr>
              <w:t>168 790</w:t>
            </w:r>
          </w:p>
        </w:tc>
      </w:tr>
      <w:tr w:rsidR="0096758B" w:rsidRPr="00895898" w14:paraId="1915EE9C" w14:textId="77777777" w:rsidTr="000E2028">
        <w:trPr>
          <w:gridAfter w:val="2"/>
          <w:wAfter w:w="2944" w:type="dxa"/>
        </w:trPr>
        <w:tc>
          <w:tcPr>
            <w:tcW w:w="3681" w:type="dxa"/>
          </w:tcPr>
          <w:p w14:paraId="3FBBD35B" w14:textId="77777777" w:rsidR="0096758B" w:rsidRPr="00895898" w:rsidRDefault="0096758B" w:rsidP="0096758B">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14:paraId="23A80DDF" w14:textId="5C54AAF4" w:rsidR="0096758B" w:rsidRPr="005717BB" w:rsidRDefault="00D95469" w:rsidP="0096758B">
            <w:pPr>
              <w:jc w:val="center"/>
              <w:rPr>
                <w:rFonts w:ascii="Times New Roman" w:eastAsia="Calibri" w:hAnsi="Times New Roman" w:cs="Times New Roman"/>
                <w:b/>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0128E641" w14:textId="68213F47" w:rsidR="0096758B" w:rsidRPr="000F4419" w:rsidRDefault="000F4419" w:rsidP="000F4419">
            <w:pPr>
              <w:jc w:val="center"/>
              <w:rPr>
                <w:b/>
                <w:bCs/>
                <w:color w:val="000000"/>
                <w:sz w:val="20"/>
                <w:szCs w:val="20"/>
              </w:rPr>
            </w:pPr>
            <w:r>
              <w:rPr>
                <w:b/>
                <w:bCs/>
                <w:color w:val="000000"/>
                <w:sz w:val="20"/>
                <w:szCs w:val="20"/>
              </w:rPr>
              <w:t>482 309</w:t>
            </w:r>
          </w:p>
        </w:tc>
      </w:tr>
      <w:tr w:rsidR="0096758B" w:rsidRPr="00895898" w14:paraId="784F8A51" w14:textId="77777777" w:rsidTr="000E2028">
        <w:trPr>
          <w:gridAfter w:val="2"/>
          <w:wAfter w:w="2944" w:type="dxa"/>
        </w:trPr>
        <w:tc>
          <w:tcPr>
            <w:tcW w:w="3681" w:type="dxa"/>
          </w:tcPr>
          <w:p w14:paraId="796F837A" w14:textId="77777777" w:rsidR="0096758B" w:rsidRPr="00895898" w:rsidRDefault="0096758B" w:rsidP="0096758B">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14:paraId="4613DC7D" w14:textId="4401401D" w:rsidR="0096758B" w:rsidRPr="005717BB" w:rsidRDefault="00D95469" w:rsidP="0096758B">
            <w:pPr>
              <w:jc w:val="center"/>
              <w:rPr>
                <w:rFonts w:ascii="Times New Roman" w:eastAsia="Calibri" w:hAnsi="Times New Roman" w:cs="Times New Roman"/>
                <w:b/>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02FE7EB5" w14:textId="4AB3C1BA" w:rsidR="0096758B" w:rsidRPr="000F4419" w:rsidRDefault="000F4419" w:rsidP="000F4419">
            <w:pPr>
              <w:jc w:val="center"/>
              <w:rPr>
                <w:b/>
                <w:bCs/>
                <w:color w:val="000000"/>
                <w:sz w:val="20"/>
                <w:szCs w:val="20"/>
              </w:rPr>
            </w:pPr>
            <w:r>
              <w:rPr>
                <w:b/>
                <w:bCs/>
                <w:color w:val="000000"/>
                <w:sz w:val="20"/>
                <w:szCs w:val="20"/>
              </w:rPr>
              <w:t>651 102</w:t>
            </w:r>
          </w:p>
        </w:tc>
      </w:tr>
      <w:tr w:rsidR="0096758B" w:rsidRPr="00895898" w14:paraId="4440B6DF" w14:textId="77777777" w:rsidTr="000E2028">
        <w:trPr>
          <w:gridAfter w:val="2"/>
          <w:wAfter w:w="2944" w:type="dxa"/>
        </w:trPr>
        <w:tc>
          <w:tcPr>
            <w:tcW w:w="3681" w:type="dxa"/>
          </w:tcPr>
          <w:p w14:paraId="1E7A37D9" w14:textId="05E931F4" w:rsidR="0096758B" w:rsidRPr="00895898" w:rsidRDefault="0096758B" w:rsidP="0096758B">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14:paraId="51BD31F5" w14:textId="77777777" w:rsidR="0096758B" w:rsidRPr="005717BB" w:rsidRDefault="0096758B" w:rsidP="0096758B">
            <w:pPr>
              <w:jc w:val="center"/>
              <w:rPr>
                <w:rFonts w:ascii="Times New Roman" w:eastAsia="Calibri" w:hAnsi="Times New Roman" w:cs="Times New Roman"/>
                <w:b/>
                <w:sz w:val="20"/>
              </w:rPr>
            </w:pP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623271B2" w14:textId="7D4C03F3" w:rsidR="0096758B" w:rsidRPr="005717BB" w:rsidRDefault="0096758B" w:rsidP="0096758B">
            <w:pPr>
              <w:jc w:val="center"/>
              <w:rPr>
                <w:rFonts w:ascii="Times New Roman" w:eastAsia="Calibri" w:hAnsi="Times New Roman" w:cs="Times New Roman"/>
                <w:b/>
                <w:sz w:val="20"/>
              </w:rPr>
            </w:pPr>
            <w:r>
              <w:rPr>
                <w:b/>
                <w:bCs/>
                <w:color w:val="000000"/>
                <w:sz w:val="20"/>
                <w:szCs w:val="20"/>
              </w:rPr>
              <w:t> </w:t>
            </w:r>
          </w:p>
        </w:tc>
      </w:tr>
      <w:tr w:rsidR="0096758B" w:rsidRPr="00895898" w14:paraId="5592CF42" w14:textId="77777777" w:rsidTr="000E2028">
        <w:trPr>
          <w:gridAfter w:val="2"/>
          <w:wAfter w:w="2944" w:type="dxa"/>
        </w:trPr>
        <w:tc>
          <w:tcPr>
            <w:tcW w:w="3681" w:type="dxa"/>
          </w:tcPr>
          <w:p w14:paraId="01B4507F" w14:textId="77777777" w:rsidR="0096758B" w:rsidRPr="00895898" w:rsidRDefault="0096758B" w:rsidP="0096758B">
            <w:pPr>
              <w:rPr>
                <w:rFonts w:ascii="Times New Roman" w:eastAsia="Calibri" w:hAnsi="Times New Roman" w:cs="Times New Roman"/>
                <w:i/>
                <w:sz w:val="20"/>
              </w:rPr>
            </w:pPr>
            <w:r w:rsidRPr="00895898">
              <w:rPr>
                <w:rFonts w:ascii="Times New Roman" w:eastAsia="Calibri" w:hAnsi="Times New Roman" w:cs="Times New Roman"/>
                <w:i/>
                <w:sz w:val="20"/>
              </w:rPr>
              <w:t>E. Vplyv na mikro, malé a stredné podniky</w:t>
            </w:r>
          </w:p>
        </w:tc>
        <w:tc>
          <w:tcPr>
            <w:tcW w:w="2693" w:type="dxa"/>
            <w:shd w:val="clear" w:color="auto" w:fill="FFC000"/>
          </w:tcPr>
          <w:p w14:paraId="7D80D68C" w14:textId="77777777" w:rsidR="0096758B" w:rsidRPr="005717BB" w:rsidRDefault="0096758B" w:rsidP="0096758B">
            <w:pPr>
              <w:jc w:val="center"/>
              <w:rPr>
                <w:rFonts w:ascii="Times New Roman" w:eastAsia="Calibri" w:hAnsi="Times New Roman" w:cs="Times New Roman"/>
                <w:b/>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4" w:space="0" w:color="auto"/>
              <w:right w:val="single" w:sz="8" w:space="0" w:color="000000"/>
            </w:tcBorders>
            <w:shd w:val="clear" w:color="000000" w:fill="92D050"/>
            <w:vAlign w:val="center"/>
          </w:tcPr>
          <w:p w14:paraId="52B3C4D4" w14:textId="20E224F0" w:rsidR="0096758B" w:rsidRPr="000F4419" w:rsidRDefault="000F4419" w:rsidP="000F4419">
            <w:pPr>
              <w:jc w:val="center"/>
              <w:rPr>
                <w:b/>
                <w:bCs/>
                <w:color w:val="000000"/>
                <w:sz w:val="20"/>
                <w:szCs w:val="20"/>
              </w:rPr>
            </w:pPr>
            <w:r>
              <w:rPr>
                <w:b/>
                <w:bCs/>
                <w:color w:val="000000"/>
                <w:sz w:val="20"/>
                <w:szCs w:val="20"/>
              </w:rPr>
              <w:t>46 724</w:t>
            </w:r>
          </w:p>
        </w:tc>
      </w:tr>
      <w:tr w:rsidR="00875862" w:rsidRPr="00895898" w14:paraId="22C30EA7" w14:textId="77777777" w:rsidTr="000E2028">
        <w:trPr>
          <w:gridAfter w:val="2"/>
          <w:wAfter w:w="2944" w:type="dxa"/>
        </w:trPr>
        <w:tc>
          <w:tcPr>
            <w:tcW w:w="3681" w:type="dxa"/>
          </w:tcPr>
          <w:p w14:paraId="7C25F36F" w14:textId="77777777" w:rsidR="00875862" w:rsidRPr="00895898" w:rsidRDefault="00875862" w:rsidP="00875862">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14:paraId="56F8EF12" w14:textId="77777777" w:rsidR="00875862" w:rsidRPr="005717BB" w:rsidRDefault="00875862" w:rsidP="00875862">
            <w:pPr>
              <w:jc w:val="center"/>
              <w:rPr>
                <w:rFonts w:ascii="Times New Roman" w:eastAsia="Calibri" w:hAnsi="Times New Roman" w:cs="Times New Roman"/>
                <w:b/>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8" w:space="0" w:color="auto"/>
              <w:right w:val="single" w:sz="8" w:space="0" w:color="000000"/>
            </w:tcBorders>
            <w:shd w:val="clear" w:color="000000" w:fill="92D050"/>
            <w:vAlign w:val="center"/>
          </w:tcPr>
          <w:p w14:paraId="26F86839" w14:textId="7FAAE1A7" w:rsidR="00875862" w:rsidRPr="005717BB" w:rsidRDefault="00875862" w:rsidP="00875862">
            <w:pPr>
              <w:jc w:val="center"/>
              <w:rPr>
                <w:rFonts w:ascii="Times New Roman" w:eastAsia="Calibri" w:hAnsi="Times New Roman" w:cs="Times New Roman"/>
                <w:b/>
                <w:sz w:val="20"/>
              </w:rPr>
            </w:pPr>
            <w:r w:rsidRPr="005717BB">
              <w:rPr>
                <w:b/>
                <w:bCs/>
                <w:color w:val="000000"/>
                <w:sz w:val="20"/>
                <w:szCs w:val="20"/>
              </w:rPr>
              <w:t>0</w:t>
            </w:r>
          </w:p>
        </w:tc>
      </w:tr>
      <w:tr w:rsidR="000E2028" w:rsidRPr="00895898" w14:paraId="51AAD86C" w14:textId="033E0FA6" w:rsidTr="000E2028">
        <w:tc>
          <w:tcPr>
            <w:tcW w:w="9067" w:type="dxa"/>
            <w:gridSpan w:val="3"/>
            <w:shd w:val="clear" w:color="auto" w:fill="auto"/>
          </w:tcPr>
          <w:p w14:paraId="3015DC22" w14:textId="77777777" w:rsidR="000E2028" w:rsidRPr="005717BB" w:rsidRDefault="000E2028" w:rsidP="00875862">
            <w:pPr>
              <w:jc w:val="center"/>
              <w:rPr>
                <w:rFonts w:ascii="Times New Roman" w:eastAsia="Calibri" w:hAnsi="Times New Roman" w:cs="Times New Roman"/>
                <w:b/>
                <w:bCs/>
                <w:sz w:val="20"/>
              </w:rPr>
            </w:pPr>
          </w:p>
        </w:tc>
        <w:tc>
          <w:tcPr>
            <w:tcW w:w="1884" w:type="dxa"/>
            <w:tcBorders>
              <w:top w:val="nil"/>
              <w:left w:val="nil"/>
              <w:bottom w:val="nil"/>
              <w:right w:val="nil"/>
            </w:tcBorders>
            <w:shd w:val="clear" w:color="auto" w:fill="auto"/>
            <w:vAlign w:val="center"/>
          </w:tcPr>
          <w:p w14:paraId="16B577C2" w14:textId="77777777" w:rsidR="000E2028" w:rsidRPr="00895898" w:rsidRDefault="000E2028" w:rsidP="00875862"/>
        </w:tc>
        <w:tc>
          <w:tcPr>
            <w:tcW w:w="1060" w:type="dxa"/>
            <w:tcBorders>
              <w:top w:val="nil"/>
              <w:left w:val="nil"/>
              <w:bottom w:val="nil"/>
              <w:right w:val="nil"/>
            </w:tcBorders>
            <w:shd w:val="clear" w:color="auto" w:fill="auto"/>
            <w:vAlign w:val="center"/>
          </w:tcPr>
          <w:p w14:paraId="4AC01B7A" w14:textId="77777777" w:rsidR="000E2028" w:rsidRPr="00895898" w:rsidRDefault="000E2028" w:rsidP="00875862"/>
        </w:tc>
      </w:tr>
      <w:tr w:rsidR="00875862" w:rsidRPr="00895898" w14:paraId="0478A44B" w14:textId="77777777" w:rsidTr="000E2028">
        <w:trPr>
          <w:gridAfter w:val="2"/>
          <w:wAfter w:w="2944" w:type="dxa"/>
        </w:trPr>
        <w:tc>
          <w:tcPr>
            <w:tcW w:w="3681" w:type="dxa"/>
          </w:tcPr>
          <w:p w14:paraId="223D796F" w14:textId="5E2E0367" w:rsidR="00875862" w:rsidRPr="00895898" w:rsidRDefault="00875862" w:rsidP="00875862">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14:paraId="2B6854C4" w14:textId="77777777" w:rsidR="00875862" w:rsidRPr="005717BB" w:rsidRDefault="00875862" w:rsidP="00875862">
            <w:pPr>
              <w:jc w:val="center"/>
              <w:rPr>
                <w:rFonts w:ascii="Times New Roman" w:eastAsia="Calibri" w:hAnsi="Times New Roman" w:cs="Times New Roman"/>
                <w:b/>
                <w:bCs/>
                <w:sz w:val="20"/>
              </w:rPr>
            </w:pPr>
            <w:r w:rsidRPr="005717BB">
              <w:rPr>
                <w:rFonts w:ascii="Times New Roman" w:eastAsia="Calibri" w:hAnsi="Times New Roman" w:cs="Times New Roman"/>
                <w:b/>
                <w:bCs/>
                <w:sz w:val="20"/>
              </w:rPr>
              <w:t>IN</w:t>
            </w:r>
          </w:p>
        </w:tc>
        <w:tc>
          <w:tcPr>
            <w:tcW w:w="2693" w:type="dxa"/>
            <w:tcBorders>
              <w:top w:val="single" w:sz="8" w:space="0" w:color="auto"/>
              <w:left w:val="single" w:sz="4" w:space="0" w:color="auto"/>
              <w:bottom w:val="single" w:sz="4" w:space="0" w:color="auto"/>
              <w:right w:val="single" w:sz="8" w:space="0" w:color="000000"/>
            </w:tcBorders>
            <w:shd w:val="clear" w:color="000000" w:fill="92D050"/>
            <w:vAlign w:val="center"/>
          </w:tcPr>
          <w:p w14:paraId="5C88BAF1" w14:textId="599FCA63" w:rsidR="00875862" w:rsidRPr="005717BB" w:rsidRDefault="00875862" w:rsidP="00875862">
            <w:pPr>
              <w:jc w:val="center"/>
              <w:rPr>
                <w:rFonts w:ascii="Times New Roman" w:eastAsia="Calibri" w:hAnsi="Times New Roman" w:cs="Times New Roman"/>
                <w:b/>
                <w:bCs/>
                <w:sz w:val="20"/>
              </w:rPr>
            </w:pPr>
            <w:r w:rsidRPr="005717BB">
              <w:rPr>
                <w:color w:val="000000"/>
                <w:sz w:val="20"/>
                <w:szCs w:val="20"/>
              </w:rPr>
              <w:t>OUT</w:t>
            </w:r>
          </w:p>
        </w:tc>
      </w:tr>
      <w:tr w:rsidR="00875862" w:rsidRPr="00895898" w14:paraId="5011BAE2" w14:textId="77777777" w:rsidTr="000E2028">
        <w:trPr>
          <w:gridAfter w:val="2"/>
          <w:wAfter w:w="2944" w:type="dxa"/>
        </w:trPr>
        <w:tc>
          <w:tcPr>
            <w:tcW w:w="3681" w:type="dxa"/>
          </w:tcPr>
          <w:p w14:paraId="23438493" w14:textId="77777777" w:rsidR="00875862" w:rsidRPr="00895898" w:rsidRDefault="00875862" w:rsidP="00875862">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14:paraId="7041BF23" w14:textId="282AD2DF" w:rsidR="00875862" w:rsidRPr="005717BB" w:rsidRDefault="00D95469" w:rsidP="00875862">
            <w:pPr>
              <w:jc w:val="center"/>
              <w:rPr>
                <w:rFonts w:ascii="Times New Roman" w:eastAsia="Calibri" w:hAnsi="Times New Roman" w:cs="Times New Roman"/>
                <w:b/>
                <w:bCs/>
                <w:sz w:val="20"/>
              </w:rPr>
            </w:pPr>
            <w:r w:rsidRPr="005717BB">
              <w:rPr>
                <w:rFonts w:ascii="Times New Roman" w:eastAsia="Calibri" w:hAnsi="Times New Roman" w:cs="Times New Roman"/>
                <w:sz w:val="20"/>
              </w:rPr>
              <w:t>0</w:t>
            </w:r>
          </w:p>
        </w:tc>
        <w:tc>
          <w:tcPr>
            <w:tcW w:w="2693" w:type="dxa"/>
            <w:tcBorders>
              <w:top w:val="single" w:sz="4" w:space="0" w:color="auto"/>
              <w:left w:val="single" w:sz="4" w:space="0" w:color="auto"/>
              <w:bottom w:val="single" w:sz="8" w:space="0" w:color="auto"/>
              <w:right w:val="single" w:sz="8" w:space="0" w:color="000000"/>
            </w:tcBorders>
            <w:shd w:val="clear" w:color="000000" w:fill="92D050"/>
            <w:vAlign w:val="center"/>
          </w:tcPr>
          <w:p w14:paraId="254E8359" w14:textId="51BC272D" w:rsidR="00875862" w:rsidRPr="000F4419" w:rsidRDefault="000F4419" w:rsidP="000F4419">
            <w:pPr>
              <w:jc w:val="center"/>
              <w:rPr>
                <w:b/>
                <w:bCs/>
                <w:color w:val="000000"/>
                <w:sz w:val="20"/>
                <w:szCs w:val="20"/>
              </w:rPr>
            </w:pPr>
            <w:r>
              <w:rPr>
                <w:b/>
                <w:bCs/>
                <w:color w:val="000000"/>
                <w:sz w:val="20"/>
                <w:szCs w:val="20"/>
              </w:rPr>
              <w:t>651 102</w:t>
            </w:r>
          </w:p>
        </w:tc>
      </w:tr>
    </w:tbl>
    <w:p w14:paraId="533B49DD" w14:textId="77777777" w:rsidR="00054C41" w:rsidRPr="00895898" w:rsidRDefault="00054C41" w:rsidP="00054C41">
      <w:pPr>
        <w:spacing w:after="0"/>
        <w:rPr>
          <w:rFonts w:ascii="Times New Roman" w:eastAsia="Calibri" w:hAnsi="Times New Roman" w:cs="Times New Roman"/>
          <w:i/>
        </w:rPr>
      </w:pPr>
    </w:p>
    <w:p w14:paraId="66811E34" w14:textId="1AD37DC9"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0270A51C"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367ACC1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3445"/>
        <w:gridCol w:w="1156"/>
        <w:gridCol w:w="1129"/>
        <w:gridCol w:w="1303"/>
        <w:gridCol w:w="934"/>
        <w:gridCol w:w="1857"/>
        <w:gridCol w:w="709"/>
        <w:gridCol w:w="719"/>
        <w:gridCol w:w="982"/>
        <w:gridCol w:w="992"/>
        <w:gridCol w:w="1134"/>
      </w:tblGrid>
      <w:tr w:rsidR="00054C41" w:rsidRPr="00895898" w14:paraId="10CEFB11" w14:textId="77777777" w:rsidTr="00DF28F1">
        <w:trPr>
          <w:trHeight w:val="1885"/>
        </w:trPr>
        <w:tc>
          <w:tcPr>
            <w:tcW w:w="501" w:type="dxa"/>
            <w:shd w:val="clear" w:color="auto" w:fill="BFBFBF"/>
            <w:vAlign w:val="center"/>
          </w:tcPr>
          <w:p w14:paraId="1FF4223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P.č.</w:t>
            </w:r>
          </w:p>
        </w:tc>
        <w:tc>
          <w:tcPr>
            <w:tcW w:w="3445" w:type="dxa"/>
            <w:shd w:val="clear" w:color="auto" w:fill="BFBFBF"/>
            <w:vAlign w:val="center"/>
            <w:hideMark/>
          </w:tcPr>
          <w:p w14:paraId="73D167A0"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156" w:type="dxa"/>
            <w:shd w:val="clear" w:color="auto" w:fill="BFBFBF"/>
          </w:tcPr>
          <w:p w14:paraId="438168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p w14:paraId="5694B3C6"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Číslo normy</w:t>
            </w:r>
          </w:p>
          <w:p w14:paraId="21C1A8DE"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(zákona, vyhlášky a pod.)</w:t>
            </w:r>
          </w:p>
        </w:tc>
        <w:tc>
          <w:tcPr>
            <w:tcW w:w="1129" w:type="dxa"/>
            <w:shd w:val="clear" w:color="auto" w:fill="BFBFBF"/>
            <w:vAlign w:val="center"/>
            <w:hideMark/>
          </w:tcPr>
          <w:p w14:paraId="1D7822B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Lokalizácia </w:t>
            </w:r>
            <w:r w:rsidRPr="00895898">
              <w:rPr>
                <w:rFonts w:ascii="Times New Roman" w:eastAsia="Times New Roman" w:hAnsi="Times New Roman" w:cs="Times New Roman"/>
                <w:bCs/>
                <w:color w:val="000000"/>
                <w:sz w:val="20"/>
                <w:szCs w:val="20"/>
                <w:lang w:eastAsia="sk-SK"/>
              </w:rPr>
              <w:t>(§, ods.)</w:t>
            </w:r>
          </w:p>
        </w:tc>
        <w:tc>
          <w:tcPr>
            <w:tcW w:w="1303" w:type="dxa"/>
            <w:shd w:val="clear" w:color="auto" w:fill="BFBFBF"/>
            <w:vAlign w:val="center"/>
          </w:tcPr>
          <w:p w14:paraId="24D9A18D"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Pôvod regulácie:</w:t>
            </w:r>
          </w:p>
          <w:p w14:paraId="4C175F7C" w14:textId="77777777" w:rsidR="00054C41" w:rsidRPr="00895898" w:rsidRDefault="00054C41" w:rsidP="00142154">
            <w:pPr>
              <w:spacing w:after="0" w:line="240" w:lineRule="auto"/>
              <w:jc w:val="center"/>
              <w:rPr>
                <w:rFonts w:ascii="Times New Roman" w:eastAsia="Times New Roman" w:hAnsi="Times New Roman" w:cs="Times New Roman"/>
                <w:color w:val="000000"/>
                <w:sz w:val="20"/>
                <w:szCs w:val="20"/>
                <w:lang w:eastAsia="sk-SK"/>
              </w:rPr>
            </w:pPr>
            <w:r w:rsidRPr="00895898">
              <w:rPr>
                <w:rFonts w:ascii="Times New Roman" w:eastAsia="Times New Roman" w:hAnsi="Times New Roman" w:cs="Times New Roman"/>
                <w:color w:val="000000"/>
                <w:sz w:val="20"/>
                <w:szCs w:val="20"/>
                <w:lang w:eastAsia="sk-SK"/>
              </w:rPr>
              <w:t>SK/EÚ úplná harm./EÚ harm. s možnosťou voľby</w:t>
            </w:r>
          </w:p>
        </w:tc>
        <w:tc>
          <w:tcPr>
            <w:tcW w:w="934" w:type="dxa"/>
            <w:shd w:val="clear" w:color="auto" w:fill="BFBFBF"/>
            <w:vAlign w:val="center"/>
            <w:hideMark/>
          </w:tcPr>
          <w:p w14:paraId="37B6F9E7"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Účinnosť</w:t>
            </w:r>
          </w:p>
          <w:p w14:paraId="019DF54E"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regulácie</w:t>
            </w:r>
          </w:p>
          <w:p w14:paraId="23D85168"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p>
        </w:tc>
        <w:tc>
          <w:tcPr>
            <w:tcW w:w="1857" w:type="dxa"/>
            <w:shd w:val="clear" w:color="auto" w:fill="BFBFBF"/>
            <w:vAlign w:val="center"/>
          </w:tcPr>
          <w:p w14:paraId="3CB7D2B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Kategória dotk. subjektov</w:t>
            </w:r>
          </w:p>
        </w:tc>
        <w:tc>
          <w:tcPr>
            <w:tcW w:w="709" w:type="dxa"/>
            <w:shd w:val="clear" w:color="auto" w:fill="BFBFBF"/>
            <w:vAlign w:val="center"/>
          </w:tcPr>
          <w:p w14:paraId="731C2E01"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v dotk. kategórii </w:t>
            </w:r>
          </w:p>
        </w:tc>
        <w:tc>
          <w:tcPr>
            <w:tcW w:w="719" w:type="dxa"/>
            <w:shd w:val="clear" w:color="auto" w:fill="BFBFBF"/>
            <w:vAlign w:val="center"/>
            <w:hideMark/>
          </w:tcPr>
          <w:p w14:paraId="1B1DCB42"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subjektov MSP v dotk. kategórii </w:t>
            </w:r>
          </w:p>
        </w:tc>
        <w:tc>
          <w:tcPr>
            <w:tcW w:w="982" w:type="dxa"/>
            <w:shd w:val="clear" w:color="auto" w:fill="BFBFBF"/>
            <w:vAlign w:val="center"/>
            <w:hideMark/>
          </w:tcPr>
          <w:p w14:paraId="610B763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14:paraId="0FC33AF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Vplyv na kategóriu dotk. subjektov v €</w:t>
            </w:r>
          </w:p>
        </w:tc>
        <w:tc>
          <w:tcPr>
            <w:tcW w:w="1134" w:type="dxa"/>
            <w:shd w:val="clear" w:color="auto" w:fill="BFBFBF"/>
            <w:vAlign w:val="center"/>
          </w:tcPr>
          <w:p w14:paraId="4FBA7398"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Druh vplyvu</w:t>
            </w:r>
          </w:p>
          <w:p w14:paraId="3EF161D7" w14:textId="77777777" w:rsidR="00054C41" w:rsidRPr="00895898" w:rsidRDefault="00054C41" w:rsidP="00142154">
            <w:pPr>
              <w:spacing w:after="0" w:line="240" w:lineRule="auto"/>
              <w:jc w:val="center"/>
              <w:rPr>
                <w:rFonts w:ascii="Times New Roman" w:eastAsia="Times New Roman" w:hAnsi="Times New Roman" w:cs="Times New Roman"/>
                <w:bCs/>
                <w:color w:val="000000"/>
                <w:sz w:val="20"/>
                <w:szCs w:val="20"/>
                <w:lang w:eastAsia="sk-SK"/>
              </w:rPr>
            </w:pPr>
            <w:r w:rsidRPr="00895898">
              <w:rPr>
                <w:rFonts w:ascii="Times New Roman" w:eastAsia="Times New Roman" w:hAnsi="Times New Roman" w:cs="Times New Roman"/>
                <w:bCs/>
                <w:color w:val="000000"/>
                <w:sz w:val="20"/>
                <w:szCs w:val="20"/>
                <w:lang w:eastAsia="sk-SK"/>
              </w:rPr>
              <w:t xml:space="preserve">In (zvyšuje náklady) / </w:t>
            </w:r>
          </w:p>
          <w:p w14:paraId="4D4343DB"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288EFEBA" w14:textId="77777777" w:rsidR="00054C41" w:rsidRPr="00895898" w:rsidRDefault="00054C41" w:rsidP="00142154">
            <w:pPr>
              <w:spacing w:after="0" w:line="240" w:lineRule="auto"/>
              <w:jc w:val="center"/>
              <w:rPr>
                <w:rFonts w:ascii="Times New Roman" w:eastAsia="Times New Roman" w:hAnsi="Times New Roman" w:cs="Times New Roman"/>
                <w:b/>
                <w:bCs/>
                <w:color w:val="000000"/>
                <w:sz w:val="20"/>
                <w:szCs w:val="20"/>
                <w:lang w:eastAsia="sk-SK"/>
              </w:rPr>
            </w:pPr>
          </w:p>
        </w:tc>
      </w:tr>
      <w:tr w:rsidR="00875862" w:rsidRPr="00875862" w14:paraId="18CF8E55"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83E709B"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E72BA1B" w14:textId="2A70E522" w:rsidR="00875862" w:rsidRPr="00875862" w:rsidRDefault="00577E74"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Zrušenie povinnosti</w:t>
            </w:r>
            <w:r w:rsidR="00875862" w:rsidRPr="00875862">
              <w:rPr>
                <w:rFonts w:ascii="Times New Roman" w:eastAsia="Times New Roman" w:hAnsi="Times New Roman" w:cs="Times New Roman"/>
                <w:sz w:val="20"/>
                <w:szCs w:val="20"/>
                <w:lang w:eastAsia="sk-SK"/>
              </w:rPr>
              <w:t xml:space="preserve"> používať váhy obchodníkom so strieborným tovarom do 10</w:t>
            </w:r>
            <w:r w:rsidR="00BA7E0A">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g</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25A88CF" w14:textId="7F106F5D" w:rsidR="00875862" w:rsidRPr="00875862" w:rsidRDefault="001B2F30"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00875862" w:rsidRPr="00875862">
              <w:rPr>
                <w:rFonts w:ascii="Times New Roman" w:eastAsia="Times New Roman" w:hAnsi="Times New Roman" w:cs="Times New Roman"/>
                <w:sz w:val="20"/>
                <w:szCs w:val="20"/>
                <w:lang w:eastAsia="sk-SK"/>
              </w:rPr>
              <w:t>áko</w:t>
            </w:r>
            <w:r w:rsidR="00577E74">
              <w:rPr>
                <w:rFonts w:ascii="Times New Roman" w:eastAsia="Times New Roman" w:hAnsi="Times New Roman" w:cs="Times New Roman"/>
                <w:sz w:val="20"/>
                <w:szCs w:val="20"/>
                <w:lang w:eastAsia="sk-SK"/>
              </w:rPr>
              <w:t>n</w:t>
            </w:r>
            <w:r w:rsidR="00875862" w:rsidRPr="00875862">
              <w:rPr>
                <w:rFonts w:ascii="Times New Roman" w:eastAsia="Times New Roman" w:hAnsi="Times New Roman" w:cs="Times New Roman"/>
                <w:sz w:val="20"/>
                <w:szCs w:val="20"/>
                <w:lang w:eastAsia="sk-SK"/>
              </w:rPr>
              <w:t xml:space="preserve"> č.</w:t>
            </w:r>
            <w:r w:rsidR="00107F0F">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94/2013 Z.</w:t>
            </w:r>
            <w:r w:rsidR="009D53F6">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63F2F5D" w14:textId="0527EA76"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§33 ods.</w:t>
            </w:r>
            <w:r w:rsidR="00E06144">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108C52C"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10048"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7F46EB8" w14:textId="379FDF9C"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obchod</w:t>
            </w:r>
            <w:r w:rsidR="008817E5">
              <w:rPr>
                <w:rFonts w:ascii="Times New Roman" w:eastAsia="Times New Roman" w:hAnsi="Times New Roman" w:cs="Times New Roman"/>
                <w:sz w:val="20"/>
                <w:szCs w:val="20"/>
                <w:lang w:eastAsia="sk-SK"/>
              </w:rPr>
              <w:t>níci</w:t>
            </w:r>
            <w:r w:rsidRPr="00875862">
              <w:rPr>
                <w:rFonts w:ascii="Times New Roman" w:eastAsia="Times New Roman" w:hAnsi="Times New Roman" w:cs="Times New Roman"/>
                <w:sz w:val="20"/>
                <w:szCs w:val="20"/>
                <w:lang w:eastAsia="sk-SK"/>
              </w:rPr>
              <w:t xml:space="preserve"> so striebor</w:t>
            </w:r>
            <w:r w:rsidR="009D53F6">
              <w:rPr>
                <w:rFonts w:ascii="Times New Roman" w:eastAsia="Times New Roman" w:hAnsi="Times New Roman" w:cs="Times New Roman"/>
                <w:sz w:val="20"/>
                <w:szCs w:val="20"/>
                <w:lang w:eastAsia="sk-SK"/>
              </w:rPr>
              <w:t>ným</w:t>
            </w:r>
            <w:r w:rsidRPr="00875862">
              <w:rPr>
                <w:rFonts w:ascii="Times New Roman" w:eastAsia="Times New Roman" w:hAnsi="Times New Roman" w:cs="Times New Roman"/>
                <w:sz w:val="20"/>
                <w:szCs w:val="20"/>
                <w:lang w:eastAsia="sk-SK"/>
              </w:rPr>
              <w:t xml:space="preserve"> tovarom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87B42" w14:textId="2DE8CD7D"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D7AD5" w14:textId="0176B9F5"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100</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E76A" w14:textId="59CDF88F" w:rsidR="00875862" w:rsidRPr="00875862" w:rsidRDefault="00835F1E"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3A386" w14:textId="0FFDCF7A" w:rsidR="00875862" w:rsidRPr="00875862" w:rsidRDefault="00835F1E" w:rsidP="003372FE">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42</w:t>
            </w:r>
            <w:r w:rsidR="00382093">
              <w:rPr>
                <w:rFonts w:ascii="Times New Roman" w:eastAsia="Times New Roman" w:hAnsi="Times New Roman" w:cs="Times New Roman"/>
                <w:color w:val="000000"/>
                <w:sz w:val="20"/>
                <w:szCs w:val="20"/>
                <w:lang w:eastAsia="sk-SK"/>
              </w:rPr>
              <w:t xml:space="preserve"> </w:t>
            </w:r>
            <w:r>
              <w:rPr>
                <w:rFonts w:ascii="Times New Roman" w:eastAsia="Times New Roman" w:hAnsi="Times New Roman" w:cs="Times New Roman"/>
                <w:color w:val="000000"/>
                <w:sz w:val="20"/>
                <w:szCs w:val="20"/>
                <w:lang w:eastAsia="sk-SK"/>
              </w:rPr>
              <w:t>724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5399A"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71B7164B"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D940DFF"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2</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63E9D58A" w14:textId="6C36617C" w:rsidR="00875862" w:rsidRPr="00875862" w:rsidRDefault="001B2F30"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Zrušenie</w:t>
            </w:r>
            <w:r w:rsidR="00577E74">
              <w:rPr>
                <w:rFonts w:ascii="Times New Roman" w:eastAsia="Times New Roman" w:hAnsi="Times New Roman" w:cs="Times New Roman"/>
                <w:sz w:val="20"/>
                <w:szCs w:val="20"/>
                <w:lang w:eastAsia="sk-SK"/>
              </w:rPr>
              <w:t xml:space="preserve"> povinnosti </w:t>
            </w:r>
            <w:r w:rsidR="00875862" w:rsidRPr="00875862">
              <w:rPr>
                <w:rFonts w:ascii="Times New Roman" w:eastAsia="Times New Roman" w:hAnsi="Times New Roman" w:cs="Times New Roman"/>
                <w:sz w:val="20"/>
                <w:szCs w:val="20"/>
                <w:lang w:eastAsia="sk-SK"/>
              </w:rPr>
              <w:t>overovania váh</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1CB1EA2C" w14:textId="6FAA3F5F" w:rsidR="00875862" w:rsidRPr="00875862" w:rsidRDefault="001B2F30"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00875862" w:rsidRPr="00875862">
              <w:rPr>
                <w:rFonts w:ascii="Times New Roman" w:eastAsia="Times New Roman" w:hAnsi="Times New Roman" w:cs="Times New Roman"/>
                <w:sz w:val="20"/>
                <w:szCs w:val="20"/>
                <w:lang w:eastAsia="sk-SK"/>
              </w:rPr>
              <w:t>áko</w:t>
            </w:r>
            <w:r w:rsidR="00577E74">
              <w:rPr>
                <w:rFonts w:ascii="Times New Roman" w:eastAsia="Times New Roman" w:hAnsi="Times New Roman" w:cs="Times New Roman"/>
                <w:sz w:val="20"/>
                <w:szCs w:val="20"/>
                <w:lang w:eastAsia="sk-SK"/>
              </w:rPr>
              <w:t>n</w:t>
            </w:r>
            <w:r w:rsidR="00875862" w:rsidRPr="00875862">
              <w:rPr>
                <w:rFonts w:ascii="Times New Roman" w:eastAsia="Times New Roman" w:hAnsi="Times New Roman" w:cs="Times New Roman"/>
                <w:sz w:val="20"/>
                <w:szCs w:val="20"/>
                <w:lang w:eastAsia="sk-SK"/>
              </w:rPr>
              <w:t xml:space="preserve"> č.</w:t>
            </w:r>
            <w:r w:rsidR="00107F0F">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94/2013 Z.</w:t>
            </w:r>
            <w:r w:rsidR="009D53F6">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071680F" w14:textId="59A5182F"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§33 ods.</w:t>
            </w:r>
            <w:r w:rsidR="00E06144">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9B1EBA1"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953C8"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00006C3" w14:textId="42C889FA"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obchodníci so striebor</w:t>
            </w:r>
            <w:r w:rsidR="009D53F6">
              <w:rPr>
                <w:rFonts w:ascii="Times New Roman" w:eastAsia="Times New Roman" w:hAnsi="Times New Roman" w:cs="Times New Roman"/>
                <w:sz w:val="20"/>
                <w:szCs w:val="20"/>
                <w:lang w:eastAsia="sk-SK"/>
              </w:rPr>
              <w:t>ným</w:t>
            </w:r>
            <w:r w:rsidRPr="00875862">
              <w:rPr>
                <w:rFonts w:ascii="Times New Roman" w:eastAsia="Times New Roman" w:hAnsi="Times New Roman" w:cs="Times New Roman"/>
                <w:sz w:val="20"/>
                <w:szCs w:val="20"/>
                <w:lang w:eastAsia="sk-SK"/>
              </w:rPr>
              <w:t xml:space="preserve"> tovarom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017EC" w14:textId="25EBE84B"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26B3D" w14:textId="0CECD57D"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100</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8D4C2"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6E8E7"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4 000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191E6"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2DEB5085"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7DF3143"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68718E1C" w14:textId="45F284B0" w:rsidR="00875862" w:rsidRPr="00875862" w:rsidRDefault="00577E74"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Zrušenie povinnosti</w:t>
            </w:r>
            <w:r w:rsidR="001B2F30">
              <w:rPr>
                <w:rFonts w:ascii="Times New Roman" w:eastAsia="Times New Roman" w:hAnsi="Times New Roman" w:cs="Times New Roman"/>
                <w:sz w:val="20"/>
                <w:szCs w:val="20"/>
                <w:lang w:eastAsia="sk-SK"/>
              </w:rPr>
              <w:t xml:space="preserve"> značiť </w:t>
            </w:r>
            <w:r w:rsidR="00875862" w:rsidRPr="00875862">
              <w:rPr>
                <w:rFonts w:ascii="Times New Roman" w:eastAsia="Times New Roman" w:hAnsi="Times New Roman" w:cs="Times New Roman"/>
                <w:sz w:val="20"/>
                <w:szCs w:val="20"/>
                <w:lang w:eastAsia="sk-SK"/>
              </w:rPr>
              <w:t>podlimitný tovar zodpovednostnou značkou</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765BFE8" w14:textId="256B8CFE" w:rsidR="00875862" w:rsidRPr="00875862" w:rsidRDefault="00577E74"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Zákon </w:t>
            </w:r>
            <w:r w:rsidR="00875862" w:rsidRPr="00875862">
              <w:rPr>
                <w:rFonts w:ascii="Times New Roman" w:eastAsia="Times New Roman" w:hAnsi="Times New Roman" w:cs="Times New Roman"/>
                <w:sz w:val="20"/>
                <w:szCs w:val="20"/>
                <w:lang w:eastAsia="sk-SK"/>
              </w:rPr>
              <w:t>č.</w:t>
            </w:r>
            <w:r w:rsidR="00107F0F">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94/2013 Z.</w:t>
            </w:r>
            <w:r w:rsidR="009D53F6">
              <w:rPr>
                <w:rFonts w:ascii="Times New Roman" w:eastAsia="Times New Roman" w:hAnsi="Times New Roman" w:cs="Times New Roman"/>
                <w:sz w:val="20"/>
                <w:szCs w:val="20"/>
                <w:lang w:eastAsia="sk-SK"/>
              </w:rPr>
              <w:t xml:space="preserve"> </w:t>
            </w:r>
            <w:r w:rsidR="001B2F30">
              <w:rPr>
                <w:rFonts w:ascii="Times New Roman" w:eastAsia="Times New Roman" w:hAnsi="Times New Roman" w:cs="Times New Roman"/>
                <w:sz w:val="20"/>
                <w:szCs w:val="20"/>
                <w:lang w:eastAsia="sk-SK"/>
              </w:rPr>
              <w:t>z.</w:t>
            </w:r>
            <w:r w:rsidR="001B2F30">
              <w:rPr>
                <w:rFonts w:ascii="Times New Roman" w:eastAsia="Times New Roman" w:hAnsi="Times New Roman" w:cs="Times New Roman"/>
                <w:sz w:val="20"/>
                <w:szCs w:val="20"/>
                <w:lang w:eastAsia="sk-SK"/>
              </w:rPr>
              <w:br/>
              <w:t>V</w:t>
            </w:r>
            <w:r w:rsidR="00875862" w:rsidRPr="00875862">
              <w:rPr>
                <w:rFonts w:ascii="Times New Roman" w:eastAsia="Times New Roman" w:hAnsi="Times New Roman" w:cs="Times New Roman"/>
                <w:sz w:val="20"/>
                <w:szCs w:val="20"/>
                <w:lang w:eastAsia="sk-SK"/>
              </w:rPr>
              <w:t xml:space="preserve">yhláška </w:t>
            </w:r>
            <w:r w:rsidR="00107F0F">
              <w:rPr>
                <w:rFonts w:ascii="Times New Roman" w:eastAsia="Times New Roman" w:hAnsi="Times New Roman" w:cs="Times New Roman"/>
                <w:sz w:val="20"/>
                <w:szCs w:val="20"/>
                <w:lang w:eastAsia="sk-SK"/>
              </w:rPr>
              <w:t xml:space="preserve">č. </w:t>
            </w:r>
            <w:r w:rsidR="00875862" w:rsidRPr="00875862">
              <w:rPr>
                <w:rFonts w:ascii="Times New Roman" w:eastAsia="Times New Roman" w:hAnsi="Times New Roman" w:cs="Times New Roman"/>
                <w:sz w:val="20"/>
                <w:szCs w:val="20"/>
                <w:lang w:eastAsia="sk-SK"/>
              </w:rPr>
              <w:t>119/2013 Z.</w:t>
            </w:r>
            <w:r w:rsidR="009D53F6">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800B29" w14:textId="49575D6C"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§25 ods.</w:t>
            </w:r>
            <w:r w:rsidR="00E06144">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1</w:t>
            </w:r>
            <w:r w:rsidRPr="00875862">
              <w:rPr>
                <w:rFonts w:ascii="Times New Roman" w:eastAsia="Times New Roman" w:hAnsi="Times New Roman" w:cs="Times New Roman"/>
                <w:sz w:val="20"/>
                <w:szCs w:val="20"/>
                <w:lang w:eastAsia="sk-SK"/>
              </w:rPr>
              <w:br/>
            </w:r>
            <w:r w:rsidRPr="00875862">
              <w:rPr>
                <w:rFonts w:ascii="Times New Roman" w:eastAsia="Times New Roman" w:hAnsi="Times New Roman" w:cs="Times New Roman"/>
                <w:sz w:val="20"/>
                <w:szCs w:val="20"/>
                <w:lang w:eastAsia="sk-SK"/>
              </w:rPr>
              <w:br/>
              <w:t>§13 ods.</w:t>
            </w:r>
            <w:r w:rsidR="001B2F30">
              <w:rPr>
                <w:rFonts w:ascii="Times New Roman" w:eastAsia="Times New Roman" w:hAnsi="Times New Roman" w:cs="Times New Roman"/>
                <w:sz w:val="20"/>
                <w:szCs w:val="20"/>
                <w:lang w:eastAsia="sk-SK"/>
              </w:rPr>
              <w:t xml:space="preserve"> 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C39029A"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5BE91"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4D0C7460"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obchodníci s drahými kovmi</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6D73" w14:textId="0BC2D663"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3 000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8C82B" w14:textId="4ACDF04E"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3E8F9"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D59A5"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140 734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E4E9D5"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328F1E14"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77CC460"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4</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8866A58" w14:textId="073B2F98" w:rsidR="00875862" w:rsidRPr="00875862" w:rsidRDefault="00C27242"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Zrušenie povinnosti</w:t>
            </w:r>
            <w:r w:rsidR="00875862" w:rsidRPr="00875862">
              <w:rPr>
                <w:rFonts w:ascii="Times New Roman" w:eastAsia="Times New Roman" w:hAnsi="Times New Roman" w:cs="Times New Roman"/>
                <w:sz w:val="20"/>
                <w:szCs w:val="20"/>
                <w:lang w:eastAsia="sk-SK"/>
              </w:rPr>
              <w:t xml:space="preserve"> puncovania stri</w:t>
            </w:r>
            <w:r w:rsidR="007F7218">
              <w:rPr>
                <w:rFonts w:ascii="Times New Roman" w:eastAsia="Times New Roman" w:hAnsi="Times New Roman" w:cs="Times New Roman"/>
                <w:sz w:val="20"/>
                <w:szCs w:val="20"/>
                <w:lang w:eastAsia="sk-SK"/>
              </w:rPr>
              <w:t>eborného tovaru do</w:t>
            </w:r>
            <w:r w:rsidR="00875862" w:rsidRPr="00875862">
              <w:rPr>
                <w:rFonts w:ascii="Times New Roman" w:eastAsia="Times New Roman" w:hAnsi="Times New Roman" w:cs="Times New Roman"/>
                <w:sz w:val="20"/>
                <w:szCs w:val="20"/>
                <w:lang w:eastAsia="sk-SK"/>
              </w:rPr>
              <w:t xml:space="preserve"> 3 g</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67AA9925" w14:textId="46AB189E" w:rsidR="00875862" w:rsidRPr="00875862" w:rsidRDefault="001B2F30"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00875862" w:rsidRPr="00875862">
              <w:rPr>
                <w:rFonts w:ascii="Times New Roman" w:eastAsia="Times New Roman" w:hAnsi="Times New Roman" w:cs="Times New Roman"/>
                <w:sz w:val="20"/>
                <w:szCs w:val="20"/>
                <w:lang w:eastAsia="sk-SK"/>
              </w:rPr>
              <w:t xml:space="preserve">yhláška </w:t>
            </w:r>
            <w:r w:rsidR="00107F0F">
              <w:rPr>
                <w:rFonts w:ascii="Times New Roman" w:eastAsia="Times New Roman" w:hAnsi="Times New Roman" w:cs="Times New Roman"/>
                <w:sz w:val="20"/>
                <w:szCs w:val="20"/>
                <w:lang w:eastAsia="sk-SK"/>
              </w:rPr>
              <w:t xml:space="preserve">č. </w:t>
            </w:r>
            <w:r w:rsidR="00875862" w:rsidRPr="00875862">
              <w:rPr>
                <w:rFonts w:ascii="Times New Roman" w:eastAsia="Times New Roman" w:hAnsi="Times New Roman" w:cs="Times New Roman"/>
                <w:sz w:val="20"/>
                <w:szCs w:val="20"/>
                <w:lang w:eastAsia="sk-SK"/>
              </w:rPr>
              <w:t>119/2013 Z.</w:t>
            </w:r>
            <w:r w:rsidR="009D53F6">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C1FEDB" w14:textId="6C1A1E11"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§13 ods.</w:t>
            </w:r>
            <w:r w:rsidR="00E06144">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1</w:t>
            </w:r>
            <w:r w:rsidR="001B2F30">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písm</w:t>
            </w:r>
            <w:r w:rsidR="001B2F30">
              <w:rPr>
                <w:rFonts w:ascii="Times New Roman" w:eastAsia="Times New Roman" w:hAnsi="Times New Roman" w:cs="Times New Roman"/>
                <w:sz w:val="20"/>
                <w:szCs w:val="20"/>
                <w:lang w:eastAsia="sk-SK"/>
              </w:rPr>
              <w:t>.</w:t>
            </w:r>
            <w:r w:rsidRPr="00875862">
              <w:rPr>
                <w:rFonts w:ascii="Times New Roman" w:eastAsia="Times New Roman" w:hAnsi="Times New Roman" w:cs="Times New Roman"/>
                <w:sz w:val="20"/>
                <w:szCs w:val="20"/>
                <w:lang w:eastAsia="sk-SK"/>
              </w:rPr>
              <w:t xml:space="preserve"> b)</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B5AC5F1"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872BC"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46067B60" w14:textId="35DFBE72" w:rsidR="00875862" w:rsidRPr="00875862" w:rsidRDefault="00C27242" w:rsidP="00C27242">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obchodníci so strieborným</w:t>
            </w:r>
            <w:r w:rsidR="009D53F6">
              <w:rPr>
                <w:rFonts w:ascii="Times New Roman" w:eastAsia="Times New Roman" w:hAnsi="Times New Roman" w:cs="Times New Roman"/>
                <w:sz w:val="20"/>
                <w:szCs w:val="20"/>
                <w:lang w:eastAsia="sk-SK"/>
              </w:rPr>
              <w:t xml:space="preserve"> tovarom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7ECFE" w14:textId="6E9753CB"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3 000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B7AF5" w14:textId="612D7CDB"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8C2B4"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2389E"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234 475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D2C9A8"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5236D4A6"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781BC68"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5</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725C524" w14:textId="248AE8B6" w:rsidR="00875862" w:rsidRPr="00875862" w:rsidRDefault="00577E74"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Zrušenie povinnosti </w:t>
            </w:r>
            <w:r w:rsidR="00875862" w:rsidRPr="00875862">
              <w:rPr>
                <w:rFonts w:ascii="Times New Roman" w:eastAsia="Times New Roman" w:hAnsi="Times New Roman" w:cs="Times New Roman"/>
                <w:sz w:val="20"/>
                <w:szCs w:val="20"/>
                <w:lang w:eastAsia="sk-SK"/>
              </w:rPr>
              <w:t>puncovania zlatého a platinového tovaru do 1</w:t>
            </w:r>
            <w:r w:rsidR="00BA7E0A">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g</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F08A402" w14:textId="13312597" w:rsidR="00875862" w:rsidRPr="00875862" w:rsidRDefault="001B2F30"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w:t>
            </w:r>
            <w:r w:rsidR="00875862" w:rsidRPr="00875862">
              <w:rPr>
                <w:rFonts w:ascii="Times New Roman" w:eastAsia="Times New Roman" w:hAnsi="Times New Roman" w:cs="Times New Roman"/>
                <w:sz w:val="20"/>
                <w:szCs w:val="20"/>
                <w:lang w:eastAsia="sk-SK"/>
              </w:rPr>
              <w:t xml:space="preserve">yhláška </w:t>
            </w:r>
            <w:r w:rsidR="00107F0F">
              <w:rPr>
                <w:rFonts w:ascii="Times New Roman" w:eastAsia="Times New Roman" w:hAnsi="Times New Roman" w:cs="Times New Roman"/>
                <w:sz w:val="20"/>
                <w:szCs w:val="20"/>
                <w:lang w:eastAsia="sk-SK"/>
              </w:rPr>
              <w:t xml:space="preserve">č. </w:t>
            </w:r>
            <w:r w:rsidR="00875862" w:rsidRPr="00875862">
              <w:rPr>
                <w:rFonts w:ascii="Times New Roman" w:eastAsia="Times New Roman" w:hAnsi="Times New Roman" w:cs="Times New Roman"/>
                <w:sz w:val="20"/>
                <w:szCs w:val="20"/>
                <w:lang w:eastAsia="sk-SK"/>
              </w:rPr>
              <w:t>119/2013 Z.</w:t>
            </w:r>
            <w:r w:rsidR="002428C9">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88C7D5" w14:textId="19CC8350"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§13 ods.</w:t>
            </w:r>
            <w:r w:rsidR="00E06144">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1</w:t>
            </w:r>
            <w:r w:rsidR="001B2F30">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písm</w:t>
            </w:r>
            <w:r w:rsidR="001B2F30">
              <w:rPr>
                <w:rFonts w:ascii="Times New Roman" w:eastAsia="Times New Roman" w:hAnsi="Times New Roman" w:cs="Times New Roman"/>
                <w:sz w:val="20"/>
                <w:szCs w:val="20"/>
                <w:lang w:eastAsia="sk-SK"/>
              </w:rPr>
              <w:t>.</w:t>
            </w:r>
            <w:r w:rsidRPr="00875862">
              <w:rPr>
                <w:rFonts w:ascii="Times New Roman" w:eastAsia="Times New Roman" w:hAnsi="Times New Roman" w:cs="Times New Roman"/>
                <w:sz w:val="20"/>
                <w:szCs w:val="20"/>
                <w:lang w:eastAsia="sk-SK"/>
              </w:rPr>
              <w:t xml:space="preserve"> 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F66E775"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A4C5F"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0E09C53" w14:textId="23FD698C" w:rsidR="00875862" w:rsidRPr="00875862" w:rsidRDefault="009D53F6"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obchodníci so zlatým tovarom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9DE64" w14:textId="2B768644"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3 000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56BB0" w14:textId="76787B01"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0F735"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95E8"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92 631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B9D1B"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06FA1E5B"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88B4DB"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6</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438EF326" w14:textId="7FD9FFB2" w:rsidR="00875862" w:rsidRPr="00875862" w:rsidRDefault="00577E74"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w:t>
            </w:r>
            <w:r w:rsidR="00875862" w:rsidRPr="00875862">
              <w:rPr>
                <w:rFonts w:ascii="Times New Roman" w:eastAsia="Times New Roman" w:hAnsi="Times New Roman" w:cs="Times New Roman"/>
                <w:sz w:val="20"/>
                <w:szCs w:val="20"/>
                <w:lang w:eastAsia="sk-SK"/>
              </w:rPr>
              <w:t>možnenie informovať o výmene plynomeru aj elektronicky</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E12DE7B" w14:textId="7290D043" w:rsidR="00875862" w:rsidRPr="00875862" w:rsidRDefault="001B2F30" w:rsidP="001B2F30">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00875862" w:rsidRPr="00875862">
              <w:rPr>
                <w:rFonts w:ascii="Times New Roman" w:eastAsia="Times New Roman" w:hAnsi="Times New Roman" w:cs="Times New Roman"/>
                <w:sz w:val="20"/>
                <w:szCs w:val="20"/>
                <w:lang w:eastAsia="sk-SK"/>
              </w:rPr>
              <w:t>ákon č.</w:t>
            </w:r>
            <w:r w:rsidR="00107F0F">
              <w:rPr>
                <w:rFonts w:ascii="Times New Roman" w:eastAsia="Times New Roman" w:hAnsi="Times New Roman" w:cs="Times New Roman"/>
                <w:sz w:val="20"/>
                <w:szCs w:val="20"/>
                <w:lang w:eastAsia="sk-SK"/>
              </w:rPr>
              <w:t xml:space="preserve"> </w:t>
            </w:r>
            <w:r w:rsidR="00875862" w:rsidRPr="00875862">
              <w:rPr>
                <w:rFonts w:ascii="Times New Roman" w:eastAsia="Times New Roman" w:hAnsi="Times New Roman" w:cs="Times New Roman"/>
                <w:sz w:val="20"/>
                <w:szCs w:val="20"/>
                <w:lang w:eastAsia="sk-SK"/>
              </w:rPr>
              <w:t>251/2012</w:t>
            </w:r>
            <w:r w:rsidR="009D53F6">
              <w:rPr>
                <w:rFonts w:ascii="Times New Roman" w:eastAsia="Times New Roman" w:hAnsi="Times New Roman" w:cs="Times New Roman"/>
                <w:sz w:val="20"/>
                <w:szCs w:val="20"/>
                <w:lang w:eastAsia="sk-SK"/>
              </w:rPr>
              <w:t xml:space="preserve">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EE012F" w14:textId="571DF2E2"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§76 ods.</w:t>
            </w:r>
            <w:r w:rsidR="001B2F30">
              <w:rPr>
                <w:rFonts w:ascii="Times New Roman" w:eastAsia="Times New Roman" w:hAnsi="Times New Roman" w:cs="Times New Roman"/>
                <w:sz w:val="20"/>
                <w:szCs w:val="20"/>
                <w:lang w:eastAsia="sk-SK"/>
              </w:rPr>
              <w:t xml:space="preserve"> </w:t>
            </w:r>
            <w:r w:rsidRPr="00875862">
              <w:rPr>
                <w:rFonts w:ascii="Times New Roman" w:eastAsia="Times New Roman" w:hAnsi="Times New Roman" w:cs="Times New Roman"/>
                <w:sz w:val="20"/>
                <w:szCs w:val="20"/>
                <w:lang w:eastAsia="sk-SK"/>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9B01C27"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4C0DC"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6D796B5"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SPP - distribúcia /počet oznámení listom</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D6EFB" w14:textId="1EA4710C"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742C4" w14:textId="5CDA53A5"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919CA"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125 014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F4A40"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125 014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05A6F"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75862" w:rsidRPr="00875862" w14:paraId="5AF3227F" w14:textId="77777777" w:rsidTr="00DF28F1">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6B4E38" w14:textId="77777777" w:rsidR="00875862" w:rsidRPr="00875862" w:rsidRDefault="00875862" w:rsidP="00875862">
            <w:pPr>
              <w:spacing w:after="0" w:line="240" w:lineRule="auto"/>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7</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63A486EB" w14:textId="68727484" w:rsidR="00875862" w:rsidRPr="00875862" w:rsidRDefault="00577E74" w:rsidP="00875862">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Umožnenie</w:t>
            </w:r>
            <w:r w:rsidR="00875862" w:rsidRPr="00875862">
              <w:rPr>
                <w:rFonts w:ascii="Times New Roman" w:eastAsia="Times New Roman" w:hAnsi="Times New Roman" w:cs="Times New Roman"/>
                <w:sz w:val="20"/>
                <w:szCs w:val="20"/>
                <w:lang w:eastAsia="sk-SK"/>
              </w:rPr>
              <w:t xml:space="preserve"> vykonávať funkciu zodpovedného zástupcu pre viacerých držiteľov povolenia</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39D8D7A3" w14:textId="34C040F5" w:rsidR="00875862" w:rsidRPr="00875862" w:rsidRDefault="001B2F30"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00875862" w:rsidRPr="00875862">
              <w:rPr>
                <w:rFonts w:ascii="Times New Roman" w:eastAsia="Times New Roman" w:hAnsi="Times New Roman" w:cs="Times New Roman"/>
                <w:sz w:val="20"/>
                <w:szCs w:val="20"/>
                <w:lang w:eastAsia="sk-SK"/>
              </w:rPr>
              <w:t>ákon č.</w:t>
            </w:r>
            <w:r w:rsidR="00107F0F">
              <w:rPr>
                <w:rFonts w:ascii="Times New Roman" w:eastAsia="Times New Roman" w:hAnsi="Times New Roman" w:cs="Times New Roman"/>
                <w:sz w:val="20"/>
                <w:szCs w:val="20"/>
                <w:lang w:eastAsia="sk-SK"/>
              </w:rPr>
              <w:t xml:space="preserve"> </w:t>
            </w:r>
            <w:r w:rsidR="005E6DD0">
              <w:rPr>
                <w:rFonts w:ascii="Times New Roman" w:eastAsia="Times New Roman" w:hAnsi="Times New Roman" w:cs="Times New Roman"/>
                <w:sz w:val="20"/>
                <w:szCs w:val="20"/>
                <w:lang w:eastAsia="sk-SK"/>
              </w:rPr>
              <w:t>251/2012</w:t>
            </w:r>
            <w:r w:rsidR="009D53F6">
              <w:rPr>
                <w:rFonts w:ascii="Times New Roman" w:eastAsia="Times New Roman" w:hAnsi="Times New Roman" w:cs="Times New Roman"/>
                <w:sz w:val="20"/>
                <w:szCs w:val="20"/>
                <w:lang w:eastAsia="sk-SK"/>
              </w:rPr>
              <w:t xml:space="preserve"> Z. z.</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D56221"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§73 ods. 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B2264A0"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B49C2" w14:textId="77777777"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11C9663B" w14:textId="50143550"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po</w:t>
            </w:r>
            <w:r w:rsidR="00E57739">
              <w:rPr>
                <w:rFonts w:ascii="Times New Roman" w:eastAsia="Times New Roman" w:hAnsi="Times New Roman" w:cs="Times New Roman"/>
                <w:sz w:val="20"/>
                <w:szCs w:val="20"/>
                <w:lang w:eastAsia="sk-SK"/>
              </w:rPr>
              <w:t>dnikatelia s povolením na podnik</w:t>
            </w:r>
            <w:r w:rsidRPr="00875862">
              <w:rPr>
                <w:rFonts w:ascii="Times New Roman" w:eastAsia="Times New Roman" w:hAnsi="Times New Roman" w:cs="Times New Roman"/>
                <w:sz w:val="20"/>
                <w:szCs w:val="20"/>
                <w:lang w:eastAsia="sk-SK"/>
              </w:rPr>
              <w:t>anie v energetike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3953C" w14:textId="108EAE3C"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100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11AA7" w14:textId="5456479B" w:rsidR="00875862" w:rsidRPr="00875862" w:rsidRDefault="00875862" w:rsidP="003372FE">
            <w:pPr>
              <w:spacing w:after="0" w:line="240" w:lineRule="auto"/>
              <w:jc w:val="center"/>
              <w:rPr>
                <w:rFonts w:ascii="Times New Roman" w:eastAsia="Times New Roman" w:hAnsi="Times New Roman" w:cs="Times New Roman"/>
                <w:color w:val="000000"/>
                <w:sz w:val="20"/>
                <w:szCs w:val="20"/>
                <w:lang w:eastAsia="sk-SK"/>
              </w:rPr>
            </w:pPr>
            <w:r w:rsidRPr="00875862">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85C3F" w14:textId="63C43B68" w:rsidR="00875862" w:rsidRPr="00875862" w:rsidRDefault="0096758B" w:rsidP="003372F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7C616" w14:textId="3BE95850" w:rsidR="00875862" w:rsidRPr="00875862" w:rsidRDefault="0096758B" w:rsidP="003372FE">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11 4</w:t>
            </w:r>
            <w:r w:rsidR="00875862" w:rsidRPr="00875862">
              <w:rPr>
                <w:rFonts w:ascii="Times New Roman" w:eastAsia="Times New Roman" w:hAnsi="Times New Roman" w:cs="Times New Roman"/>
                <w:color w:val="000000"/>
                <w:sz w:val="20"/>
                <w:szCs w:val="20"/>
                <w:lang w:eastAsia="sk-SK"/>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714BA" w14:textId="77777777" w:rsidR="00875862" w:rsidRPr="00875862" w:rsidRDefault="00875862" w:rsidP="003372FE">
            <w:pPr>
              <w:spacing w:after="0" w:line="240" w:lineRule="auto"/>
              <w:jc w:val="center"/>
              <w:rPr>
                <w:rFonts w:ascii="Times New Roman" w:eastAsia="Times New Roman" w:hAnsi="Times New Roman" w:cs="Times New Roman"/>
                <w:sz w:val="20"/>
                <w:szCs w:val="20"/>
                <w:lang w:eastAsia="sk-SK"/>
              </w:rPr>
            </w:pPr>
            <w:r w:rsidRPr="00875862">
              <w:rPr>
                <w:rFonts w:ascii="Times New Roman" w:eastAsia="Times New Roman" w:hAnsi="Times New Roman" w:cs="Times New Roman"/>
                <w:sz w:val="20"/>
                <w:szCs w:val="20"/>
                <w:lang w:eastAsia="sk-SK"/>
              </w:rPr>
              <w:t>Out (znižuje náklady)</w:t>
            </w:r>
          </w:p>
        </w:tc>
      </w:tr>
      <w:tr w:rsidR="008F64C8" w:rsidRPr="00D41755" w14:paraId="39B81450" w14:textId="77777777" w:rsidTr="004E386D">
        <w:trPr>
          <w:trHeight w:val="61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1954FB5" w14:textId="636D77D7" w:rsidR="008F64C8" w:rsidRPr="00D41755" w:rsidRDefault="008F64C8" w:rsidP="008F64C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8</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081FC0E7" w14:textId="1955D49B" w:rsidR="008F64C8" w:rsidRPr="00D41755" w:rsidRDefault="00600C85" w:rsidP="008F64C8">
            <w:pPr>
              <w:spacing w:after="0" w:line="240" w:lineRule="auto"/>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Zrušenie povinnosti</w:t>
            </w:r>
            <w:r w:rsidR="008F64C8" w:rsidRPr="003E4F43">
              <w:rPr>
                <w:rFonts w:ascii="Times New Roman" w:eastAsia="Times New Roman" w:hAnsi="Times New Roman" w:cs="Times New Roman"/>
                <w:sz w:val="20"/>
                <w:szCs w:val="20"/>
                <w:lang w:eastAsia="sk-SK"/>
              </w:rPr>
              <w:t xml:space="preserve"> zasielať distribútorovi tlačivo Osvedčenie na vý</w:t>
            </w:r>
            <w:r w:rsidR="008F64C8">
              <w:rPr>
                <w:rFonts w:ascii="Times New Roman" w:eastAsia="Times New Roman" w:hAnsi="Times New Roman" w:cs="Times New Roman"/>
                <w:sz w:val="20"/>
                <w:szCs w:val="20"/>
                <w:lang w:eastAsia="sk-SK"/>
              </w:rPr>
              <w:t>stavbu energetického zariadenia</w:t>
            </w: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453811FE" w14:textId="18DCCA6E" w:rsidR="008F64C8" w:rsidRPr="00D41755" w:rsidRDefault="008F64C8" w:rsidP="008F64C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w:t>
            </w:r>
            <w:r w:rsidR="0097260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251/2012</w:t>
            </w:r>
            <w:r w:rsidR="0097260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Z.</w:t>
            </w:r>
            <w:r w:rsidR="0097260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z</w:t>
            </w:r>
            <w:r w:rsidRPr="003E4F43">
              <w:rPr>
                <w:rFonts w:ascii="Times New Roman" w:eastAsia="Times New Roman" w:hAnsi="Times New Roman" w:cs="Times New Roman"/>
                <w:sz w:val="20"/>
                <w:szCs w:val="20"/>
                <w:lang w:eastAsia="sk-SK"/>
              </w:rPr>
              <w:t>.</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3172055" w14:textId="2DAF0044" w:rsidR="008F64C8" w:rsidRPr="00D41755" w:rsidRDefault="008F64C8" w:rsidP="008F64C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§12 </w:t>
            </w:r>
            <w:r w:rsidRPr="003E4F43">
              <w:rPr>
                <w:rFonts w:ascii="Times New Roman" w:eastAsia="Times New Roman" w:hAnsi="Times New Roman" w:cs="Times New Roman"/>
                <w:sz w:val="20"/>
                <w:szCs w:val="20"/>
                <w:lang w:eastAsia="sk-SK"/>
              </w:rPr>
              <w:t>ods.13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940154C" w14:textId="447A21CD" w:rsidR="008F64C8" w:rsidRPr="00D41755" w:rsidRDefault="008F64C8" w:rsidP="008F64C8">
            <w:pPr>
              <w:spacing w:after="0" w:line="240" w:lineRule="auto"/>
              <w:jc w:val="center"/>
              <w:rPr>
                <w:rFonts w:ascii="Times New Roman" w:eastAsia="Times New Roman" w:hAnsi="Times New Roman" w:cs="Times New Roman"/>
                <w:color w:val="000000"/>
                <w:sz w:val="20"/>
                <w:szCs w:val="20"/>
                <w:lang w:eastAsia="sk-SK"/>
              </w:rPr>
            </w:pPr>
            <w:r w:rsidRPr="003E4F43">
              <w:rPr>
                <w:rFonts w:ascii="Times New Roman" w:eastAsia="Times New Roman" w:hAnsi="Times New Roman" w:cs="Times New Roman"/>
                <w:color w:val="000000"/>
                <w:sz w:val="20"/>
                <w:szCs w:val="20"/>
                <w:lang w:eastAsia="sk-SK"/>
              </w:rPr>
              <w:t>SK</w:t>
            </w:r>
          </w:p>
        </w:tc>
        <w:tc>
          <w:tcPr>
            <w:tcW w:w="9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DFC32" w14:textId="1C6F88F2" w:rsidR="008F64C8" w:rsidRPr="00D41755" w:rsidRDefault="008F64C8" w:rsidP="008F64C8">
            <w:pPr>
              <w:spacing w:after="0" w:line="240" w:lineRule="auto"/>
              <w:jc w:val="center"/>
              <w:rPr>
                <w:rFonts w:ascii="Times New Roman" w:eastAsia="Times New Roman" w:hAnsi="Times New Roman" w:cs="Times New Roman"/>
                <w:color w:val="000000"/>
                <w:sz w:val="20"/>
                <w:szCs w:val="20"/>
                <w:lang w:eastAsia="sk-SK"/>
              </w:rPr>
            </w:pPr>
            <w:r w:rsidRPr="003E4F43">
              <w:rPr>
                <w:rFonts w:ascii="Times New Roman" w:eastAsia="Times New Roman" w:hAnsi="Times New Roman" w:cs="Times New Roman"/>
                <w:color w:val="000000"/>
                <w:sz w:val="20"/>
                <w:szCs w:val="20"/>
                <w:lang w:eastAsia="sk-SK"/>
              </w:rPr>
              <w:t>01.07.24</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E40E01B" w14:textId="7DE56CB9" w:rsidR="008F64C8" w:rsidRPr="00D41755" w:rsidRDefault="008F64C8" w:rsidP="008F64C8">
            <w:pPr>
              <w:spacing w:after="0" w:line="240" w:lineRule="auto"/>
              <w:jc w:val="center"/>
              <w:rPr>
                <w:rFonts w:ascii="Times New Roman" w:eastAsia="Times New Roman" w:hAnsi="Times New Roman" w:cs="Times New Roman"/>
                <w:sz w:val="20"/>
                <w:szCs w:val="20"/>
                <w:lang w:eastAsia="sk-SK"/>
              </w:rPr>
            </w:pPr>
            <w:r w:rsidRPr="003E4F43">
              <w:rPr>
                <w:rFonts w:ascii="Times New Roman" w:eastAsia="Times New Roman" w:hAnsi="Times New Roman" w:cs="Times New Roman"/>
                <w:sz w:val="20"/>
                <w:szCs w:val="20"/>
                <w:lang w:eastAsia="sk-SK"/>
              </w:rPr>
              <w:t>žiadatelia o pripojenie</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52C2" w14:textId="6E1B109E" w:rsidR="008F64C8" w:rsidRPr="00D41755" w:rsidRDefault="004E386D" w:rsidP="004E386D">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25</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DCC58" w14:textId="2C58592A" w:rsidR="008F64C8" w:rsidRPr="00D41755" w:rsidRDefault="004E386D" w:rsidP="004E386D">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w:t>
            </w:r>
          </w:p>
        </w:tc>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52D14" w14:textId="18A9FCA6" w:rsidR="008F64C8" w:rsidRPr="00D41755" w:rsidRDefault="008F64C8" w:rsidP="008F64C8">
            <w:pPr>
              <w:spacing w:after="0" w:line="240" w:lineRule="auto"/>
              <w:jc w:val="center"/>
              <w:rPr>
                <w:rFonts w:ascii="Times New Roman" w:eastAsia="Times New Roman" w:hAnsi="Times New Roman" w:cs="Times New Roman"/>
                <w:sz w:val="20"/>
                <w:szCs w:val="20"/>
                <w:lang w:eastAsia="sk-SK"/>
              </w:rPr>
            </w:pPr>
            <w:r w:rsidRPr="003E4F43">
              <w:rPr>
                <w:rFonts w:ascii="Times New Roman" w:eastAsia="Times New Roman" w:hAnsi="Times New Roman" w:cs="Times New Roman"/>
                <w:sz w:val="20"/>
                <w:szCs w:val="20"/>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F1B53" w14:textId="4C4E2B05" w:rsidR="008F64C8" w:rsidRPr="00D41755" w:rsidRDefault="008F64C8" w:rsidP="008F64C8">
            <w:pPr>
              <w:spacing w:after="0" w:line="240" w:lineRule="auto"/>
              <w:jc w:val="center"/>
              <w:rPr>
                <w:rFonts w:ascii="Times New Roman" w:eastAsia="Times New Roman" w:hAnsi="Times New Roman" w:cs="Times New Roman"/>
                <w:color w:val="000000"/>
                <w:sz w:val="20"/>
                <w:szCs w:val="20"/>
                <w:lang w:eastAsia="sk-SK"/>
              </w:rPr>
            </w:pPr>
            <w:r w:rsidRPr="003E4F43">
              <w:rPr>
                <w:rFonts w:ascii="Times New Roman" w:eastAsia="Times New Roman" w:hAnsi="Times New Roman" w:cs="Times New Roman"/>
                <w:color w:val="000000"/>
                <w:sz w:val="20"/>
                <w:szCs w:val="20"/>
                <w:lang w:eastAsia="sk-SK"/>
              </w:rPr>
              <w:t>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82ECC" w14:textId="6DD539ED" w:rsidR="008F64C8" w:rsidRPr="00D41755" w:rsidRDefault="008F64C8" w:rsidP="008F64C8">
            <w:pPr>
              <w:spacing w:after="0" w:line="240" w:lineRule="auto"/>
              <w:jc w:val="center"/>
              <w:rPr>
                <w:rFonts w:ascii="Times New Roman" w:eastAsia="Times New Roman" w:hAnsi="Times New Roman" w:cs="Times New Roman"/>
                <w:sz w:val="20"/>
                <w:szCs w:val="20"/>
                <w:lang w:eastAsia="sk-SK"/>
              </w:rPr>
            </w:pPr>
            <w:r w:rsidRPr="003E4F43">
              <w:rPr>
                <w:rFonts w:ascii="Times New Roman" w:eastAsia="Times New Roman" w:hAnsi="Times New Roman" w:cs="Times New Roman"/>
                <w:sz w:val="20"/>
                <w:szCs w:val="20"/>
                <w:lang w:eastAsia="sk-SK"/>
              </w:rPr>
              <w:t>Out (znižuje náklady)</w:t>
            </w:r>
          </w:p>
        </w:tc>
      </w:tr>
    </w:tbl>
    <w:p w14:paraId="6E2FC1D4" w14:textId="77777777" w:rsidR="00054C41" w:rsidRPr="00895898" w:rsidRDefault="00054C41" w:rsidP="00054C41">
      <w:pPr>
        <w:jc w:val="both"/>
        <w:rPr>
          <w:rFonts w:ascii="Times New Roman" w:eastAsia="Calibri" w:hAnsi="Times New Roman" w:cs="Times New Roman"/>
          <w:i/>
        </w:rPr>
      </w:pPr>
    </w:p>
    <w:p w14:paraId="392BDE53"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27CFF4F8" w14:textId="77777777" w:rsidR="007069A5" w:rsidRDefault="00054C41" w:rsidP="00054C41">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lastRenderedPageBreak/>
        <w:t>Doplňujúce informácie k spôsobu výpočtu vplyvov jednotlivých regulácií na zmenu nákladov</w:t>
      </w:r>
    </w:p>
    <w:p w14:paraId="4FE71409" w14:textId="77777777" w:rsidR="007069A5" w:rsidRPr="007069A5" w:rsidRDefault="007069A5" w:rsidP="007069A5">
      <w:pPr>
        <w:numPr>
          <w:ilvl w:val="0"/>
          <w:numId w:val="19"/>
        </w:numPr>
        <w:spacing w:line="252" w:lineRule="auto"/>
        <w:ind w:left="0" w:hanging="11"/>
        <w:contextualSpacing/>
        <w:jc w:val="both"/>
        <w:rPr>
          <w:rFonts w:ascii="Times New Roman" w:hAnsi="Times New Roman" w:cs="Times New Roman"/>
          <w:b/>
          <w:bCs/>
          <w:sz w:val="24"/>
          <w:szCs w:val="24"/>
        </w:rPr>
      </w:pPr>
      <w:r w:rsidRPr="007069A5">
        <w:rPr>
          <w:rFonts w:ascii="Times New Roman" w:hAnsi="Times New Roman" w:cs="Times New Roman"/>
          <w:b/>
          <w:bCs/>
          <w:sz w:val="24"/>
          <w:szCs w:val="24"/>
        </w:rPr>
        <w:t xml:space="preserve">Puncový úrad Slovenskej republiky </w:t>
      </w:r>
    </w:p>
    <w:p w14:paraId="6EF879F4" w14:textId="77777777" w:rsidR="007069A5" w:rsidRPr="007069A5" w:rsidRDefault="007069A5" w:rsidP="007069A5">
      <w:pPr>
        <w:spacing w:line="252" w:lineRule="auto"/>
        <w:contextualSpacing/>
        <w:jc w:val="both"/>
        <w:rPr>
          <w:rFonts w:ascii="Times New Roman" w:hAnsi="Times New Roman" w:cs="Times New Roman"/>
          <w:sz w:val="24"/>
          <w:szCs w:val="24"/>
          <w:u w:val="single"/>
        </w:rPr>
      </w:pPr>
    </w:p>
    <w:p w14:paraId="4D6B79EE" w14:textId="3D188A15" w:rsidR="007069A5" w:rsidRPr="007069A5" w:rsidRDefault="007069A5" w:rsidP="007069A5">
      <w:pPr>
        <w:spacing w:line="252" w:lineRule="auto"/>
        <w:contextualSpacing/>
        <w:jc w:val="both"/>
        <w:rPr>
          <w:rFonts w:ascii="Times New Roman" w:hAnsi="Times New Roman" w:cs="Times New Roman"/>
          <w:sz w:val="24"/>
          <w:szCs w:val="24"/>
        </w:rPr>
      </w:pPr>
      <w:r w:rsidRPr="007069A5">
        <w:rPr>
          <w:rFonts w:ascii="Times New Roman" w:hAnsi="Times New Roman" w:cs="Times New Roman"/>
          <w:sz w:val="24"/>
          <w:szCs w:val="24"/>
        </w:rPr>
        <w:t>Pri výpočte vplyvov opatrení plnených zákonom č. 94/2013 Z.</w:t>
      </w:r>
      <w:r w:rsidR="00BB06B0">
        <w:rPr>
          <w:rFonts w:ascii="Times New Roman" w:hAnsi="Times New Roman" w:cs="Times New Roman"/>
          <w:sz w:val="24"/>
          <w:szCs w:val="24"/>
        </w:rPr>
        <w:t xml:space="preserve"> </w:t>
      </w:r>
      <w:r w:rsidRPr="007069A5">
        <w:rPr>
          <w:rFonts w:ascii="Times New Roman" w:hAnsi="Times New Roman" w:cs="Times New Roman"/>
          <w:sz w:val="24"/>
          <w:szCs w:val="24"/>
        </w:rPr>
        <w:t>z. o puncovníctve a skúšaní drahých kovov (puncový zákon) a o zmene niektorých zákonov, sa vychádzalo z údajov Puncového úradu SR (PÚ SR) a jeho expertných odhadov.</w:t>
      </w:r>
    </w:p>
    <w:p w14:paraId="177D56DB" w14:textId="77777777" w:rsidR="007069A5" w:rsidRPr="007069A5" w:rsidRDefault="007069A5" w:rsidP="007069A5">
      <w:pPr>
        <w:pStyle w:val="Odsekzoznamu"/>
        <w:numPr>
          <w:ilvl w:val="0"/>
          <w:numId w:val="20"/>
        </w:numPr>
        <w:spacing w:line="252" w:lineRule="auto"/>
        <w:jc w:val="both"/>
        <w:rPr>
          <w:rFonts w:ascii="Times New Roman" w:hAnsi="Times New Roman" w:cs="Times New Roman"/>
          <w:b/>
          <w:bCs/>
          <w:i/>
          <w:iCs/>
          <w:sz w:val="24"/>
          <w:szCs w:val="24"/>
          <w:u w:val="single"/>
        </w:rPr>
      </w:pPr>
      <w:r w:rsidRPr="007069A5">
        <w:rPr>
          <w:rFonts w:ascii="Times New Roman" w:hAnsi="Times New Roman" w:cs="Times New Roman"/>
          <w:b/>
          <w:bCs/>
          <w:i/>
          <w:iCs/>
          <w:sz w:val="24"/>
          <w:szCs w:val="24"/>
          <w:u w:val="single"/>
        </w:rPr>
        <w:t> Zrušenie povinnosti používať váhy obchodníkom so strieborným tovarom do 10 g a s tým súvisiace zrušenie povinnosti overovania váh</w:t>
      </w:r>
    </w:p>
    <w:p w14:paraId="3E79C894" w14:textId="614E920B" w:rsidR="007069A5" w:rsidRPr="007069A5" w:rsidRDefault="007069A5" w:rsidP="007069A5">
      <w:pPr>
        <w:shd w:val="clear" w:color="auto" w:fill="FFFFFF"/>
        <w:jc w:val="both"/>
        <w:rPr>
          <w:rFonts w:ascii="Times New Roman" w:hAnsi="Times New Roman" w:cs="Times New Roman"/>
          <w:sz w:val="24"/>
          <w:szCs w:val="24"/>
        </w:rPr>
      </w:pPr>
      <w:r w:rsidRPr="007069A5">
        <w:rPr>
          <w:rFonts w:ascii="Times New Roman" w:hAnsi="Times New Roman" w:cs="Times New Roman"/>
          <w:sz w:val="24"/>
          <w:szCs w:val="24"/>
        </w:rPr>
        <w:t>Zrušenie uvedenej povinnosti bude mať pozitívny vply</w:t>
      </w:r>
      <w:r w:rsidR="00831690">
        <w:rPr>
          <w:rFonts w:ascii="Times New Roman" w:hAnsi="Times New Roman" w:cs="Times New Roman"/>
          <w:sz w:val="24"/>
          <w:szCs w:val="24"/>
        </w:rPr>
        <w:t>v na 100 subjektov (expertný odhad PÚ </w:t>
      </w:r>
      <w:r w:rsidRPr="007069A5">
        <w:rPr>
          <w:rFonts w:ascii="Times New Roman" w:hAnsi="Times New Roman" w:cs="Times New Roman"/>
          <w:sz w:val="24"/>
          <w:szCs w:val="24"/>
        </w:rPr>
        <w:t>SR), pričom nepriame finančné náklady na 1 podnikateľa predstavuje cen</w:t>
      </w:r>
      <w:r w:rsidR="00831690">
        <w:rPr>
          <w:rFonts w:ascii="Times New Roman" w:hAnsi="Times New Roman" w:cs="Times New Roman"/>
          <w:sz w:val="24"/>
          <w:szCs w:val="24"/>
        </w:rPr>
        <w:t xml:space="preserve">a váh podľa expertného odhadu PÚ SR </w:t>
      </w:r>
      <w:r w:rsidR="00B13BE6">
        <w:rPr>
          <w:rFonts w:ascii="Times New Roman" w:hAnsi="Times New Roman" w:cs="Times New Roman"/>
          <w:sz w:val="24"/>
          <w:szCs w:val="24"/>
        </w:rPr>
        <w:t>260</w:t>
      </w:r>
      <w:r w:rsidR="00831690">
        <w:rPr>
          <w:rFonts w:ascii="Times New Roman" w:hAnsi="Times New Roman" w:cs="Times New Roman"/>
          <w:sz w:val="24"/>
          <w:szCs w:val="24"/>
        </w:rPr>
        <w:t xml:space="preserve"> eur</w:t>
      </w:r>
      <w:r w:rsidRPr="007069A5">
        <w:rPr>
          <w:rFonts w:ascii="Times New Roman" w:hAnsi="Times New Roman" w:cs="Times New Roman"/>
          <w:sz w:val="24"/>
          <w:szCs w:val="24"/>
        </w:rPr>
        <w:t>,</w:t>
      </w:r>
      <w:r w:rsidR="00831690">
        <w:rPr>
          <w:rFonts w:ascii="Times New Roman" w:hAnsi="Times New Roman" w:cs="Times New Roman"/>
          <w:sz w:val="24"/>
          <w:szCs w:val="24"/>
        </w:rPr>
        <w:t xml:space="preserve"> pričom</w:t>
      </w:r>
      <w:r w:rsidRPr="007069A5">
        <w:rPr>
          <w:rFonts w:ascii="Times New Roman" w:hAnsi="Times New Roman" w:cs="Times New Roman"/>
          <w:sz w:val="24"/>
          <w:szCs w:val="24"/>
        </w:rPr>
        <w:t xml:space="preserve"> periodicita</w:t>
      </w:r>
      <w:r w:rsidR="00831690">
        <w:rPr>
          <w:rFonts w:ascii="Times New Roman" w:hAnsi="Times New Roman" w:cs="Times New Roman"/>
          <w:sz w:val="24"/>
          <w:szCs w:val="24"/>
        </w:rPr>
        <w:t xml:space="preserve"> bola zvolená</w:t>
      </w:r>
      <w:r w:rsidR="0003544C">
        <w:rPr>
          <w:rFonts w:ascii="Times New Roman" w:hAnsi="Times New Roman" w:cs="Times New Roman"/>
          <w:sz w:val="24"/>
          <w:szCs w:val="24"/>
        </w:rPr>
        <w:t xml:space="preserve"> </w:t>
      </w:r>
      <w:r w:rsidR="00B13BE6">
        <w:rPr>
          <w:rFonts w:ascii="Times New Roman" w:hAnsi="Times New Roman" w:cs="Times New Roman"/>
          <w:sz w:val="24"/>
          <w:szCs w:val="24"/>
        </w:rPr>
        <w:t>nepravidelne</w:t>
      </w:r>
      <w:r w:rsidR="00E74E17">
        <w:rPr>
          <w:rFonts w:ascii="Times New Roman" w:hAnsi="Times New Roman" w:cs="Times New Roman"/>
          <w:sz w:val="24"/>
          <w:szCs w:val="24"/>
        </w:rPr>
        <w:t>, keďže predpokladaná životnosť váh je podľa expertného odhadu Ú</w:t>
      </w:r>
      <w:r w:rsidR="00AD1655">
        <w:rPr>
          <w:rFonts w:ascii="Times New Roman" w:hAnsi="Times New Roman" w:cs="Times New Roman"/>
          <w:sz w:val="24"/>
          <w:szCs w:val="24"/>
        </w:rPr>
        <w:t>radu pre normalizáciu, metrológiu a skúšobníctvo</w:t>
      </w:r>
      <w:r w:rsidR="00E74E17">
        <w:rPr>
          <w:rFonts w:ascii="Times New Roman" w:hAnsi="Times New Roman" w:cs="Times New Roman"/>
          <w:sz w:val="24"/>
          <w:szCs w:val="24"/>
        </w:rPr>
        <w:t xml:space="preserve"> SR približne 10 rokov</w:t>
      </w:r>
      <w:r w:rsidRPr="007069A5">
        <w:rPr>
          <w:rFonts w:ascii="Times New Roman" w:hAnsi="Times New Roman" w:cs="Times New Roman"/>
          <w:sz w:val="24"/>
          <w:szCs w:val="24"/>
        </w:rPr>
        <w:t>. Ďalej</w:t>
      </w:r>
      <w:r w:rsidR="0003544C">
        <w:rPr>
          <w:rFonts w:ascii="Times New Roman" w:hAnsi="Times New Roman" w:cs="Times New Roman"/>
          <w:sz w:val="24"/>
          <w:szCs w:val="24"/>
        </w:rPr>
        <w:t xml:space="preserve"> k uvedeným nákladom boli pripočítané</w:t>
      </w:r>
      <w:r w:rsidRPr="007069A5">
        <w:rPr>
          <w:rFonts w:ascii="Times New Roman" w:hAnsi="Times New Roman" w:cs="Times New Roman"/>
          <w:sz w:val="24"/>
          <w:szCs w:val="24"/>
        </w:rPr>
        <w:t xml:space="preserve"> administratívne náklady spojené s obstaraním váh</w:t>
      </w:r>
      <w:r w:rsidR="00831690">
        <w:rPr>
          <w:rFonts w:ascii="Times New Roman" w:hAnsi="Times New Roman" w:cs="Times New Roman"/>
          <w:sz w:val="24"/>
          <w:szCs w:val="24"/>
        </w:rPr>
        <w:t xml:space="preserve"> a ich uchovávan</w:t>
      </w:r>
      <w:r w:rsidR="0003544C">
        <w:rPr>
          <w:rFonts w:ascii="Times New Roman" w:hAnsi="Times New Roman" w:cs="Times New Roman"/>
          <w:sz w:val="24"/>
          <w:szCs w:val="24"/>
        </w:rPr>
        <w:t>ím na prevádzke, časovo bola náročnosť  týchto úkonov odhadnutá na 7</w:t>
      </w:r>
      <w:r w:rsidR="009A6B6B">
        <w:rPr>
          <w:rFonts w:ascii="Times New Roman" w:hAnsi="Times New Roman" w:cs="Times New Roman"/>
          <w:sz w:val="24"/>
          <w:szCs w:val="24"/>
        </w:rPr>
        <w:t xml:space="preserve"> </w:t>
      </w:r>
      <w:r w:rsidR="0003544C">
        <w:rPr>
          <w:rFonts w:ascii="Times New Roman" w:hAnsi="Times New Roman" w:cs="Times New Roman"/>
          <w:sz w:val="24"/>
          <w:szCs w:val="24"/>
        </w:rPr>
        <w:t>890 </w:t>
      </w:r>
      <w:r w:rsidRPr="007069A5">
        <w:rPr>
          <w:rFonts w:ascii="Times New Roman" w:hAnsi="Times New Roman" w:cs="Times New Roman"/>
          <w:sz w:val="24"/>
          <w:szCs w:val="24"/>
        </w:rPr>
        <w:t>min</w:t>
      </w:r>
      <w:r w:rsidR="00EA452C">
        <w:rPr>
          <w:rFonts w:ascii="Times New Roman" w:hAnsi="Times New Roman" w:cs="Times New Roman"/>
          <w:sz w:val="24"/>
          <w:szCs w:val="24"/>
        </w:rPr>
        <w:t>.</w:t>
      </w:r>
      <w:r w:rsidR="00E74E17">
        <w:rPr>
          <w:rFonts w:ascii="Times New Roman" w:hAnsi="Times New Roman" w:cs="Times New Roman"/>
          <w:sz w:val="24"/>
          <w:szCs w:val="24"/>
        </w:rPr>
        <w:t xml:space="preserve"> pri </w:t>
      </w:r>
      <w:r w:rsidR="00B13BE6">
        <w:rPr>
          <w:rFonts w:ascii="Times New Roman" w:hAnsi="Times New Roman" w:cs="Times New Roman"/>
          <w:sz w:val="24"/>
          <w:szCs w:val="24"/>
        </w:rPr>
        <w:t>nepravidelnej frekvencii, z dôvodu, že podnikateľské subjekty používajú váhy viac ako 5 rokov</w:t>
      </w:r>
      <w:r w:rsidR="0003544C">
        <w:rPr>
          <w:rFonts w:ascii="Times New Roman" w:hAnsi="Times New Roman" w:cs="Times New Roman"/>
          <w:sz w:val="24"/>
          <w:szCs w:val="24"/>
        </w:rPr>
        <w:t>. Úspora nákladov z dôvodu zrušenia</w:t>
      </w:r>
      <w:r w:rsidRPr="007069A5">
        <w:rPr>
          <w:rFonts w:ascii="Times New Roman" w:hAnsi="Times New Roman" w:cs="Times New Roman"/>
          <w:sz w:val="24"/>
          <w:szCs w:val="24"/>
        </w:rPr>
        <w:t xml:space="preserve"> uvedene</w:t>
      </w:r>
      <w:r w:rsidR="0003544C">
        <w:rPr>
          <w:rFonts w:ascii="Times New Roman" w:hAnsi="Times New Roman" w:cs="Times New Roman"/>
          <w:sz w:val="24"/>
          <w:szCs w:val="24"/>
        </w:rPr>
        <w:t xml:space="preserve">j povinnosti predstavuje </w:t>
      </w:r>
      <w:r w:rsidR="00B13BE6">
        <w:rPr>
          <w:rFonts w:ascii="Times New Roman" w:hAnsi="Times New Roman" w:cs="Times New Roman"/>
          <w:sz w:val="24"/>
          <w:szCs w:val="24"/>
        </w:rPr>
        <w:t>42</w:t>
      </w:r>
      <w:r w:rsidR="00AC3E80">
        <w:rPr>
          <w:rFonts w:ascii="Times New Roman" w:hAnsi="Times New Roman" w:cs="Times New Roman"/>
          <w:sz w:val="24"/>
          <w:szCs w:val="24"/>
        </w:rPr>
        <w:t> </w:t>
      </w:r>
      <w:r w:rsidR="00B13BE6">
        <w:rPr>
          <w:rFonts w:ascii="Times New Roman" w:hAnsi="Times New Roman" w:cs="Times New Roman"/>
          <w:sz w:val="24"/>
          <w:szCs w:val="24"/>
        </w:rPr>
        <w:t>724</w:t>
      </w:r>
      <w:r w:rsidR="00AC3E80">
        <w:rPr>
          <w:rFonts w:ascii="Times New Roman" w:hAnsi="Times New Roman" w:cs="Times New Roman"/>
          <w:sz w:val="24"/>
          <w:szCs w:val="24"/>
        </w:rPr>
        <w:t xml:space="preserve"> eur</w:t>
      </w:r>
      <w:r w:rsidR="0003544C">
        <w:rPr>
          <w:rFonts w:ascii="Times New Roman" w:hAnsi="Times New Roman" w:cs="Times New Roman"/>
          <w:sz w:val="24"/>
          <w:szCs w:val="24"/>
        </w:rPr>
        <w:t>.</w:t>
      </w:r>
      <w:r w:rsidRPr="007069A5">
        <w:rPr>
          <w:rFonts w:ascii="Times New Roman" w:hAnsi="Times New Roman" w:cs="Times New Roman"/>
          <w:sz w:val="24"/>
          <w:szCs w:val="24"/>
        </w:rPr>
        <w:t xml:space="preserve">  </w:t>
      </w:r>
    </w:p>
    <w:p w14:paraId="6110B85F" w14:textId="41EBD422" w:rsidR="007069A5" w:rsidRPr="007069A5" w:rsidRDefault="0003544C" w:rsidP="007069A5">
      <w:pPr>
        <w:pStyle w:val="Odsekzoznamu"/>
        <w:numPr>
          <w:ilvl w:val="0"/>
          <w:numId w:val="20"/>
        </w:numPr>
        <w:shd w:val="clear" w:color="auto" w:fill="FFFFFF"/>
        <w:spacing w:line="240" w:lineRule="auto"/>
        <w:jc w:val="both"/>
        <w:rPr>
          <w:rFonts w:ascii="Times New Roman" w:hAnsi="Times New Roman" w:cs="Times New Roman"/>
          <w:sz w:val="24"/>
          <w:szCs w:val="24"/>
        </w:rPr>
      </w:pPr>
      <w:r>
        <w:rPr>
          <w:rFonts w:ascii="Times New Roman" w:hAnsi="Times New Roman" w:cs="Times New Roman"/>
          <w:b/>
          <w:bCs/>
          <w:i/>
          <w:iCs/>
          <w:sz w:val="24"/>
          <w:szCs w:val="24"/>
          <w:u w:val="single"/>
        </w:rPr>
        <w:t>Z</w:t>
      </w:r>
      <w:r w:rsidR="007069A5" w:rsidRPr="007069A5">
        <w:rPr>
          <w:rFonts w:ascii="Times New Roman" w:hAnsi="Times New Roman" w:cs="Times New Roman"/>
          <w:b/>
          <w:bCs/>
          <w:i/>
          <w:iCs/>
          <w:sz w:val="24"/>
          <w:szCs w:val="24"/>
          <w:u w:val="single"/>
        </w:rPr>
        <w:t>rušenie povinnosti overovania váh</w:t>
      </w:r>
    </w:p>
    <w:p w14:paraId="597DEFD9" w14:textId="3B7659F7" w:rsidR="007069A5" w:rsidRPr="007069A5" w:rsidRDefault="0003544C" w:rsidP="007069A5">
      <w:pPr>
        <w:shd w:val="clear" w:color="auto" w:fill="FFFFFF"/>
        <w:jc w:val="both"/>
        <w:rPr>
          <w:rFonts w:ascii="Times New Roman" w:hAnsi="Times New Roman" w:cs="Times New Roman"/>
          <w:color w:val="A5A5A5"/>
          <w:sz w:val="24"/>
          <w:szCs w:val="24"/>
        </w:rPr>
      </w:pPr>
      <w:r>
        <w:rPr>
          <w:rFonts w:ascii="Times New Roman" w:hAnsi="Times New Roman" w:cs="Times New Roman"/>
          <w:sz w:val="24"/>
          <w:szCs w:val="24"/>
        </w:rPr>
        <w:t>Na základe vyhlášky č. 161/2019 Z. z.</w:t>
      </w:r>
      <w:r w:rsidR="007069A5" w:rsidRPr="007069A5">
        <w:rPr>
          <w:rFonts w:ascii="Times New Roman" w:hAnsi="Times New Roman" w:cs="Times New Roman"/>
          <w:sz w:val="24"/>
          <w:szCs w:val="24"/>
        </w:rPr>
        <w:t xml:space="preserve"> o</w:t>
      </w:r>
      <w:r>
        <w:rPr>
          <w:rFonts w:ascii="Times New Roman" w:hAnsi="Times New Roman" w:cs="Times New Roman"/>
          <w:sz w:val="24"/>
          <w:szCs w:val="24"/>
        </w:rPr>
        <w:t> </w:t>
      </w:r>
      <w:r w:rsidR="007069A5" w:rsidRPr="007069A5">
        <w:rPr>
          <w:rFonts w:ascii="Times New Roman" w:hAnsi="Times New Roman" w:cs="Times New Roman"/>
          <w:sz w:val="24"/>
          <w:szCs w:val="24"/>
        </w:rPr>
        <w:t>meradlách</w:t>
      </w:r>
      <w:r>
        <w:rPr>
          <w:rFonts w:ascii="Times New Roman" w:hAnsi="Times New Roman" w:cs="Times New Roman"/>
          <w:sz w:val="24"/>
          <w:szCs w:val="24"/>
        </w:rPr>
        <w:t xml:space="preserve"> a metrologickej kontrole</w:t>
      </w:r>
      <w:r w:rsidR="007069A5" w:rsidRPr="007069A5">
        <w:rPr>
          <w:rFonts w:ascii="Times New Roman" w:hAnsi="Times New Roman" w:cs="Times New Roman"/>
          <w:sz w:val="24"/>
          <w:szCs w:val="24"/>
        </w:rPr>
        <w:t xml:space="preserve"> je potrebné overovať </w:t>
      </w:r>
      <w:r>
        <w:rPr>
          <w:rFonts w:ascii="Times New Roman" w:hAnsi="Times New Roman" w:cs="Times New Roman"/>
          <w:sz w:val="24"/>
          <w:szCs w:val="24"/>
        </w:rPr>
        <w:t xml:space="preserve">vyššie </w:t>
      </w:r>
      <w:r w:rsidR="007069A5" w:rsidRPr="007069A5">
        <w:rPr>
          <w:rFonts w:ascii="Times New Roman" w:hAnsi="Times New Roman" w:cs="Times New Roman"/>
          <w:sz w:val="24"/>
          <w:szCs w:val="24"/>
        </w:rPr>
        <w:t xml:space="preserve">uvedené váhy každé 2 roky. Cena za overenie predstavuje podľa cenníka Slovenskej legálnej metrológie cca 80 </w:t>
      </w:r>
      <w:r>
        <w:rPr>
          <w:rFonts w:ascii="Times New Roman" w:hAnsi="Times New Roman" w:cs="Times New Roman"/>
          <w:sz w:val="24"/>
          <w:szCs w:val="24"/>
        </w:rPr>
        <w:t>eur</w:t>
      </w:r>
      <w:r w:rsidR="007069A5" w:rsidRPr="007069A5">
        <w:rPr>
          <w:rFonts w:ascii="Times New Roman" w:hAnsi="Times New Roman" w:cs="Times New Roman"/>
          <w:sz w:val="24"/>
          <w:szCs w:val="24"/>
        </w:rPr>
        <w:t>. Frekvencia uvedenej povinnosti je</w:t>
      </w:r>
      <w:r>
        <w:rPr>
          <w:rFonts w:ascii="Times New Roman" w:hAnsi="Times New Roman" w:cs="Times New Roman"/>
          <w:sz w:val="24"/>
          <w:szCs w:val="24"/>
        </w:rPr>
        <w:t xml:space="preserve"> každé</w:t>
      </w:r>
      <w:r w:rsidR="007069A5" w:rsidRPr="007069A5">
        <w:rPr>
          <w:rFonts w:ascii="Times New Roman" w:hAnsi="Times New Roman" w:cs="Times New Roman"/>
          <w:sz w:val="24"/>
          <w:szCs w:val="24"/>
        </w:rPr>
        <w:t xml:space="preserve"> 2 roky</w:t>
      </w:r>
      <w:r>
        <w:rPr>
          <w:rFonts w:ascii="Times New Roman" w:hAnsi="Times New Roman" w:cs="Times New Roman"/>
          <w:sz w:val="24"/>
          <w:szCs w:val="24"/>
        </w:rPr>
        <w:t>, z čoho vyplynula 100 dotknutým subjektom úspora  nákladov vo výške 4</w:t>
      </w:r>
      <w:r w:rsidR="009A6B6B">
        <w:rPr>
          <w:rFonts w:ascii="Times New Roman" w:hAnsi="Times New Roman" w:cs="Times New Roman"/>
          <w:sz w:val="24"/>
          <w:szCs w:val="24"/>
        </w:rPr>
        <w:t xml:space="preserve"> </w:t>
      </w:r>
      <w:r>
        <w:rPr>
          <w:rFonts w:ascii="Times New Roman" w:hAnsi="Times New Roman" w:cs="Times New Roman"/>
          <w:sz w:val="24"/>
          <w:szCs w:val="24"/>
        </w:rPr>
        <w:t>000 eur</w:t>
      </w:r>
      <w:r w:rsidR="007069A5" w:rsidRPr="007069A5">
        <w:rPr>
          <w:rFonts w:ascii="Times New Roman" w:hAnsi="Times New Roman" w:cs="Times New Roman"/>
          <w:sz w:val="24"/>
          <w:szCs w:val="24"/>
        </w:rPr>
        <w:t xml:space="preserve">. </w:t>
      </w:r>
    </w:p>
    <w:p w14:paraId="4F6741C8" w14:textId="576817E9" w:rsidR="007069A5" w:rsidRPr="007069A5" w:rsidRDefault="007069A5" w:rsidP="007069A5">
      <w:pPr>
        <w:pStyle w:val="Odsekzoznamu"/>
        <w:numPr>
          <w:ilvl w:val="0"/>
          <w:numId w:val="20"/>
        </w:numPr>
        <w:shd w:val="clear" w:color="auto" w:fill="FFFFFF"/>
        <w:jc w:val="both"/>
        <w:rPr>
          <w:rFonts w:ascii="Times New Roman" w:hAnsi="Times New Roman" w:cs="Times New Roman"/>
          <w:sz w:val="24"/>
          <w:szCs w:val="24"/>
        </w:rPr>
      </w:pPr>
      <w:r w:rsidRPr="007069A5">
        <w:rPr>
          <w:rFonts w:ascii="Times New Roman" w:hAnsi="Times New Roman" w:cs="Times New Roman"/>
          <w:b/>
          <w:bCs/>
          <w:i/>
          <w:iCs/>
          <w:sz w:val="24"/>
          <w:szCs w:val="24"/>
          <w:u w:val="single"/>
        </w:rPr>
        <w:t>Zrušenie povinnosti značiť podlimitný tovar zodpovednostnou značkou</w:t>
      </w:r>
    </w:p>
    <w:p w14:paraId="47DAEF8E" w14:textId="48750C2A" w:rsidR="007069A5" w:rsidRPr="007069A5" w:rsidRDefault="007069A5" w:rsidP="007069A5">
      <w:pPr>
        <w:shd w:val="clear" w:color="auto" w:fill="FFFFFF"/>
        <w:jc w:val="both"/>
        <w:rPr>
          <w:rFonts w:ascii="Times New Roman" w:hAnsi="Times New Roman" w:cs="Times New Roman"/>
          <w:sz w:val="24"/>
          <w:szCs w:val="24"/>
        </w:rPr>
      </w:pPr>
      <w:r w:rsidRPr="007069A5">
        <w:rPr>
          <w:rFonts w:ascii="Times New Roman" w:hAnsi="Times New Roman" w:cs="Times New Roman"/>
          <w:sz w:val="24"/>
          <w:szCs w:val="24"/>
        </w:rPr>
        <w:t>Pri kvantifik</w:t>
      </w:r>
      <w:r w:rsidR="009A6B6B">
        <w:rPr>
          <w:rFonts w:ascii="Times New Roman" w:hAnsi="Times New Roman" w:cs="Times New Roman"/>
          <w:sz w:val="24"/>
          <w:szCs w:val="24"/>
        </w:rPr>
        <w:t>ácii sa vychádzalo  z údajov PÚ SR o množstve </w:t>
      </w:r>
      <w:r w:rsidRPr="007069A5">
        <w:rPr>
          <w:rFonts w:ascii="Times New Roman" w:hAnsi="Times New Roman" w:cs="Times New Roman"/>
          <w:sz w:val="24"/>
          <w:szCs w:val="24"/>
        </w:rPr>
        <w:t xml:space="preserve">tovaru označeného zodpovednostnou značkou a cenou za </w:t>
      </w:r>
      <w:r w:rsidR="009A6B6B">
        <w:rPr>
          <w:rFonts w:ascii="Times New Roman" w:hAnsi="Times New Roman" w:cs="Times New Roman"/>
          <w:sz w:val="24"/>
          <w:szCs w:val="24"/>
        </w:rPr>
        <w:t xml:space="preserve">značenie 1 ks. Uvedená suma ušetrených </w:t>
      </w:r>
      <w:r w:rsidRPr="007069A5">
        <w:rPr>
          <w:rFonts w:ascii="Times New Roman" w:hAnsi="Times New Roman" w:cs="Times New Roman"/>
          <w:sz w:val="24"/>
          <w:szCs w:val="24"/>
        </w:rPr>
        <w:t xml:space="preserve">nákladov </w:t>
      </w:r>
      <w:r w:rsidR="00EA452C">
        <w:rPr>
          <w:rFonts w:ascii="Times New Roman" w:hAnsi="Times New Roman" w:cs="Times New Roman"/>
          <w:sz w:val="24"/>
          <w:szCs w:val="24"/>
        </w:rPr>
        <w:t xml:space="preserve"> prepočítaná na</w:t>
      </w:r>
      <w:r w:rsidRPr="007069A5">
        <w:rPr>
          <w:rFonts w:ascii="Times New Roman" w:hAnsi="Times New Roman" w:cs="Times New Roman"/>
          <w:sz w:val="24"/>
          <w:szCs w:val="24"/>
        </w:rPr>
        <w:t xml:space="preserve"> 3000 </w:t>
      </w:r>
      <w:r w:rsidR="00EA452C">
        <w:rPr>
          <w:rFonts w:ascii="Times New Roman" w:hAnsi="Times New Roman" w:cs="Times New Roman"/>
          <w:sz w:val="24"/>
          <w:szCs w:val="24"/>
        </w:rPr>
        <w:t xml:space="preserve">dotknutých subjektov </w:t>
      </w:r>
      <w:r w:rsidRPr="007069A5">
        <w:rPr>
          <w:rFonts w:ascii="Times New Roman" w:hAnsi="Times New Roman" w:cs="Times New Roman"/>
          <w:sz w:val="24"/>
          <w:szCs w:val="24"/>
        </w:rPr>
        <w:t xml:space="preserve">(expertný odhad podľa registra obchodníkov s drahými kovmi). K nepriamym finančným nákladom </w:t>
      </w:r>
      <w:r w:rsidR="00EA452C">
        <w:rPr>
          <w:rFonts w:ascii="Times New Roman" w:hAnsi="Times New Roman" w:cs="Times New Roman"/>
          <w:sz w:val="24"/>
          <w:szCs w:val="24"/>
        </w:rPr>
        <w:t>boli následne pripočítané</w:t>
      </w:r>
      <w:r w:rsidRPr="007069A5">
        <w:rPr>
          <w:rFonts w:ascii="Times New Roman" w:hAnsi="Times New Roman" w:cs="Times New Roman"/>
          <w:sz w:val="24"/>
          <w:szCs w:val="24"/>
        </w:rPr>
        <w:t xml:space="preserve"> administratívne náklady spojené s prípravou tovaru</w:t>
      </w:r>
      <w:r w:rsidR="00EA452C">
        <w:rPr>
          <w:rFonts w:ascii="Times New Roman" w:hAnsi="Times New Roman" w:cs="Times New Roman"/>
          <w:sz w:val="24"/>
          <w:szCs w:val="24"/>
        </w:rPr>
        <w:t xml:space="preserve"> na puncovanie (</w:t>
      </w:r>
      <w:r w:rsidRPr="007069A5">
        <w:rPr>
          <w:rFonts w:ascii="Times New Roman" w:hAnsi="Times New Roman" w:cs="Times New Roman"/>
          <w:sz w:val="24"/>
          <w:szCs w:val="24"/>
        </w:rPr>
        <w:t>triedenie, b</w:t>
      </w:r>
      <w:r w:rsidR="00EA452C">
        <w:rPr>
          <w:rFonts w:ascii="Times New Roman" w:hAnsi="Times New Roman" w:cs="Times New Roman"/>
          <w:sz w:val="24"/>
          <w:szCs w:val="24"/>
        </w:rPr>
        <w:t>alenie, počítanie, odovzdanie PÚ SR a prebratie od PÚ SR), pričom sa pri časovej náročnosti stanovenej na 250 min. vychádzalo</w:t>
      </w:r>
      <w:r w:rsidRPr="007069A5">
        <w:rPr>
          <w:rFonts w:ascii="Times New Roman" w:hAnsi="Times New Roman" w:cs="Times New Roman"/>
          <w:sz w:val="24"/>
          <w:szCs w:val="24"/>
        </w:rPr>
        <w:t xml:space="preserve"> z expertného odhadu </w:t>
      </w:r>
      <w:r w:rsidR="00EA452C">
        <w:rPr>
          <w:rFonts w:ascii="Times New Roman" w:hAnsi="Times New Roman" w:cs="Times New Roman"/>
          <w:sz w:val="24"/>
          <w:szCs w:val="24"/>
        </w:rPr>
        <w:t xml:space="preserve">a frekvencia bola stanovená raz ročne (tovar sa puncuje len raz </w:t>
      </w:r>
      <w:r w:rsidRPr="007069A5">
        <w:rPr>
          <w:rFonts w:ascii="Times New Roman" w:hAnsi="Times New Roman" w:cs="Times New Roman"/>
          <w:sz w:val="24"/>
          <w:szCs w:val="24"/>
        </w:rPr>
        <w:t>počas roka</w:t>
      </w:r>
      <w:r w:rsidR="00EA452C">
        <w:rPr>
          <w:rFonts w:ascii="Times New Roman" w:hAnsi="Times New Roman" w:cs="Times New Roman"/>
          <w:sz w:val="24"/>
          <w:szCs w:val="24"/>
        </w:rPr>
        <w:t>)</w:t>
      </w:r>
      <w:r w:rsidRPr="007069A5">
        <w:rPr>
          <w:rFonts w:ascii="Times New Roman" w:hAnsi="Times New Roman" w:cs="Times New Roman"/>
          <w:sz w:val="24"/>
          <w:szCs w:val="24"/>
        </w:rPr>
        <w:t xml:space="preserve">. Zrušenie uvedenej povinnosti znížilo náklady </w:t>
      </w:r>
      <w:r w:rsidR="007B77FE">
        <w:rPr>
          <w:rFonts w:ascii="Times New Roman" w:hAnsi="Times New Roman" w:cs="Times New Roman"/>
          <w:sz w:val="24"/>
          <w:szCs w:val="24"/>
        </w:rPr>
        <w:t>3 000 podnikateľských subjektov</w:t>
      </w:r>
      <w:r w:rsidR="0051727F">
        <w:rPr>
          <w:rFonts w:ascii="Times New Roman" w:hAnsi="Times New Roman" w:cs="Times New Roman"/>
          <w:sz w:val="24"/>
          <w:szCs w:val="24"/>
        </w:rPr>
        <w:t xml:space="preserve"> vo výške 140 734 eur</w:t>
      </w:r>
      <w:r w:rsidRPr="007069A5">
        <w:rPr>
          <w:rFonts w:ascii="Times New Roman" w:hAnsi="Times New Roman" w:cs="Times New Roman"/>
          <w:sz w:val="24"/>
          <w:szCs w:val="24"/>
        </w:rPr>
        <w:t xml:space="preserve">. </w:t>
      </w:r>
    </w:p>
    <w:p w14:paraId="3524F074" w14:textId="4794BDD0" w:rsidR="007069A5" w:rsidRPr="00286508" w:rsidRDefault="001A4C95" w:rsidP="007069A5">
      <w:pPr>
        <w:pStyle w:val="Odsekzoznamu"/>
        <w:numPr>
          <w:ilvl w:val="0"/>
          <w:numId w:val="18"/>
        </w:numPr>
        <w:spacing w:after="240" w:line="240" w:lineRule="auto"/>
        <w:jc w:val="both"/>
        <w:rPr>
          <w:rFonts w:ascii="Times New Roman" w:hAnsi="Times New Roman" w:cs="Times New Roman"/>
          <w:b/>
          <w:bCs/>
          <w:i/>
          <w:iCs/>
          <w:sz w:val="24"/>
          <w:szCs w:val="24"/>
          <w:u w:val="single"/>
        </w:rPr>
      </w:pPr>
      <w:r w:rsidRPr="00286508">
        <w:rPr>
          <w:rFonts w:ascii="Times New Roman" w:hAnsi="Times New Roman" w:cs="Times New Roman"/>
          <w:b/>
          <w:bCs/>
          <w:i/>
          <w:iCs/>
          <w:sz w:val="24"/>
          <w:szCs w:val="24"/>
          <w:u w:val="single"/>
        </w:rPr>
        <w:t xml:space="preserve">Zrušenie povinnosti </w:t>
      </w:r>
      <w:r w:rsidR="007069A5" w:rsidRPr="00286508">
        <w:rPr>
          <w:rFonts w:ascii="Times New Roman" w:hAnsi="Times New Roman" w:cs="Times New Roman"/>
          <w:b/>
          <w:bCs/>
          <w:i/>
          <w:iCs/>
          <w:sz w:val="24"/>
          <w:szCs w:val="24"/>
          <w:u w:val="single"/>
        </w:rPr>
        <w:t>puncovania strieborného tovaru do 3 g</w:t>
      </w:r>
    </w:p>
    <w:p w14:paraId="03A1C7E4" w14:textId="0A85C3A9" w:rsidR="00833B72" w:rsidRPr="00833B72" w:rsidRDefault="00833B72" w:rsidP="00833B72">
      <w:pPr>
        <w:shd w:val="clear" w:color="auto" w:fill="FFFFFF"/>
        <w:jc w:val="both"/>
        <w:rPr>
          <w:rFonts w:ascii="Times New Roman" w:hAnsi="Times New Roman" w:cs="Times New Roman"/>
          <w:sz w:val="24"/>
          <w:szCs w:val="24"/>
        </w:rPr>
      </w:pPr>
      <w:r w:rsidRPr="00833B72">
        <w:rPr>
          <w:rFonts w:ascii="Times New Roman" w:hAnsi="Times New Roman" w:cs="Times New Roman"/>
          <w:sz w:val="24"/>
          <w:szCs w:val="24"/>
        </w:rPr>
        <w:t>Na základe expertného vyjadrenia PÚ SR sa po zvýšení limitu na puncovanie strieborného tovaru zníži počet puncovaných strieborných tovarov o 40 000 kusov, čo pri 3 g priemernej váhy puncovaného tovaru predstavuje zníženie o 120 000 g. Priemerný úbytok hmotnosti tovaru 3 g, ktorý už nebude predmetom puncovania, je vypočítaný ako priemer váh 2,49 g – 3,49 g (</w:t>
      </w:r>
      <w:r w:rsidR="00A47322">
        <w:rPr>
          <w:rFonts w:ascii="Times New Roman" w:hAnsi="Times New Roman" w:cs="Times New Roman"/>
          <w:sz w:val="24"/>
          <w:szCs w:val="24"/>
        </w:rPr>
        <w:t>keďže</w:t>
      </w:r>
      <w:r w:rsidRPr="00833B72">
        <w:rPr>
          <w:rFonts w:ascii="Times New Roman" w:hAnsi="Times New Roman" w:cs="Times New Roman"/>
          <w:sz w:val="24"/>
          <w:szCs w:val="24"/>
        </w:rPr>
        <w:t xml:space="preserve"> pri určovaní hmotnosti strieborného </w:t>
      </w:r>
      <w:r w:rsidRPr="00833B72">
        <w:rPr>
          <w:rFonts w:ascii="Times New Roman" w:hAnsi="Times New Roman" w:cs="Times New Roman"/>
          <w:sz w:val="24"/>
          <w:szCs w:val="24"/>
        </w:rPr>
        <w:lastRenderedPageBreak/>
        <w:t>tovaru pri limite 2 g na celé gramy bola podľa pravidiel matematického zaokrúhľovania tolerancia nahor pri striebornom tovare do 2,49 g, po zvýšení limitu na 3</w:t>
      </w:r>
      <w:r w:rsidR="007113AD">
        <w:rPr>
          <w:rFonts w:ascii="Times New Roman" w:hAnsi="Times New Roman" w:cs="Times New Roman"/>
          <w:sz w:val="24"/>
          <w:szCs w:val="24"/>
        </w:rPr>
        <w:t xml:space="preserve"> </w:t>
      </w:r>
      <w:r w:rsidRPr="00833B72">
        <w:rPr>
          <w:rFonts w:ascii="Times New Roman" w:hAnsi="Times New Roman" w:cs="Times New Roman"/>
          <w:sz w:val="24"/>
          <w:szCs w:val="24"/>
        </w:rPr>
        <w:t>g to bude 3,49).</w:t>
      </w:r>
    </w:p>
    <w:p w14:paraId="321D715B" w14:textId="719404BA" w:rsidR="00833B72" w:rsidRPr="00833B72" w:rsidRDefault="00833B72" w:rsidP="00833B72">
      <w:pPr>
        <w:shd w:val="clear" w:color="auto" w:fill="FFFFFF"/>
        <w:jc w:val="both"/>
        <w:rPr>
          <w:rFonts w:ascii="Times New Roman" w:hAnsi="Times New Roman" w:cs="Times New Roman"/>
          <w:sz w:val="24"/>
          <w:szCs w:val="24"/>
        </w:rPr>
      </w:pPr>
      <w:r w:rsidRPr="00833B72">
        <w:rPr>
          <w:rFonts w:ascii="Times New Roman" w:hAnsi="Times New Roman" w:cs="Times New Roman"/>
          <w:sz w:val="24"/>
          <w:szCs w:val="24"/>
        </w:rPr>
        <w:t>Navýšenie limitu pre puncovanie strieborných tovarov bude predstavovať zníženie finančných nákl</w:t>
      </w:r>
      <w:r w:rsidR="007113AD">
        <w:rPr>
          <w:rFonts w:ascii="Times New Roman" w:hAnsi="Times New Roman" w:cs="Times New Roman"/>
          <w:sz w:val="24"/>
          <w:szCs w:val="24"/>
        </w:rPr>
        <w:t>adov pre podnikateľov o 14 000 eur</w:t>
      </w:r>
      <w:r w:rsidRPr="00833B72">
        <w:rPr>
          <w:rFonts w:ascii="Times New Roman" w:hAnsi="Times New Roman" w:cs="Times New Roman"/>
          <w:sz w:val="24"/>
          <w:szCs w:val="24"/>
        </w:rPr>
        <w:t>. Do výpočtu sa započítalo zrušenie povinnosti označiť tieto podlimitné tovary puncovou značkou, čo pri počte 40 000 ks a výške p</w:t>
      </w:r>
      <w:r w:rsidR="007113AD">
        <w:rPr>
          <w:rFonts w:ascii="Times New Roman" w:hAnsi="Times New Roman" w:cs="Times New Roman"/>
          <w:sz w:val="24"/>
          <w:szCs w:val="24"/>
        </w:rPr>
        <w:t>oplatku 0,20 eur</w:t>
      </w:r>
      <w:r w:rsidRPr="00833B72">
        <w:rPr>
          <w:rFonts w:ascii="Times New Roman" w:hAnsi="Times New Roman" w:cs="Times New Roman"/>
          <w:sz w:val="24"/>
          <w:szCs w:val="24"/>
        </w:rPr>
        <w:t xml:space="preserve"> za </w:t>
      </w:r>
      <w:r w:rsidR="007113AD">
        <w:rPr>
          <w:rFonts w:ascii="Times New Roman" w:hAnsi="Times New Roman" w:cs="Times New Roman"/>
          <w:sz w:val="24"/>
          <w:szCs w:val="24"/>
        </w:rPr>
        <w:t>kus predstavuje úsporu 8 000 eur</w:t>
      </w:r>
      <w:r w:rsidRPr="00833B72">
        <w:rPr>
          <w:rFonts w:ascii="Times New Roman" w:hAnsi="Times New Roman" w:cs="Times New Roman"/>
          <w:sz w:val="24"/>
          <w:szCs w:val="24"/>
        </w:rPr>
        <w:t>. Ďalšiu úsporu pri zvýšení limitu predstavuje skúšanie rýdzosti tovaru nedeštruktívnou metódou, ktoré bolo povinnou súčasťou pri označovaní tovarov puncovou značkou, čo</w:t>
      </w:r>
      <w:r w:rsidR="007113AD">
        <w:rPr>
          <w:rFonts w:ascii="Times New Roman" w:hAnsi="Times New Roman" w:cs="Times New Roman"/>
          <w:sz w:val="24"/>
          <w:szCs w:val="24"/>
        </w:rPr>
        <w:t xml:space="preserve"> pri 120 000 g a poplatku 0,05 eur</w:t>
      </w:r>
      <w:r w:rsidRPr="00833B72">
        <w:rPr>
          <w:rFonts w:ascii="Times New Roman" w:hAnsi="Times New Roman" w:cs="Times New Roman"/>
          <w:sz w:val="24"/>
          <w:szCs w:val="24"/>
        </w:rPr>
        <w:t xml:space="preserve"> za 1 gr</w:t>
      </w:r>
      <w:r w:rsidR="007113AD">
        <w:rPr>
          <w:rFonts w:ascii="Times New Roman" w:hAnsi="Times New Roman" w:cs="Times New Roman"/>
          <w:sz w:val="24"/>
          <w:szCs w:val="24"/>
        </w:rPr>
        <w:t>am predstavuje 6 000 eur</w:t>
      </w:r>
      <w:r w:rsidRPr="00833B72">
        <w:rPr>
          <w:rFonts w:ascii="Times New Roman" w:hAnsi="Times New Roman" w:cs="Times New Roman"/>
          <w:sz w:val="24"/>
          <w:szCs w:val="24"/>
        </w:rPr>
        <w:t>.</w:t>
      </w:r>
    </w:p>
    <w:p w14:paraId="35649F4F" w14:textId="35AB13AF" w:rsidR="007069A5" w:rsidRDefault="00833B72" w:rsidP="00833B72">
      <w:pPr>
        <w:shd w:val="clear" w:color="auto" w:fill="FFFFFF"/>
        <w:jc w:val="both"/>
        <w:rPr>
          <w:rFonts w:ascii="Times New Roman" w:hAnsi="Times New Roman" w:cs="Times New Roman"/>
          <w:sz w:val="24"/>
          <w:szCs w:val="24"/>
        </w:rPr>
      </w:pPr>
      <w:r w:rsidRPr="00833B72">
        <w:rPr>
          <w:rFonts w:ascii="Times New Roman" w:hAnsi="Times New Roman" w:cs="Times New Roman"/>
          <w:sz w:val="24"/>
          <w:szCs w:val="24"/>
        </w:rPr>
        <w:t>Uvedené poplatky boli kalkulačkou nákladov na podnikateľské prostredie prepočítané na počet 3 000 subjektov pôsobiacich v odvetví (expertný odhad podľa registra obchodníkov s drahými kovmi). Rovnako sa v kalkulačke pripočítali aj administratívne náklady podnikateľov spojené s prípravou a predložením tovaru na puncovú kontrolu a jeho následné prebratie, časová náročnosť tejto povinnosti bola expertne stanovená na 400 min., pričom frekv</w:t>
      </w:r>
      <w:r w:rsidR="007113AD">
        <w:rPr>
          <w:rFonts w:ascii="Times New Roman" w:hAnsi="Times New Roman" w:cs="Times New Roman"/>
          <w:sz w:val="24"/>
          <w:szCs w:val="24"/>
        </w:rPr>
        <w:t>encia bola stanovená jedenkrát ročne</w:t>
      </w:r>
      <w:r w:rsidRPr="00833B72">
        <w:rPr>
          <w:rFonts w:ascii="Times New Roman" w:hAnsi="Times New Roman" w:cs="Times New Roman"/>
          <w:sz w:val="24"/>
          <w:szCs w:val="24"/>
        </w:rPr>
        <w:t xml:space="preserve"> (tovar sa puncuje len raz ročne)</w:t>
      </w:r>
      <w:r w:rsidR="007113AD">
        <w:rPr>
          <w:rFonts w:ascii="Times New Roman" w:hAnsi="Times New Roman" w:cs="Times New Roman"/>
          <w:sz w:val="24"/>
          <w:szCs w:val="24"/>
        </w:rPr>
        <w:t xml:space="preserve">. </w:t>
      </w:r>
      <w:r w:rsidRPr="00833B72">
        <w:rPr>
          <w:rFonts w:ascii="Times New Roman" w:hAnsi="Times New Roman" w:cs="Times New Roman"/>
          <w:sz w:val="24"/>
          <w:szCs w:val="24"/>
        </w:rPr>
        <w:t>Zrušenie predmetnej povinnosti predstavuje pre 3 000 podnikateľských subjektov celkovú úsporu vo výške 234 475 eur.</w:t>
      </w:r>
    </w:p>
    <w:p w14:paraId="020C0341" w14:textId="14030D12" w:rsidR="007069A5" w:rsidRPr="004A0891" w:rsidRDefault="007069A5" w:rsidP="004A0891">
      <w:pPr>
        <w:pStyle w:val="Odsekzoznamu"/>
        <w:numPr>
          <w:ilvl w:val="0"/>
          <w:numId w:val="18"/>
        </w:numPr>
        <w:shd w:val="clear" w:color="auto" w:fill="FFFFFF"/>
        <w:jc w:val="both"/>
        <w:rPr>
          <w:rFonts w:ascii="Times New Roman" w:hAnsi="Times New Roman" w:cs="Times New Roman"/>
          <w:b/>
          <w:bCs/>
          <w:sz w:val="24"/>
          <w:szCs w:val="24"/>
          <w:u w:val="single"/>
        </w:rPr>
      </w:pPr>
      <w:r w:rsidRPr="004A0891">
        <w:rPr>
          <w:rFonts w:ascii="Times New Roman" w:hAnsi="Times New Roman" w:cs="Times New Roman"/>
          <w:b/>
          <w:bCs/>
          <w:i/>
          <w:iCs/>
          <w:sz w:val="24"/>
          <w:szCs w:val="24"/>
          <w:u w:val="single"/>
        </w:rPr>
        <w:t>Zrušenie povinnosti puncovania zlatého a platinového tovaru do 1g</w:t>
      </w:r>
    </w:p>
    <w:p w14:paraId="716F742C" w14:textId="77777777" w:rsidR="007113AD" w:rsidRDefault="007113AD" w:rsidP="007113AD">
      <w:pPr>
        <w:spacing w:after="240"/>
        <w:jc w:val="both"/>
        <w:rPr>
          <w:rFonts w:ascii="Times New Roman" w:hAnsi="Times New Roman" w:cs="Times New Roman"/>
          <w:sz w:val="24"/>
          <w:szCs w:val="24"/>
        </w:rPr>
      </w:pPr>
      <w:r w:rsidRPr="00833B72">
        <w:rPr>
          <w:rFonts w:ascii="Times New Roman" w:hAnsi="Times New Roman" w:cs="Times New Roman"/>
          <w:sz w:val="24"/>
          <w:szCs w:val="24"/>
        </w:rPr>
        <w:t xml:space="preserve">Na základe expertného vyjadrenia PÚ SR sa po zvýšení limitu na puncovanie </w:t>
      </w:r>
      <w:r>
        <w:rPr>
          <w:rFonts w:ascii="Times New Roman" w:hAnsi="Times New Roman" w:cs="Times New Roman"/>
          <w:sz w:val="24"/>
          <w:szCs w:val="24"/>
        </w:rPr>
        <w:t>zlatého</w:t>
      </w:r>
      <w:r w:rsidRPr="00833B72">
        <w:rPr>
          <w:rFonts w:ascii="Times New Roman" w:hAnsi="Times New Roman" w:cs="Times New Roman"/>
          <w:sz w:val="24"/>
          <w:szCs w:val="24"/>
        </w:rPr>
        <w:t xml:space="preserve"> tovaru zníži počet</w:t>
      </w:r>
      <w:r>
        <w:rPr>
          <w:rFonts w:ascii="Times New Roman" w:hAnsi="Times New Roman" w:cs="Times New Roman"/>
          <w:sz w:val="24"/>
          <w:szCs w:val="24"/>
        </w:rPr>
        <w:t xml:space="preserve"> zlatých</w:t>
      </w:r>
      <w:r w:rsidRPr="00833B72">
        <w:rPr>
          <w:rFonts w:ascii="Times New Roman" w:hAnsi="Times New Roman" w:cs="Times New Roman"/>
          <w:sz w:val="24"/>
          <w:szCs w:val="24"/>
        </w:rPr>
        <w:t xml:space="preserve"> puncovaných</w:t>
      </w:r>
      <w:r>
        <w:rPr>
          <w:rFonts w:ascii="Times New Roman" w:hAnsi="Times New Roman" w:cs="Times New Roman"/>
          <w:sz w:val="24"/>
          <w:szCs w:val="24"/>
        </w:rPr>
        <w:t xml:space="preserve"> tovarov </w:t>
      </w:r>
      <w:r w:rsidR="007069A5" w:rsidRPr="007069A5">
        <w:rPr>
          <w:rFonts w:ascii="Times New Roman" w:hAnsi="Times New Roman" w:cs="Times New Roman"/>
          <w:sz w:val="24"/>
          <w:szCs w:val="24"/>
        </w:rPr>
        <w:t>o</w:t>
      </w:r>
      <w:r>
        <w:rPr>
          <w:rFonts w:ascii="Times New Roman" w:hAnsi="Times New Roman" w:cs="Times New Roman"/>
          <w:sz w:val="24"/>
          <w:szCs w:val="24"/>
        </w:rPr>
        <w:t> </w:t>
      </w:r>
      <w:r w:rsidR="007069A5" w:rsidRPr="007069A5">
        <w:rPr>
          <w:rFonts w:ascii="Times New Roman" w:hAnsi="Times New Roman" w:cs="Times New Roman"/>
          <w:sz w:val="24"/>
          <w:szCs w:val="24"/>
        </w:rPr>
        <w:t>15</w:t>
      </w:r>
      <w:r>
        <w:rPr>
          <w:rFonts w:ascii="Times New Roman" w:hAnsi="Times New Roman" w:cs="Times New Roman"/>
          <w:sz w:val="24"/>
          <w:szCs w:val="24"/>
        </w:rPr>
        <w:t xml:space="preserve"> </w:t>
      </w:r>
      <w:r w:rsidR="007069A5" w:rsidRPr="007069A5">
        <w:rPr>
          <w:rFonts w:ascii="Times New Roman" w:hAnsi="Times New Roman" w:cs="Times New Roman"/>
          <w:sz w:val="24"/>
          <w:szCs w:val="24"/>
        </w:rPr>
        <w:t xml:space="preserve">000 kusov. Priemerný úbytok hmotnosti tovaru, ktorý už nebude predmetom puncovania, je vypočítaný ako priemer váh 0,5 g – 1 g (podľa pravidiel matematického zaokrúhľovania), predstavuje zníženie o 12 000 g. </w:t>
      </w:r>
    </w:p>
    <w:p w14:paraId="09E94175" w14:textId="19CFFB4E" w:rsidR="007113AD" w:rsidRPr="007113AD" w:rsidRDefault="007113AD" w:rsidP="007113AD">
      <w:pPr>
        <w:spacing w:before="100" w:beforeAutospacing="1" w:after="240" w:line="240" w:lineRule="auto"/>
        <w:jc w:val="both"/>
        <w:rPr>
          <w:rFonts w:ascii="Times New Roman" w:eastAsia="Times New Roman" w:hAnsi="Times New Roman" w:cs="Times New Roman"/>
          <w:sz w:val="24"/>
          <w:szCs w:val="24"/>
          <w:lang w:eastAsia="sk-SK"/>
        </w:rPr>
      </w:pPr>
      <w:r w:rsidRPr="007113AD">
        <w:rPr>
          <w:rFonts w:ascii="Times New Roman" w:eastAsia="Times New Roman" w:hAnsi="Times New Roman" w:cs="Times New Roman"/>
          <w:sz w:val="24"/>
          <w:szCs w:val="24"/>
          <w:lang w:eastAsia="sk-SK"/>
        </w:rPr>
        <w:t xml:space="preserve">Navýšenie limitu pre puncovanie zlatých tovarov bude predstavovať zníženie finančných nákladov pre podnikateľov o 10 800 </w:t>
      </w:r>
      <w:r>
        <w:rPr>
          <w:rFonts w:ascii="Times New Roman" w:eastAsia="Times New Roman" w:hAnsi="Times New Roman" w:cs="Times New Roman"/>
          <w:sz w:val="24"/>
          <w:szCs w:val="24"/>
          <w:lang w:eastAsia="sk-SK"/>
        </w:rPr>
        <w:t>eur.</w:t>
      </w:r>
      <w:r w:rsidRPr="007113A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Do výpočtu sa započítalo </w:t>
      </w:r>
      <w:r w:rsidRPr="007113AD">
        <w:rPr>
          <w:rFonts w:ascii="Times New Roman" w:eastAsia="Times New Roman" w:hAnsi="Times New Roman" w:cs="Times New Roman"/>
          <w:sz w:val="24"/>
          <w:szCs w:val="24"/>
          <w:lang w:eastAsia="sk-SK"/>
        </w:rPr>
        <w:t>zrušenie povinnosti označiť tieto podlimitné tovary puncovou značkou, čo pri počte 1</w:t>
      </w:r>
      <w:r>
        <w:rPr>
          <w:rFonts w:ascii="Times New Roman" w:eastAsia="Times New Roman" w:hAnsi="Times New Roman" w:cs="Times New Roman"/>
          <w:sz w:val="24"/>
          <w:szCs w:val="24"/>
          <w:lang w:eastAsia="sk-SK"/>
        </w:rPr>
        <w:t>5 000 ks a výške poplatku 0,40 eur</w:t>
      </w:r>
      <w:r w:rsidRPr="007113A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za kus predstavuje úsporu 6 000 eur</w:t>
      </w:r>
      <w:r w:rsidRPr="007113AD">
        <w:rPr>
          <w:rFonts w:ascii="Times New Roman" w:eastAsia="Times New Roman" w:hAnsi="Times New Roman" w:cs="Times New Roman"/>
          <w:sz w:val="24"/>
          <w:szCs w:val="24"/>
          <w:lang w:eastAsia="sk-SK"/>
        </w:rPr>
        <w:t>. Ďalšiu úsporu pri zvýšení limitu predstavuje aj skúšanie rýdzosti tovaru nedeštruktívnou metódou, ktoré bolo povinnou súčasťou pri označovaní tovarov puncovou značkou, č</w:t>
      </w:r>
      <w:r>
        <w:rPr>
          <w:rFonts w:ascii="Times New Roman" w:eastAsia="Times New Roman" w:hAnsi="Times New Roman" w:cs="Times New Roman"/>
          <w:sz w:val="24"/>
          <w:szCs w:val="24"/>
          <w:lang w:eastAsia="sk-SK"/>
        </w:rPr>
        <w:t>o pri 12 000 g a poplatku 0,40 eur za 1 gram predstavuje 4 800 eur</w:t>
      </w:r>
      <w:r w:rsidRPr="007113AD">
        <w:rPr>
          <w:rFonts w:ascii="Times New Roman" w:eastAsia="Times New Roman" w:hAnsi="Times New Roman" w:cs="Times New Roman"/>
          <w:sz w:val="24"/>
          <w:szCs w:val="24"/>
          <w:lang w:eastAsia="sk-SK"/>
        </w:rPr>
        <w:t>.</w:t>
      </w:r>
    </w:p>
    <w:p w14:paraId="5480D3A9" w14:textId="120F3AFA" w:rsidR="007113AD" w:rsidRPr="007113AD" w:rsidRDefault="007113AD" w:rsidP="00F008E0">
      <w:pPr>
        <w:shd w:val="clear" w:color="auto" w:fill="FFFFFF"/>
        <w:jc w:val="both"/>
        <w:rPr>
          <w:rFonts w:ascii="Times New Roman" w:hAnsi="Times New Roman" w:cs="Times New Roman"/>
          <w:sz w:val="24"/>
          <w:szCs w:val="24"/>
        </w:rPr>
      </w:pPr>
      <w:r w:rsidRPr="00833B72">
        <w:rPr>
          <w:rFonts w:ascii="Times New Roman" w:hAnsi="Times New Roman" w:cs="Times New Roman"/>
          <w:sz w:val="24"/>
          <w:szCs w:val="24"/>
        </w:rPr>
        <w:t>Uvedené poplatky boli kalkulačkou nákladov na podnikateľské prostredie prepočítané na počet 3 000 subjektov pôsobiacich v odvetví (expertný odhad podľa registra obchodníkov s drahými kovmi). Rovnako sa v kalkulačke pripočítali aj administratívne náklady podnikateľov spojené s prípravou a predložením tovaru na puncovú kontrolu a jeho následné prebratie, časová náročnosť tejto povinnost</w:t>
      </w:r>
      <w:r>
        <w:rPr>
          <w:rFonts w:ascii="Times New Roman" w:hAnsi="Times New Roman" w:cs="Times New Roman"/>
          <w:sz w:val="24"/>
          <w:szCs w:val="24"/>
        </w:rPr>
        <w:t>i bola expertne stanovená na 150</w:t>
      </w:r>
      <w:r w:rsidRPr="00833B72">
        <w:rPr>
          <w:rFonts w:ascii="Times New Roman" w:hAnsi="Times New Roman" w:cs="Times New Roman"/>
          <w:sz w:val="24"/>
          <w:szCs w:val="24"/>
        </w:rPr>
        <w:t xml:space="preserve"> min., pričom frekv</w:t>
      </w:r>
      <w:r>
        <w:rPr>
          <w:rFonts w:ascii="Times New Roman" w:hAnsi="Times New Roman" w:cs="Times New Roman"/>
          <w:sz w:val="24"/>
          <w:szCs w:val="24"/>
        </w:rPr>
        <w:t>encia bola stanovená jedenkrát ročne</w:t>
      </w:r>
      <w:r w:rsidRPr="00833B72">
        <w:rPr>
          <w:rFonts w:ascii="Times New Roman" w:hAnsi="Times New Roman" w:cs="Times New Roman"/>
          <w:sz w:val="24"/>
          <w:szCs w:val="24"/>
        </w:rPr>
        <w:t xml:space="preserve"> (tovar sa puncuje</w:t>
      </w:r>
      <w:r w:rsidR="001A4C95">
        <w:rPr>
          <w:rFonts w:ascii="Times New Roman" w:hAnsi="Times New Roman" w:cs="Times New Roman"/>
          <w:sz w:val="24"/>
          <w:szCs w:val="24"/>
        </w:rPr>
        <w:t xml:space="preserve"> len jednorazovo</w:t>
      </w:r>
      <w:r w:rsidRPr="00833B72">
        <w:rPr>
          <w:rFonts w:ascii="Times New Roman" w:hAnsi="Times New Roman" w:cs="Times New Roman"/>
          <w:sz w:val="24"/>
          <w:szCs w:val="24"/>
        </w:rPr>
        <w:t>)</w:t>
      </w:r>
      <w:r>
        <w:rPr>
          <w:rFonts w:ascii="Times New Roman" w:hAnsi="Times New Roman" w:cs="Times New Roman"/>
          <w:sz w:val="24"/>
          <w:szCs w:val="24"/>
        </w:rPr>
        <w:t xml:space="preserve">. </w:t>
      </w:r>
      <w:r w:rsidRPr="00833B72">
        <w:rPr>
          <w:rFonts w:ascii="Times New Roman" w:hAnsi="Times New Roman" w:cs="Times New Roman"/>
          <w:sz w:val="24"/>
          <w:szCs w:val="24"/>
        </w:rPr>
        <w:t xml:space="preserve">Zrušenie predmetnej povinnosti predstavuje pre 3 000 podnikateľských subjektov celkovú úsporu vo výške </w:t>
      </w:r>
      <w:r w:rsidR="00F008E0" w:rsidRPr="007069A5">
        <w:rPr>
          <w:rFonts w:ascii="Times New Roman" w:hAnsi="Times New Roman" w:cs="Times New Roman"/>
          <w:sz w:val="24"/>
          <w:szCs w:val="24"/>
        </w:rPr>
        <w:t>92</w:t>
      </w:r>
      <w:r w:rsidR="00F008E0">
        <w:rPr>
          <w:rFonts w:ascii="Times New Roman" w:hAnsi="Times New Roman" w:cs="Times New Roman"/>
          <w:sz w:val="24"/>
          <w:szCs w:val="24"/>
        </w:rPr>
        <w:t> </w:t>
      </w:r>
      <w:r w:rsidR="00F008E0" w:rsidRPr="007069A5">
        <w:rPr>
          <w:rFonts w:ascii="Times New Roman" w:hAnsi="Times New Roman" w:cs="Times New Roman"/>
          <w:sz w:val="24"/>
          <w:szCs w:val="24"/>
        </w:rPr>
        <w:t>631</w:t>
      </w:r>
      <w:r w:rsidRPr="00833B72">
        <w:rPr>
          <w:rFonts w:ascii="Times New Roman" w:hAnsi="Times New Roman" w:cs="Times New Roman"/>
          <w:sz w:val="24"/>
          <w:szCs w:val="24"/>
        </w:rPr>
        <w:t>eur.</w:t>
      </w:r>
    </w:p>
    <w:p w14:paraId="6D44D009" w14:textId="77777777" w:rsidR="007113AD" w:rsidRPr="007113AD" w:rsidRDefault="007113AD" w:rsidP="007113AD">
      <w:pPr>
        <w:spacing w:before="100" w:beforeAutospacing="1" w:after="240" w:line="240" w:lineRule="auto"/>
        <w:jc w:val="both"/>
        <w:rPr>
          <w:rFonts w:ascii="Times New Roman" w:eastAsia="Times New Roman" w:hAnsi="Times New Roman" w:cs="Times New Roman"/>
          <w:sz w:val="24"/>
          <w:szCs w:val="24"/>
          <w:lang w:eastAsia="sk-SK"/>
        </w:rPr>
      </w:pPr>
      <w:r w:rsidRPr="007113AD">
        <w:rPr>
          <w:rFonts w:ascii="Times New Roman" w:eastAsia="Times New Roman" w:hAnsi="Times New Roman" w:cs="Times New Roman"/>
          <w:sz w:val="24"/>
          <w:szCs w:val="24"/>
          <w:lang w:eastAsia="sk-SK"/>
        </w:rPr>
        <w:t>V prípade platinového tovaru nie je možné vypracovať obdobnú analýzu vplyvov, keďže podľa vyjadrenia PÚ SR platinový tovar v uvedených nízkych hmotnostiach nie je predkladaný na puncovú kontrolu.</w:t>
      </w:r>
    </w:p>
    <w:p w14:paraId="43CF2700" w14:textId="3FBD1045" w:rsidR="007069A5" w:rsidRPr="007069A5" w:rsidRDefault="007069A5" w:rsidP="007069A5">
      <w:pPr>
        <w:numPr>
          <w:ilvl w:val="0"/>
          <w:numId w:val="15"/>
        </w:numPr>
        <w:ind w:left="0" w:hanging="11"/>
        <w:contextualSpacing/>
        <w:jc w:val="both"/>
        <w:rPr>
          <w:rFonts w:ascii="Times New Roman" w:eastAsia="Calibri" w:hAnsi="Times New Roman" w:cs="Times New Roman"/>
          <w:b/>
          <w:bCs/>
          <w:iCs/>
          <w:color w:val="000000"/>
          <w:sz w:val="24"/>
          <w:szCs w:val="24"/>
        </w:rPr>
      </w:pPr>
      <w:r w:rsidRPr="007069A5">
        <w:rPr>
          <w:rFonts w:ascii="Times New Roman" w:eastAsia="Calibri" w:hAnsi="Times New Roman" w:cs="Times New Roman"/>
          <w:b/>
          <w:bCs/>
          <w:iCs/>
          <w:color w:val="000000"/>
          <w:sz w:val="24"/>
          <w:szCs w:val="24"/>
        </w:rPr>
        <w:lastRenderedPageBreak/>
        <w:t>Ministerstvo hospodárstva Slovenskej republiky – energetika</w:t>
      </w:r>
    </w:p>
    <w:p w14:paraId="7D180CDA" w14:textId="77777777" w:rsidR="007069A5" w:rsidRPr="007069A5" w:rsidRDefault="007069A5" w:rsidP="007069A5">
      <w:pPr>
        <w:contextualSpacing/>
        <w:jc w:val="both"/>
        <w:rPr>
          <w:rFonts w:ascii="Times New Roman" w:eastAsia="Calibri" w:hAnsi="Times New Roman" w:cs="Times New Roman"/>
          <w:b/>
          <w:bCs/>
          <w:iCs/>
          <w:color w:val="000000"/>
          <w:sz w:val="24"/>
          <w:szCs w:val="24"/>
        </w:rPr>
      </w:pPr>
    </w:p>
    <w:p w14:paraId="301A570F" w14:textId="05560B43" w:rsidR="00E74E17" w:rsidRDefault="007069A5" w:rsidP="007069A5">
      <w:pPr>
        <w:contextualSpacing/>
        <w:jc w:val="both"/>
        <w:rPr>
          <w:rFonts w:ascii="Times New Roman" w:eastAsia="Calibri" w:hAnsi="Times New Roman" w:cs="Times New Roman"/>
          <w:bCs/>
          <w:iCs/>
          <w:sz w:val="24"/>
          <w:szCs w:val="24"/>
        </w:rPr>
      </w:pPr>
      <w:r w:rsidRPr="007069A5">
        <w:rPr>
          <w:rFonts w:ascii="Times New Roman" w:eastAsia="Calibri" w:hAnsi="Times New Roman" w:cs="Times New Roman"/>
          <w:bCs/>
          <w:iCs/>
          <w:sz w:val="24"/>
          <w:szCs w:val="24"/>
        </w:rPr>
        <w:t>Pri výpočte vplyvov opatrení plnených zákonom č. 251/2012 Z.</w:t>
      </w:r>
      <w:r w:rsidR="00BB06B0">
        <w:rPr>
          <w:rFonts w:ascii="Times New Roman" w:eastAsia="Calibri" w:hAnsi="Times New Roman" w:cs="Times New Roman"/>
          <w:bCs/>
          <w:iCs/>
          <w:sz w:val="24"/>
          <w:szCs w:val="24"/>
        </w:rPr>
        <w:t xml:space="preserve"> </w:t>
      </w:r>
      <w:r w:rsidRPr="007069A5">
        <w:rPr>
          <w:rFonts w:ascii="Times New Roman" w:eastAsia="Calibri" w:hAnsi="Times New Roman" w:cs="Times New Roman"/>
          <w:bCs/>
          <w:iCs/>
          <w:sz w:val="24"/>
          <w:szCs w:val="24"/>
        </w:rPr>
        <w:t xml:space="preserve">z. o energetike a o zmene a doplnení niektorých zákonov sa vychádzalo z informácií poskytnutých </w:t>
      </w:r>
      <w:r w:rsidR="00972604">
        <w:rPr>
          <w:rFonts w:ascii="Times New Roman" w:eastAsia="Calibri" w:hAnsi="Times New Roman" w:cs="Times New Roman"/>
          <w:bCs/>
          <w:iCs/>
          <w:sz w:val="24"/>
          <w:szCs w:val="24"/>
        </w:rPr>
        <w:t xml:space="preserve">Ministerstvom hospodárstva SR, </w:t>
      </w:r>
      <w:r w:rsidRPr="007069A5">
        <w:rPr>
          <w:rFonts w:ascii="Times New Roman" w:eastAsia="Calibri" w:hAnsi="Times New Roman" w:cs="Times New Roman"/>
          <w:bCs/>
          <w:iCs/>
          <w:sz w:val="24"/>
          <w:szCs w:val="24"/>
        </w:rPr>
        <w:t xml:space="preserve">spoločnosťou </w:t>
      </w:r>
      <w:r w:rsidR="00972604">
        <w:rPr>
          <w:rFonts w:ascii="Times New Roman" w:eastAsia="Calibri" w:hAnsi="Times New Roman" w:cs="Times New Roman"/>
          <w:bCs/>
          <w:iCs/>
          <w:sz w:val="24"/>
          <w:szCs w:val="24"/>
        </w:rPr>
        <w:t>SPP-distribúcia, a.s.,</w:t>
      </w:r>
      <w:r w:rsidRPr="007069A5">
        <w:rPr>
          <w:rFonts w:ascii="Times New Roman" w:eastAsia="Calibri" w:hAnsi="Times New Roman" w:cs="Times New Roman"/>
          <w:bCs/>
          <w:iCs/>
          <w:sz w:val="24"/>
          <w:szCs w:val="24"/>
        </w:rPr>
        <w:t xml:space="preserve"> Slovenskou inovačnou a energetickou agentúrou </w:t>
      </w:r>
      <w:r w:rsidR="00972604">
        <w:rPr>
          <w:rFonts w:ascii="Times New Roman" w:eastAsia="Calibri" w:hAnsi="Times New Roman" w:cs="Times New Roman"/>
          <w:bCs/>
          <w:iCs/>
          <w:sz w:val="24"/>
          <w:szCs w:val="24"/>
        </w:rPr>
        <w:t>a</w:t>
      </w:r>
      <w:r w:rsidRPr="007069A5">
        <w:rPr>
          <w:rFonts w:ascii="Times New Roman" w:eastAsia="Calibri" w:hAnsi="Times New Roman" w:cs="Times New Roman"/>
          <w:bCs/>
          <w:iCs/>
          <w:sz w:val="24"/>
          <w:szCs w:val="24"/>
        </w:rPr>
        <w:t xml:space="preserve"> Úradu pr</w:t>
      </w:r>
      <w:r w:rsidR="004A0891">
        <w:rPr>
          <w:rFonts w:ascii="Times New Roman" w:eastAsia="Calibri" w:hAnsi="Times New Roman" w:cs="Times New Roman"/>
          <w:bCs/>
          <w:iCs/>
          <w:sz w:val="24"/>
          <w:szCs w:val="24"/>
        </w:rPr>
        <w:t xml:space="preserve">e reguláciu sieťových odvetví. </w:t>
      </w:r>
    </w:p>
    <w:p w14:paraId="50FAAAE8" w14:textId="77777777" w:rsidR="00E74E17" w:rsidRDefault="00E74E17">
      <w:pPr>
        <w:rPr>
          <w:rFonts w:ascii="Times New Roman" w:eastAsia="Calibri" w:hAnsi="Times New Roman" w:cs="Times New Roman"/>
          <w:bCs/>
          <w:iCs/>
          <w:sz w:val="24"/>
          <w:szCs w:val="24"/>
        </w:rPr>
      </w:pPr>
      <w:r>
        <w:rPr>
          <w:rFonts w:ascii="Times New Roman" w:eastAsia="Calibri" w:hAnsi="Times New Roman" w:cs="Times New Roman"/>
          <w:bCs/>
          <w:iCs/>
          <w:sz w:val="24"/>
          <w:szCs w:val="24"/>
        </w:rPr>
        <w:br w:type="page"/>
      </w:r>
    </w:p>
    <w:p w14:paraId="7D8AB15D" w14:textId="2B1D69A8" w:rsidR="007069A5" w:rsidRPr="004A0891" w:rsidRDefault="007069A5" w:rsidP="004A0891">
      <w:pPr>
        <w:pStyle w:val="Odsekzoznamu"/>
        <w:numPr>
          <w:ilvl w:val="0"/>
          <w:numId w:val="18"/>
        </w:numPr>
        <w:jc w:val="both"/>
        <w:rPr>
          <w:rFonts w:ascii="Times New Roman" w:eastAsia="Calibri" w:hAnsi="Times New Roman" w:cs="Times New Roman"/>
          <w:b/>
          <w:i/>
          <w:iCs/>
          <w:sz w:val="24"/>
          <w:szCs w:val="24"/>
          <w:u w:val="single"/>
        </w:rPr>
      </w:pPr>
      <w:r w:rsidRPr="004A0891">
        <w:rPr>
          <w:rFonts w:ascii="Times New Roman" w:eastAsia="Calibri" w:hAnsi="Times New Roman" w:cs="Times New Roman"/>
          <w:b/>
          <w:i/>
          <w:iCs/>
          <w:sz w:val="24"/>
          <w:szCs w:val="24"/>
          <w:u w:val="single"/>
        </w:rPr>
        <w:lastRenderedPageBreak/>
        <w:t>Umožnenie informovať o výmene plynomeru aj elektronicky</w:t>
      </w:r>
    </w:p>
    <w:p w14:paraId="4CC33199" w14:textId="77777777" w:rsidR="007069A5" w:rsidRPr="007069A5" w:rsidRDefault="007069A5" w:rsidP="007069A5">
      <w:pPr>
        <w:contextualSpacing/>
        <w:jc w:val="both"/>
        <w:rPr>
          <w:rFonts w:ascii="Times New Roman" w:eastAsia="Calibri" w:hAnsi="Times New Roman" w:cs="Times New Roman"/>
          <w:bCs/>
          <w:i/>
          <w:iCs/>
          <w:sz w:val="24"/>
          <w:szCs w:val="24"/>
        </w:rPr>
      </w:pPr>
    </w:p>
    <w:p w14:paraId="627C160E" w14:textId="271BA21D" w:rsidR="007069A5" w:rsidRPr="007069A5" w:rsidRDefault="007069A5" w:rsidP="007069A5">
      <w:pPr>
        <w:contextualSpacing/>
        <w:jc w:val="both"/>
        <w:rPr>
          <w:rFonts w:ascii="Times New Roman" w:eastAsia="Calibri" w:hAnsi="Times New Roman" w:cs="Times New Roman"/>
          <w:bCs/>
          <w:iCs/>
          <w:color w:val="000000"/>
          <w:sz w:val="24"/>
          <w:szCs w:val="24"/>
        </w:rPr>
      </w:pPr>
      <w:r w:rsidRPr="007069A5">
        <w:rPr>
          <w:rFonts w:ascii="Times New Roman" w:eastAsia="Calibri" w:hAnsi="Times New Roman" w:cs="Times New Roman"/>
          <w:bCs/>
          <w:iCs/>
          <w:color w:val="000000"/>
          <w:sz w:val="24"/>
          <w:szCs w:val="24"/>
        </w:rPr>
        <w:t xml:space="preserve">Pri kvantifikácií opatrenia zavádzajúceho možnosť oznamovať  výmenu plynomera elektronicky sa vychádzalo z informácií od  SPP-distribúcia, a.s., ktorá nám oznámila, že ročne </w:t>
      </w:r>
      <w:r w:rsidR="00F008E0">
        <w:rPr>
          <w:rFonts w:ascii="Times New Roman" w:eastAsia="Calibri" w:hAnsi="Times New Roman" w:cs="Times New Roman"/>
          <w:bCs/>
          <w:iCs/>
          <w:color w:val="000000"/>
          <w:sz w:val="24"/>
          <w:szCs w:val="24"/>
        </w:rPr>
        <w:t>zašle cca</w:t>
      </w:r>
      <w:r w:rsidRPr="007069A5">
        <w:rPr>
          <w:rFonts w:ascii="Times New Roman" w:eastAsia="Calibri" w:hAnsi="Times New Roman" w:cs="Times New Roman"/>
          <w:bCs/>
          <w:iCs/>
          <w:color w:val="000000"/>
          <w:sz w:val="24"/>
          <w:szCs w:val="24"/>
        </w:rPr>
        <w:t xml:space="preserve"> 100 000 listov – žiadostí o sprístupnenie miesta. Priamym nákladom/poplatkom j</w:t>
      </w:r>
      <w:r w:rsidR="00F008E0">
        <w:rPr>
          <w:rFonts w:ascii="Times New Roman" w:eastAsia="Calibri" w:hAnsi="Times New Roman" w:cs="Times New Roman"/>
          <w:bCs/>
          <w:iCs/>
          <w:color w:val="000000"/>
          <w:sz w:val="24"/>
          <w:szCs w:val="24"/>
        </w:rPr>
        <w:t>e cena za doporučený list 2,50 eur</w:t>
      </w:r>
      <w:r w:rsidRPr="007069A5">
        <w:rPr>
          <w:rFonts w:ascii="Times New Roman" w:eastAsia="Calibri" w:hAnsi="Times New Roman" w:cs="Times New Roman"/>
          <w:bCs/>
          <w:iCs/>
          <w:color w:val="000000"/>
          <w:sz w:val="24"/>
          <w:szCs w:val="24"/>
        </w:rPr>
        <w:t>, zaokrúh</w:t>
      </w:r>
      <w:r w:rsidR="00F008E0">
        <w:rPr>
          <w:rFonts w:ascii="Times New Roman" w:eastAsia="Calibri" w:hAnsi="Times New Roman" w:cs="Times New Roman"/>
          <w:bCs/>
          <w:iCs/>
          <w:color w:val="000000"/>
          <w:sz w:val="24"/>
          <w:szCs w:val="24"/>
        </w:rPr>
        <w:t>lená kalkulačkou nákladov na 3 eur</w:t>
      </w:r>
      <w:r w:rsidR="00133E45">
        <w:rPr>
          <w:rFonts w:ascii="Times New Roman" w:eastAsia="Calibri" w:hAnsi="Times New Roman" w:cs="Times New Roman"/>
          <w:bCs/>
          <w:iCs/>
          <w:color w:val="000000"/>
          <w:sz w:val="24"/>
          <w:szCs w:val="24"/>
        </w:rPr>
        <w:t xml:space="preserve"> (zásielka do 50 g). SPP – distribúcia</w:t>
      </w:r>
      <w:r w:rsidRPr="007069A5">
        <w:rPr>
          <w:rFonts w:ascii="Times New Roman" w:eastAsia="Calibri" w:hAnsi="Times New Roman" w:cs="Times New Roman"/>
          <w:bCs/>
          <w:iCs/>
          <w:color w:val="000000"/>
          <w:sz w:val="24"/>
          <w:szCs w:val="24"/>
        </w:rPr>
        <w:t xml:space="preserve"> odhadla, že približne polovica oznámení by po prijatí právnej úpravy mohla byť zasielaná elektronicky. V takom pr</w:t>
      </w:r>
      <w:r w:rsidR="00133E45">
        <w:rPr>
          <w:rFonts w:ascii="Times New Roman" w:eastAsia="Calibri" w:hAnsi="Times New Roman" w:cs="Times New Roman"/>
          <w:bCs/>
          <w:iCs/>
          <w:color w:val="000000"/>
          <w:sz w:val="24"/>
          <w:szCs w:val="24"/>
        </w:rPr>
        <w:t xml:space="preserve">ípade je pri ročnej frekvencii </w:t>
      </w:r>
      <w:r w:rsidRPr="007069A5">
        <w:rPr>
          <w:rFonts w:ascii="Times New Roman" w:eastAsia="Calibri" w:hAnsi="Times New Roman" w:cs="Times New Roman"/>
          <w:bCs/>
          <w:iCs/>
          <w:color w:val="000000"/>
          <w:sz w:val="24"/>
          <w:szCs w:val="24"/>
        </w:rPr>
        <w:t>ročný nepriamy finančný náklad</w:t>
      </w:r>
      <w:r w:rsidR="00133E45">
        <w:rPr>
          <w:rFonts w:ascii="Times New Roman" w:eastAsia="Calibri" w:hAnsi="Times New Roman" w:cs="Times New Roman"/>
          <w:bCs/>
          <w:iCs/>
          <w:color w:val="000000"/>
          <w:sz w:val="24"/>
          <w:szCs w:val="24"/>
        </w:rPr>
        <w:t xml:space="preserve"> počítaný kalkulačkou nákladov vo výške 125 014 eur</w:t>
      </w:r>
      <w:r w:rsidRPr="007069A5">
        <w:rPr>
          <w:rFonts w:ascii="Times New Roman" w:eastAsia="Calibri" w:hAnsi="Times New Roman" w:cs="Times New Roman"/>
          <w:bCs/>
          <w:iCs/>
          <w:color w:val="000000"/>
          <w:sz w:val="24"/>
          <w:szCs w:val="24"/>
        </w:rPr>
        <w:t xml:space="preserve">. </w:t>
      </w:r>
      <w:r w:rsidR="00133E45">
        <w:rPr>
          <w:rFonts w:ascii="Times New Roman" w:eastAsia="Calibri" w:hAnsi="Times New Roman" w:cs="Times New Roman"/>
          <w:bCs/>
          <w:iCs/>
          <w:color w:val="000000"/>
          <w:sz w:val="24"/>
          <w:szCs w:val="24"/>
        </w:rPr>
        <w:t>K tomu sa pri</w:t>
      </w:r>
      <w:r w:rsidRPr="007069A5">
        <w:rPr>
          <w:rFonts w:ascii="Times New Roman" w:eastAsia="Calibri" w:hAnsi="Times New Roman" w:cs="Times New Roman"/>
          <w:bCs/>
          <w:iCs/>
          <w:color w:val="000000"/>
          <w:sz w:val="24"/>
          <w:szCs w:val="24"/>
        </w:rPr>
        <w:t>počítali administratívne náklady sp</w:t>
      </w:r>
      <w:r w:rsidR="00133E45">
        <w:rPr>
          <w:rFonts w:ascii="Times New Roman" w:eastAsia="Calibri" w:hAnsi="Times New Roman" w:cs="Times New Roman"/>
          <w:bCs/>
          <w:iCs/>
          <w:color w:val="000000"/>
          <w:sz w:val="24"/>
          <w:szCs w:val="24"/>
        </w:rPr>
        <w:t>ojené s vypracovaním oznámení (časová náročnosť bola stanovená na</w:t>
      </w:r>
      <w:r w:rsidRPr="007069A5">
        <w:rPr>
          <w:rFonts w:ascii="Times New Roman" w:eastAsia="Calibri" w:hAnsi="Times New Roman" w:cs="Times New Roman"/>
          <w:bCs/>
          <w:iCs/>
          <w:color w:val="000000"/>
          <w:sz w:val="24"/>
          <w:szCs w:val="24"/>
        </w:rPr>
        <w:t xml:space="preserve"> 60 min</w:t>
      </w:r>
      <w:r w:rsidR="00133E45">
        <w:rPr>
          <w:rFonts w:ascii="Times New Roman" w:eastAsia="Calibri" w:hAnsi="Times New Roman" w:cs="Times New Roman"/>
          <w:bCs/>
          <w:iCs/>
          <w:color w:val="000000"/>
          <w:sz w:val="24"/>
          <w:szCs w:val="24"/>
        </w:rPr>
        <w:t>.) pri frekvencii raz ročne. C</w:t>
      </w:r>
      <w:r w:rsidRPr="007069A5">
        <w:rPr>
          <w:rFonts w:ascii="Times New Roman" w:eastAsia="Calibri" w:hAnsi="Times New Roman" w:cs="Times New Roman"/>
          <w:bCs/>
          <w:iCs/>
          <w:color w:val="000000"/>
          <w:sz w:val="24"/>
          <w:szCs w:val="24"/>
        </w:rPr>
        <w:t>elkové ušetrené ročné náklady</w:t>
      </w:r>
      <w:r w:rsidR="00133E45">
        <w:rPr>
          <w:rFonts w:ascii="Times New Roman" w:eastAsia="Calibri" w:hAnsi="Times New Roman" w:cs="Times New Roman"/>
          <w:bCs/>
          <w:iCs/>
          <w:color w:val="000000"/>
          <w:sz w:val="24"/>
          <w:szCs w:val="24"/>
        </w:rPr>
        <w:t xml:space="preserve"> boli kalkulačkou nákladov vypočítané vo výške 125 014 eur.</w:t>
      </w:r>
    </w:p>
    <w:p w14:paraId="371D3902" w14:textId="77777777" w:rsidR="007069A5" w:rsidRPr="007069A5" w:rsidRDefault="007069A5" w:rsidP="007069A5">
      <w:pPr>
        <w:contextualSpacing/>
        <w:jc w:val="both"/>
        <w:rPr>
          <w:rFonts w:ascii="Times New Roman" w:eastAsia="Calibri" w:hAnsi="Times New Roman" w:cs="Times New Roman"/>
          <w:bCs/>
          <w:iCs/>
          <w:color w:val="000000"/>
          <w:sz w:val="24"/>
          <w:szCs w:val="24"/>
        </w:rPr>
      </w:pPr>
    </w:p>
    <w:p w14:paraId="7720DFC2" w14:textId="1BE6306C" w:rsidR="007069A5" w:rsidRPr="006A6AAC" w:rsidRDefault="007069A5" w:rsidP="006A6AAC">
      <w:pPr>
        <w:pStyle w:val="Odsekzoznamu"/>
        <w:numPr>
          <w:ilvl w:val="0"/>
          <w:numId w:val="18"/>
        </w:numPr>
        <w:jc w:val="both"/>
        <w:rPr>
          <w:rFonts w:ascii="Times New Roman" w:eastAsia="Calibri" w:hAnsi="Times New Roman" w:cs="Times New Roman"/>
          <w:b/>
          <w:i/>
          <w:iCs/>
          <w:sz w:val="24"/>
          <w:szCs w:val="24"/>
          <w:u w:val="single"/>
        </w:rPr>
      </w:pPr>
      <w:r w:rsidRPr="006A6AAC">
        <w:rPr>
          <w:rFonts w:ascii="Times New Roman" w:eastAsia="Calibri" w:hAnsi="Times New Roman" w:cs="Times New Roman"/>
          <w:b/>
          <w:i/>
          <w:iCs/>
          <w:sz w:val="24"/>
          <w:szCs w:val="24"/>
          <w:u w:val="single"/>
        </w:rPr>
        <w:t>Umožnenie vykonávať funkciu zodpovedného zástupcu pre viacerých držiteľov povolenia</w:t>
      </w:r>
    </w:p>
    <w:p w14:paraId="4335141B" w14:textId="77777777" w:rsidR="007069A5" w:rsidRPr="007069A5" w:rsidRDefault="007069A5" w:rsidP="007069A5">
      <w:pPr>
        <w:contextualSpacing/>
        <w:jc w:val="both"/>
        <w:rPr>
          <w:rFonts w:ascii="Times New Roman" w:eastAsia="Calibri" w:hAnsi="Times New Roman" w:cs="Times New Roman"/>
          <w:bCs/>
          <w:i/>
          <w:iCs/>
          <w:color w:val="000000"/>
          <w:sz w:val="24"/>
          <w:szCs w:val="24"/>
        </w:rPr>
      </w:pPr>
    </w:p>
    <w:p w14:paraId="665128BF" w14:textId="77777777" w:rsidR="007069A5" w:rsidRPr="007069A5" w:rsidRDefault="007069A5" w:rsidP="007069A5">
      <w:pPr>
        <w:contextualSpacing/>
        <w:jc w:val="both"/>
        <w:rPr>
          <w:rFonts w:ascii="Times New Roman" w:eastAsia="Calibri" w:hAnsi="Times New Roman" w:cs="Times New Roman"/>
          <w:bCs/>
          <w:iCs/>
          <w:color w:val="000000"/>
          <w:sz w:val="24"/>
          <w:szCs w:val="24"/>
        </w:rPr>
      </w:pPr>
      <w:r w:rsidRPr="007069A5">
        <w:rPr>
          <w:rFonts w:ascii="Times New Roman" w:eastAsia="Calibri" w:hAnsi="Times New Roman" w:cs="Times New Roman"/>
          <w:bCs/>
          <w:iCs/>
          <w:color w:val="000000"/>
          <w:sz w:val="24"/>
          <w:szCs w:val="24"/>
        </w:rPr>
        <w:t>Výpočet pozitívnych vplyvov opatrenia na podnikateľské prostredie, ktoré sa dotýka možnosti, aby zodpovedný zástupca mal možnosť vykonávať túto funkciu nie pre jedného držiteľovi povolenia, ale až pre 3 držiteľov povolenia, vychádza z nasledujúcich predpokladov:</w:t>
      </w:r>
    </w:p>
    <w:p w14:paraId="52951887" w14:textId="45303FA9" w:rsidR="007069A5" w:rsidRPr="007069A5" w:rsidRDefault="007069A5" w:rsidP="007069A5">
      <w:pPr>
        <w:jc w:val="both"/>
        <w:rPr>
          <w:rFonts w:ascii="Times New Roman" w:eastAsia="Calibri" w:hAnsi="Times New Roman" w:cs="Times New Roman"/>
          <w:sz w:val="24"/>
          <w:szCs w:val="24"/>
        </w:rPr>
      </w:pPr>
      <w:r w:rsidRPr="007069A5">
        <w:rPr>
          <w:rFonts w:ascii="Times New Roman" w:eastAsia="Calibri" w:hAnsi="Times New Roman" w:cs="Times New Roman"/>
          <w:sz w:val="24"/>
          <w:szCs w:val="24"/>
        </w:rPr>
        <w:t>Držitelia povolenia v mnohých prípadoch pristupujú k riešeniu, že s cieľom splniť povinnosť mať zodpovedného zástupcu, nechajú vyškoliť jedného zo svojich zamestnancov. V takom prípade je potrebné splniť podmienky na vzdelanie a prax a úspešne absolvovať skúšky odbornej spôsobilosti, s čím sú spojené náklady na školenie. Zároveň, táto spôsobilosť vykonávať zodpovedného zástupcu má obmedzenie 5 rokov a po tomto období musí osoba absolvovať aktualizačnú prípravu, kde si obnoví spôsobilosť. Školenia sa pre jednotlivé oblasti vykonávajú samostatne a ceny školení sú nasledovné:</w:t>
      </w:r>
    </w:p>
    <w:p w14:paraId="3CDAD786" w14:textId="6EE429C4" w:rsidR="007069A5" w:rsidRPr="00BE6A4F" w:rsidRDefault="007069A5" w:rsidP="00BE6A4F">
      <w:pPr>
        <w:numPr>
          <w:ilvl w:val="0"/>
          <w:numId w:val="9"/>
        </w:numPr>
        <w:ind w:left="0" w:firstLine="0"/>
        <w:rPr>
          <w:rFonts w:ascii="Times New Roman" w:eastAsia="Calibri" w:hAnsi="Times New Roman" w:cs="Times New Roman"/>
          <w:sz w:val="24"/>
          <w:szCs w:val="24"/>
        </w:rPr>
      </w:pPr>
      <w:r w:rsidRPr="007069A5">
        <w:rPr>
          <w:rFonts w:ascii="Times New Roman" w:eastAsia="Calibri" w:hAnsi="Times New Roman" w:cs="Times New Roman"/>
          <w:sz w:val="24"/>
          <w:szCs w:val="24"/>
        </w:rPr>
        <w:t>Slovenský plynárenský a naftový zväz organizuje školenia pre oblasť plynárenstv</w:t>
      </w:r>
      <w:r w:rsidR="00BE6A4F">
        <w:rPr>
          <w:rFonts w:ascii="Times New Roman" w:eastAsia="Calibri" w:hAnsi="Times New Roman" w:cs="Times New Roman"/>
          <w:sz w:val="24"/>
          <w:szCs w:val="24"/>
        </w:rPr>
        <w:t>a a ropy – cena školenia 420 eur, školenie trvá 3 dni (z</w:t>
      </w:r>
      <w:r w:rsidRPr="00BE6A4F">
        <w:rPr>
          <w:rFonts w:ascii="Times New Roman" w:eastAsia="Calibri" w:hAnsi="Times New Roman" w:cs="Times New Roman"/>
          <w:sz w:val="24"/>
          <w:szCs w:val="24"/>
        </w:rPr>
        <w:t>istené na základe telefonickej komunikácie)</w:t>
      </w:r>
      <w:r w:rsidR="00BE6A4F">
        <w:rPr>
          <w:rFonts w:ascii="Times New Roman" w:eastAsia="Calibri" w:hAnsi="Times New Roman" w:cs="Times New Roman"/>
          <w:sz w:val="24"/>
          <w:szCs w:val="24"/>
        </w:rPr>
        <w:t>.</w:t>
      </w:r>
    </w:p>
    <w:p w14:paraId="328AF969" w14:textId="04312FD8" w:rsidR="007069A5" w:rsidRPr="007069A5" w:rsidRDefault="007069A5" w:rsidP="007069A5">
      <w:pPr>
        <w:numPr>
          <w:ilvl w:val="0"/>
          <w:numId w:val="9"/>
        </w:numPr>
        <w:ind w:left="0" w:firstLine="0"/>
        <w:jc w:val="both"/>
        <w:rPr>
          <w:rFonts w:ascii="Times New Roman" w:eastAsia="Calibri" w:hAnsi="Times New Roman" w:cs="Times New Roman"/>
          <w:i/>
          <w:sz w:val="24"/>
          <w:szCs w:val="24"/>
        </w:rPr>
      </w:pPr>
      <w:r w:rsidRPr="007069A5">
        <w:rPr>
          <w:rFonts w:ascii="Times New Roman" w:eastAsia="Calibri" w:hAnsi="Times New Roman" w:cs="Times New Roman"/>
          <w:sz w:val="24"/>
          <w:szCs w:val="24"/>
        </w:rPr>
        <w:t>Združenie priemyselných odoberateľov energie organizuje školenia pre oblasť elektroenergetiky – cena</w:t>
      </w:r>
      <w:r w:rsidR="00BE6A4F">
        <w:rPr>
          <w:rFonts w:ascii="Times New Roman" w:eastAsia="Calibri" w:hAnsi="Times New Roman" w:cs="Times New Roman"/>
          <w:sz w:val="24"/>
          <w:szCs w:val="24"/>
        </w:rPr>
        <w:t xml:space="preserve"> školenia sa pohybuje od 155 eur – 465 eur</w:t>
      </w:r>
      <w:r w:rsidRPr="007069A5">
        <w:rPr>
          <w:rFonts w:ascii="Times New Roman" w:eastAsia="Calibri" w:hAnsi="Times New Roman" w:cs="Times New Roman"/>
          <w:sz w:val="24"/>
          <w:szCs w:val="24"/>
        </w:rPr>
        <w:t xml:space="preserve"> (</w:t>
      </w:r>
      <w:hyperlink r:id="rId12" w:history="1">
        <w:r w:rsidRPr="007069A5">
          <w:rPr>
            <w:rFonts w:ascii="Times New Roman" w:eastAsia="Calibri" w:hAnsi="Times New Roman" w:cs="Times New Roman"/>
            <w:color w:val="0563C1"/>
            <w:sz w:val="24"/>
            <w:szCs w:val="24"/>
            <w:u w:val="single"/>
          </w:rPr>
          <w:t>https://energyconsumers.net/wp-content/uploads/2023/04/oznam-OS_XXIV.pdf</w:t>
        </w:r>
      </w:hyperlink>
      <w:r w:rsidRPr="007069A5">
        <w:rPr>
          <w:rFonts w:ascii="Times New Roman" w:eastAsia="Calibri" w:hAnsi="Times New Roman" w:cs="Times New Roman"/>
          <w:sz w:val="24"/>
          <w:szCs w:val="24"/>
        </w:rPr>
        <w:t xml:space="preserve"> ), školenie trvá 3-4 dni.</w:t>
      </w:r>
    </w:p>
    <w:p w14:paraId="188F00CC" w14:textId="31ADB3AC" w:rsidR="007069A5" w:rsidRPr="007069A5" w:rsidRDefault="007069A5" w:rsidP="007069A5">
      <w:pPr>
        <w:jc w:val="both"/>
        <w:rPr>
          <w:rFonts w:ascii="Times New Roman" w:eastAsia="Calibri" w:hAnsi="Times New Roman" w:cs="Times New Roman"/>
          <w:sz w:val="24"/>
          <w:szCs w:val="24"/>
        </w:rPr>
      </w:pPr>
      <w:r w:rsidRPr="007069A5">
        <w:rPr>
          <w:rFonts w:ascii="Times New Roman" w:eastAsia="Calibri" w:hAnsi="Times New Roman" w:cs="Times New Roman"/>
          <w:sz w:val="24"/>
          <w:szCs w:val="24"/>
        </w:rPr>
        <w:t>Pri kvantifikácii vplyvov sa vychádz</w:t>
      </w:r>
      <w:r w:rsidR="00757E2E">
        <w:rPr>
          <w:rFonts w:ascii="Times New Roman" w:eastAsia="Calibri" w:hAnsi="Times New Roman" w:cs="Times New Roman"/>
          <w:sz w:val="24"/>
          <w:szCs w:val="24"/>
        </w:rPr>
        <w:t>alo z priemerne ceny školenia 31</w:t>
      </w:r>
      <w:r w:rsidRPr="007069A5">
        <w:rPr>
          <w:rFonts w:ascii="Times New Roman" w:eastAsia="Calibri" w:hAnsi="Times New Roman" w:cs="Times New Roman"/>
          <w:sz w:val="24"/>
          <w:szCs w:val="24"/>
        </w:rPr>
        <w:t>0 eur pri frekvencii 5</w:t>
      </w:r>
      <w:r w:rsidR="00BE6A4F">
        <w:rPr>
          <w:rFonts w:ascii="Times New Roman" w:eastAsia="Calibri" w:hAnsi="Times New Roman" w:cs="Times New Roman"/>
          <w:sz w:val="24"/>
          <w:szCs w:val="24"/>
        </w:rPr>
        <w:t> </w:t>
      </w:r>
      <w:r w:rsidRPr="007069A5">
        <w:rPr>
          <w:rFonts w:ascii="Times New Roman" w:eastAsia="Calibri" w:hAnsi="Times New Roman" w:cs="Times New Roman"/>
          <w:sz w:val="24"/>
          <w:szCs w:val="24"/>
        </w:rPr>
        <w:t>rokov a trvania školenia v dĺžke 3 dni, čo predstavuje 3 x 8hodín x 60 min = 1440 min na 1</w:t>
      </w:r>
      <w:r w:rsidR="00BE6A4F">
        <w:rPr>
          <w:rFonts w:ascii="Times New Roman" w:eastAsia="Calibri" w:hAnsi="Times New Roman" w:cs="Times New Roman"/>
          <w:sz w:val="24"/>
          <w:szCs w:val="24"/>
        </w:rPr>
        <w:t> subjekt.</w:t>
      </w:r>
    </w:p>
    <w:p w14:paraId="411E48CF" w14:textId="144AAE38" w:rsidR="007069A5" w:rsidRDefault="007069A5" w:rsidP="007069A5">
      <w:pPr>
        <w:jc w:val="both"/>
        <w:rPr>
          <w:rFonts w:ascii="Times New Roman" w:eastAsia="Calibri" w:hAnsi="Times New Roman" w:cs="Times New Roman"/>
          <w:color w:val="000000"/>
          <w:sz w:val="24"/>
          <w:szCs w:val="24"/>
        </w:rPr>
      </w:pPr>
      <w:r w:rsidRPr="007069A5">
        <w:rPr>
          <w:rFonts w:ascii="Times New Roman" w:eastAsia="Calibri" w:hAnsi="Times New Roman" w:cs="Times New Roman"/>
          <w:sz w:val="24"/>
          <w:szCs w:val="24"/>
        </w:rPr>
        <w:t>Počet zodpovedných zástupcov</w:t>
      </w:r>
      <w:r w:rsidRPr="007069A5">
        <w:rPr>
          <w:rFonts w:ascii="Times New Roman" w:eastAsia="Calibri" w:hAnsi="Times New Roman" w:cs="Times New Roman"/>
          <w:color w:val="1F497D"/>
          <w:sz w:val="24"/>
          <w:szCs w:val="24"/>
        </w:rPr>
        <w:t xml:space="preserve">, </w:t>
      </w:r>
      <w:r w:rsidRPr="007069A5">
        <w:rPr>
          <w:rFonts w:ascii="Times New Roman" w:eastAsia="Calibri" w:hAnsi="Times New Roman" w:cs="Times New Roman"/>
          <w:color w:val="000000"/>
          <w:sz w:val="24"/>
          <w:szCs w:val="24"/>
        </w:rPr>
        <w:t xml:space="preserve">ktorí vykonávajú aktuálne túto funkciu pre držiteľov povolenia, je </w:t>
      </w:r>
      <w:r w:rsidRPr="007069A5">
        <w:rPr>
          <w:rFonts w:ascii="Times New Roman" w:eastAsia="Calibri" w:hAnsi="Times New Roman" w:cs="Times New Roman"/>
          <w:sz w:val="24"/>
          <w:szCs w:val="24"/>
        </w:rPr>
        <w:t>nasledovný: elektroenergetika - 257, plynárenstvo 52, ropa 23</w:t>
      </w:r>
      <w:r w:rsidRPr="007069A5">
        <w:rPr>
          <w:rFonts w:ascii="Times New Roman" w:eastAsia="Calibri" w:hAnsi="Times New Roman" w:cs="Times New Roman"/>
          <w:color w:val="1F497D"/>
          <w:sz w:val="24"/>
          <w:szCs w:val="24"/>
        </w:rPr>
        <w:t xml:space="preserve">. </w:t>
      </w:r>
      <w:r w:rsidRPr="007069A5">
        <w:rPr>
          <w:rFonts w:ascii="Times New Roman" w:eastAsia="Calibri" w:hAnsi="Times New Roman" w:cs="Times New Roman"/>
          <w:sz w:val="24"/>
          <w:szCs w:val="24"/>
        </w:rPr>
        <w:t>Celkový počet subjektov je 332</w:t>
      </w:r>
      <w:r w:rsidRPr="007069A5">
        <w:rPr>
          <w:rFonts w:ascii="Times New Roman" w:eastAsia="Calibri" w:hAnsi="Times New Roman" w:cs="Times New Roman"/>
          <w:color w:val="1F497D"/>
          <w:sz w:val="24"/>
          <w:szCs w:val="24"/>
        </w:rPr>
        <w:t xml:space="preserve">. </w:t>
      </w:r>
      <w:r w:rsidRPr="007069A5">
        <w:rPr>
          <w:rFonts w:ascii="Times New Roman" w:eastAsia="Calibri" w:hAnsi="Times New Roman" w:cs="Times New Roman"/>
          <w:color w:val="000000"/>
          <w:sz w:val="24"/>
          <w:szCs w:val="24"/>
        </w:rPr>
        <w:t xml:space="preserve">Toto číslo zároveň reflektuje počet držiteľov povolania na </w:t>
      </w:r>
      <w:r w:rsidRPr="007069A5">
        <w:rPr>
          <w:rFonts w:ascii="Times New Roman" w:eastAsia="Calibri" w:hAnsi="Times New Roman" w:cs="Times New Roman"/>
          <w:color w:val="000000"/>
          <w:sz w:val="24"/>
          <w:szCs w:val="24"/>
        </w:rPr>
        <w:lastRenderedPageBreak/>
        <w:t>podnikanie v jednotlivých oblastiach. Pri kvantifikácii sa vychádzalo z predpokladu, že menej  ako 1 tretina podnikateľov využije túto možnosť a nebude si školiť svojho zástupcu, ale využije možnosť mať jedného zástupcu na 3 firmy, t. j. cca 100 subjektov sa dotkne táto právna úprava pozitívne. Po prepočte nákladov cez kalkulačku nákladov</w:t>
      </w:r>
      <w:r w:rsidR="00AA1F79">
        <w:rPr>
          <w:rFonts w:ascii="Times New Roman" w:eastAsia="Calibri" w:hAnsi="Times New Roman" w:cs="Times New Roman"/>
          <w:color w:val="000000"/>
          <w:sz w:val="24"/>
          <w:szCs w:val="24"/>
        </w:rPr>
        <w:t xml:space="preserve"> na podnikateľské prostredie bola vypočítaná celková predpokladaná</w:t>
      </w:r>
      <w:r w:rsidRPr="007069A5">
        <w:rPr>
          <w:rFonts w:ascii="Times New Roman" w:eastAsia="Calibri" w:hAnsi="Times New Roman" w:cs="Times New Roman"/>
          <w:color w:val="000000"/>
          <w:sz w:val="24"/>
          <w:szCs w:val="24"/>
        </w:rPr>
        <w:t xml:space="preserve"> úsporu vo výške 11 289 </w:t>
      </w:r>
      <w:r w:rsidR="00BE6A4F">
        <w:rPr>
          <w:rFonts w:ascii="Times New Roman" w:eastAsia="Calibri" w:hAnsi="Times New Roman" w:cs="Times New Roman"/>
          <w:color w:val="000000"/>
          <w:sz w:val="24"/>
          <w:szCs w:val="24"/>
        </w:rPr>
        <w:t>eur</w:t>
      </w:r>
      <w:r w:rsidRPr="007069A5">
        <w:rPr>
          <w:rFonts w:ascii="Times New Roman" w:eastAsia="Calibri" w:hAnsi="Times New Roman" w:cs="Times New Roman"/>
          <w:color w:val="000000"/>
          <w:sz w:val="24"/>
          <w:szCs w:val="24"/>
        </w:rPr>
        <w:t>.</w:t>
      </w:r>
    </w:p>
    <w:p w14:paraId="09C58330" w14:textId="432AD791" w:rsidR="00B229B7" w:rsidRPr="00286508" w:rsidRDefault="00600C85" w:rsidP="00B229B7">
      <w:pPr>
        <w:pStyle w:val="Odsekzoznamu"/>
        <w:numPr>
          <w:ilvl w:val="0"/>
          <w:numId w:val="18"/>
        </w:numPr>
        <w:jc w:val="both"/>
        <w:rPr>
          <w:rFonts w:ascii="Times New Roman" w:eastAsia="Calibri" w:hAnsi="Times New Roman" w:cs="Times New Roman"/>
          <w:b/>
          <w:bCs/>
          <w:i/>
          <w:sz w:val="24"/>
          <w:szCs w:val="24"/>
          <w:u w:val="single"/>
        </w:rPr>
      </w:pPr>
      <w:r w:rsidRPr="00286508">
        <w:rPr>
          <w:rFonts w:ascii="Times New Roman" w:eastAsia="Calibri" w:hAnsi="Times New Roman" w:cs="Times New Roman"/>
          <w:b/>
          <w:bCs/>
          <w:i/>
          <w:sz w:val="24"/>
          <w:szCs w:val="24"/>
          <w:u w:val="single"/>
        </w:rPr>
        <w:t xml:space="preserve">Zrušenie povinnosti </w:t>
      </w:r>
      <w:r w:rsidR="00B229B7" w:rsidRPr="00286508">
        <w:rPr>
          <w:rFonts w:ascii="Times New Roman" w:eastAsia="Calibri" w:hAnsi="Times New Roman" w:cs="Times New Roman"/>
          <w:b/>
          <w:bCs/>
          <w:i/>
          <w:sz w:val="24"/>
          <w:szCs w:val="24"/>
          <w:u w:val="single"/>
        </w:rPr>
        <w:t xml:space="preserve">zasielať distribútorovi tlačivo Osvedčenie na výstavbu energetického zariadenia </w:t>
      </w:r>
    </w:p>
    <w:p w14:paraId="79468C2B" w14:textId="2727B402" w:rsidR="00B229B7" w:rsidRPr="003E4F43" w:rsidRDefault="00B229B7" w:rsidP="00B229B7">
      <w:pPr>
        <w:jc w:val="both"/>
        <w:rPr>
          <w:rFonts w:ascii="Times New Roman" w:eastAsia="Calibri" w:hAnsi="Times New Roman" w:cs="Times New Roman"/>
          <w:bCs/>
          <w:sz w:val="24"/>
          <w:szCs w:val="24"/>
        </w:rPr>
      </w:pPr>
      <w:r w:rsidRPr="00B229B7">
        <w:rPr>
          <w:rFonts w:ascii="Times New Roman" w:eastAsia="Calibri" w:hAnsi="Times New Roman" w:cs="Times New Roman"/>
          <w:bCs/>
          <w:sz w:val="24"/>
          <w:szCs w:val="24"/>
        </w:rPr>
        <w:t>Zrušením povinnosti zasielať distribútorovi</w:t>
      </w:r>
      <w:r w:rsidR="00AA1F79">
        <w:rPr>
          <w:rFonts w:ascii="Times New Roman" w:eastAsia="Calibri" w:hAnsi="Times New Roman" w:cs="Times New Roman"/>
          <w:bCs/>
          <w:sz w:val="24"/>
          <w:szCs w:val="24"/>
        </w:rPr>
        <w:t xml:space="preserve"> tlačivo </w:t>
      </w:r>
      <w:r w:rsidRPr="00972604">
        <w:rPr>
          <w:rFonts w:ascii="Times New Roman" w:eastAsia="Calibri" w:hAnsi="Times New Roman" w:cs="Times New Roman"/>
          <w:bCs/>
          <w:i/>
          <w:sz w:val="24"/>
          <w:szCs w:val="24"/>
        </w:rPr>
        <w:t>Osvedčenie na výstavbu energetického zariadenia</w:t>
      </w:r>
      <w:r w:rsidR="00EF60A0">
        <w:rPr>
          <w:rFonts w:ascii="Times New Roman" w:eastAsia="Calibri" w:hAnsi="Times New Roman" w:cs="Times New Roman"/>
          <w:bCs/>
          <w:i/>
          <w:sz w:val="24"/>
          <w:szCs w:val="24"/>
        </w:rPr>
        <w:t>,</w:t>
      </w:r>
      <w:r w:rsidR="00972604">
        <w:rPr>
          <w:rFonts w:ascii="Times New Roman" w:eastAsia="Calibri" w:hAnsi="Times New Roman" w:cs="Times New Roman"/>
          <w:bCs/>
          <w:sz w:val="24"/>
          <w:szCs w:val="24"/>
        </w:rPr>
        <w:t xml:space="preserve"> </w:t>
      </w:r>
      <w:r w:rsidRPr="00B229B7">
        <w:rPr>
          <w:rFonts w:ascii="Times New Roman" w:eastAsia="Calibri" w:hAnsi="Times New Roman" w:cs="Times New Roman"/>
          <w:bCs/>
          <w:sz w:val="24"/>
          <w:szCs w:val="24"/>
        </w:rPr>
        <w:t>ako prílohu k žiadosti o pripojenie zariad</w:t>
      </w:r>
      <w:r w:rsidRPr="003E4F43">
        <w:rPr>
          <w:rFonts w:ascii="Times New Roman" w:eastAsia="Calibri" w:hAnsi="Times New Roman" w:cs="Times New Roman"/>
          <w:bCs/>
          <w:sz w:val="24"/>
          <w:szCs w:val="24"/>
        </w:rPr>
        <w:t>enia na výrobu elektriny do prenosovej sústavy alebo do distribučnej siete</w:t>
      </w:r>
      <w:r w:rsidR="00EF60A0">
        <w:rPr>
          <w:rFonts w:ascii="Times New Roman" w:eastAsia="Calibri" w:hAnsi="Times New Roman" w:cs="Times New Roman"/>
          <w:bCs/>
          <w:sz w:val="24"/>
          <w:szCs w:val="24"/>
        </w:rPr>
        <w:t>,</w:t>
      </w:r>
      <w:r w:rsidRPr="003E4F43">
        <w:rPr>
          <w:rFonts w:ascii="Times New Roman" w:eastAsia="Calibri" w:hAnsi="Times New Roman" w:cs="Times New Roman"/>
          <w:bCs/>
          <w:sz w:val="24"/>
          <w:szCs w:val="24"/>
        </w:rPr>
        <w:t xml:space="preserve"> sa zníži</w:t>
      </w:r>
      <w:r w:rsidR="00972604">
        <w:rPr>
          <w:rFonts w:ascii="Times New Roman" w:eastAsia="Calibri" w:hAnsi="Times New Roman" w:cs="Times New Roman"/>
          <w:bCs/>
          <w:sz w:val="24"/>
          <w:szCs w:val="24"/>
        </w:rPr>
        <w:t xml:space="preserve"> administratívna záťaž</w:t>
      </w:r>
      <w:r w:rsidRPr="003E4F43">
        <w:rPr>
          <w:rFonts w:ascii="Times New Roman" w:eastAsia="Calibri" w:hAnsi="Times New Roman" w:cs="Times New Roman"/>
          <w:bCs/>
          <w:sz w:val="24"/>
          <w:szCs w:val="24"/>
        </w:rPr>
        <w:t xml:space="preserve"> </w:t>
      </w:r>
      <w:r w:rsidR="00972604">
        <w:rPr>
          <w:rFonts w:ascii="Times New Roman" w:eastAsia="Calibri" w:hAnsi="Times New Roman" w:cs="Times New Roman"/>
          <w:bCs/>
          <w:sz w:val="24"/>
          <w:szCs w:val="24"/>
        </w:rPr>
        <w:t>podnikateľských subjektov</w:t>
      </w:r>
      <w:r w:rsidR="00AA1F79">
        <w:rPr>
          <w:rFonts w:ascii="Times New Roman" w:eastAsia="Calibri" w:hAnsi="Times New Roman" w:cs="Times New Roman"/>
          <w:bCs/>
          <w:sz w:val="24"/>
          <w:szCs w:val="24"/>
        </w:rPr>
        <w:t xml:space="preserve">. </w:t>
      </w:r>
      <w:r w:rsidR="00EF60A0">
        <w:rPr>
          <w:rFonts w:ascii="Times New Roman" w:eastAsia="Calibri" w:hAnsi="Times New Roman" w:cs="Times New Roman"/>
          <w:bCs/>
          <w:sz w:val="24"/>
          <w:szCs w:val="24"/>
        </w:rPr>
        <w:t>V</w:t>
      </w:r>
      <w:r w:rsidR="00972604">
        <w:rPr>
          <w:rFonts w:ascii="Times New Roman" w:eastAsia="Calibri" w:hAnsi="Times New Roman" w:cs="Times New Roman"/>
          <w:sz w:val="24"/>
          <w:szCs w:val="24"/>
        </w:rPr>
        <w:t>ýška</w:t>
      </w:r>
      <w:r w:rsidR="00972604" w:rsidRPr="007069A5">
        <w:rPr>
          <w:rFonts w:ascii="Times New Roman" w:eastAsia="Calibri" w:hAnsi="Times New Roman" w:cs="Times New Roman"/>
          <w:sz w:val="24"/>
          <w:szCs w:val="24"/>
        </w:rPr>
        <w:t xml:space="preserve"> administratívnych nákladov</w:t>
      </w:r>
      <w:r w:rsidR="00972604">
        <w:rPr>
          <w:rFonts w:ascii="Times New Roman" w:eastAsia="Calibri" w:hAnsi="Times New Roman" w:cs="Times New Roman"/>
          <w:sz w:val="24"/>
          <w:szCs w:val="24"/>
        </w:rPr>
        <w:t xml:space="preserve"> </w:t>
      </w:r>
      <w:r w:rsidR="00EF60A0">
        <w:rPr>
          <w:rFonts w:ascii="Times New Roman" w:eastAsia="Calibri" w:hAnsi="Times New Roman" w:cs="Times New Roman"/>
          <w:sz w:val="24"/>
          <w:szCs w:val="24"/>
        </w:rPr>
        <w:t xml:space="preserve">bola </w:t>
      </w:r>
      <w:r w:rsidR="00972604">
        <w:rPr>
          <w:rFonts w:ascii="Times New Roman" w:eastAsia="Calibri" w:hAnsi="Times New Roman" w:cs="Times New Roman"/>
          <w:sz w:val="24"/>
          <w:szCs w:val="24"/>
        </w:rPr>
        <w:t xml:space="preserve">prepočítaná </w:t>
      </w:r>
      <w:r w:rsidR="00972604" w:rsidRPr="007069A5">
        <w:rPr>
          <w:rFonts w:ascii="Times New Roman" w:eastAsia="Calibri" w:hAnsi="Times New Roman" w:cs="Times New Roman"/>
          <w:sz w:val="24"/>
          <w:szCs w:val="24"/>
        </w:rPr>
        <w:t>cez kalkulačku nákladov na podnikateľské prostredie za využitia štandardizovaných administratívnych úkonov</w:t>
      </w:r>
      <w:r w:rsidR="00661F9C">
        <w:rPr>
          <w:rFonts w:ascii="Times New Roman" w:eastAsia="Calibri" w:hAnsi="Times New Roman" w:cs="Times New Roman"/>
          <w:sz w:val="24"/>
          <w:szCs w:val="24"/>
        </w:rPr>
        <w:t>, pri ktorých je definovaná predpokladaná časová náročnosť úkonu</w:t>
      </w:r>
      <w:r w:rsidR="00EF60A0">
        <w:rPr>
          <w:rFonts w:ascii="Times New Roman" w:eastAsia="Calibri" w:hAnsi="Times New Roman" w:cs="Times New Roman"/>
          <w:bCs/>
          <w:sz w:val="24"/>
          <w:szCs w:val="24"/>
        </w:rPr>
        <w:t>. Celkový p</w:t>
      </w:r>
      <w:r w:rsidR="00972604">
        <w:rPr>
          <w:rFonts w:ascii="Times New Roman" w:eastAsia="Calibri" w:hAnsi="Times New Roman" w:cs="Times New Roman"/>
          <w:bCs/>
          <w:sz w:val="24"/>
          <w:szCs w:val="24"/>
        </w:rPr>
        <w:t xml:space="preserve">očet dotknutých subjektov bol </w:t>
      </w:r>
      <w:r w:rsidR="00256528">
        <w:rPr>
          <w:rFonts w:ascii="Times New Roman" w:eastAsia="Calibri" w:hAnsi="Times New Roman" w:cs="Times New Roman"/>
          <w:bCs/>
          <w:sz w:val="24"/>
          <w:szCs w:val="24"/>
        </w:rPr>
        <w:t xml:space="preserve">na základe interných štatistík Ministerstva hospodárstva SR </w:t>
      </w:r>
      <w:r w:rsidR="00972604">
        <w:rPr>
          <w:rFonts w:ascii="Times New Roman" w:eastAsia="Calibri" w:hAnsi="Times New Roman" w:cs="Times New Roman"/>
          <w:bCs/>
          <w:sz w:val="24"/>
          <w:szCs w:val="24"/>
        </w:rPr>
        <w:t>stanovený na 25</w:t>
      </w:r>
      <w:r w:rsidR="00661F9C">
        <w:rPr>
          <w:rFonts w:ascii="Times New Roman" w:eastAsia="Calibri" w:hAnsi="Times New Roman" w:cs="Times New Roman"/>
          <w:bCs/>
          <w:sz w:val="24"/>
          <w:szCs w:val="24"/>
        </w:rPr>
        <w:t xml:space="preserve"> subjektov</w:t>
      </w:r>
      <w:r w:rsidR="00972604">
        <w:rPr>
          <w:rFonts w:ascii="Times New Roman" w:eastAsia="Calibri" w:hAnsi="Times New Roman" w:cs="Times New Roman"/>
          <w:bCs/>
          <w:sz w:val="24"/>
          <w:szCs w:val="24"/>
        </w:rPr>
        <w:t xml:space="preserve"> a časová náročnosť </w:t>
      </w:r>
      <w:r w:rsidR="00EF60A0">
        <w:rPr>
          <w:rFonts w:ascii="Times New Roman" w:eastAsia="Calibri" w:hAnsi="Times New Roman" w:cs="Times New Roman"/>
          <w:bCs/>
          <w:sz w:val="24"/>
          <w:szCs w:val="24"/>
        </w:rPr>
        <w:t>zasielania elektronického dokumentu bola stanovená na 30 minút. Frekvencia úkonu je nepravidelná</w:t>
      </w:r>
      <w:r w:rsidR="00661F9C">
        <w:rPr>
          <w:rFonts w:ascii="Times New Roman" w:eastAsia="Calibri" w:hAnsi="Times New Roman" w:cs="Times New Roman"/>
          <w:bCs/>
          <w:sz w:val="24"/>
          <w:szCs w:val="24"/>
        </w:rPr>
        <w:t>, nakoľko nejde o povinnosť s pravidelnou frekvenciou</w:t>
      </w:r>
      <w:r w:rsidR="00EF60A0">
        <w:rPr>
          <w:rFonts w:ascii="Times New Roman" w:eastAsia="Calibri" w:hAnsi="Times New Roman" w:cs="Times New Roman"/>
          <w:bCs/>
          <w:sz w:val="24"/>
          <w:szCs w:val="24"/>
        </w:rPr>
        <w:t xml:space="preserve">. Celková predpokladaná úspora na podnikateľské prostredie </w:t>
      </w:r>
      <w:r w:rsidR="006C61C2">
        <w:rPr>
          <w:rFonts w:ascii="Times New Roman" w:eastAsia="Calibri" w:hAnsi="Times New Roman" w:cs="Times New Roman"/>
          <w:bCs/>
          <w:sz w:val="24"/>
          <w:szCs w:val="24"/>
        </w:rPr>
        <w:t xml:space="preserve">prepočítaná cez kalkulačku nákladov </w:t>
      </w:r>
      <w:r w:rsidR="00EF60A0">
        <w:rPr>
          <w:rFonts w:ascii="Times New Roman" w:eastAsia="Calibri" w:hAnsi="Times New Roman" w:cs="Times New Roman"/>
          <w:bCs/>
          <w:sz w:val="24"/>
          <w:szCs w:val="24"/>
        </w:rPr>
        <w:t>je vo výške 34 eur</w:t>
      </w:r>
      <w:r w:rsidR="00661F9C">
        <w:rPr>
          <w:rFonts w:ascii="Times New Roman" w:eastAsia="Calibri" w:hAnsi="Times New Roman" w:cs="Times New Roman"/>
          <w:bCs/>
          <w:sz w:val="24"/>
          <w:szCs w:val="24"/>
        </w:rPr>
        <w:t xml:space="preserve"> na celé podnikateľské prostredie</w:t>
      </w:r>
      <w:r w:rsidR="00EF60A0">
        <w:rPr>
          <w:rFonts w:ascii="Times New Roman" w:eastAsia="Calibri" w:hAnsi="Times New Roman" w:cs="Times New Roman"/>
          <w:bCs/>
          <w:sz w:val="24"/>
          <w:szCs w:val="24"/>
        </w:rPr>
        <w:t>.</w:t>
      </w:r>
    </w:p>
    <w:p w14:paraId="18C9E067" w14:textId="4307A340" w:rsidR="00054C41" w:rsidRDefault="00054C41" w:rsidP="00054C41">
      <w:pPr>
        <w:jc w:val="both"/>
        <w:rPr>
          <w:rFonts w:ascii="Times New Roman" w:eastAsia="Calibri" w:hAnsi="Times New Roman" w:cs="Times New Roman"/>
          <w:bCs/>
          <w:i/>
          <w:iCs/>
          <w:color w:val="000000"/>
          <w:sz w:val="24"/>
          <w:szCs w:val="24"/>
        </w:rPr>
      </w:pPr>
      <w:r w:rsidRPr="00775A95">
        <w:rPr>
          <w:rFonts w:ascii="Times New Roman" w:eastAsia="Calibri" w:hAnsi="Times New Roman" w:cs="Times New Roman"/>
          <w:bCs/>
          <w:i/>
          <w:iCs/>
          <w:color w:val="000000"/>
          <w:sz w:val="24"/>
          <w:szCs w:val="24"/>
        </w:rPr>
        <w:t xml:space="preserve">Osobitne pri </w:t>
      </w:r>
      <w:r w:rsidR="00A2564D" w:rsidRPr="00775A95">
        <w:rPr>
          <w:rFonts w:ascii="Times New Roman" w:eastAsia="Calibri" w:hAnsi="Times New Roman" w:cs="Times New Roman"/>
          <w:bCs/>
          <w:i/>
          <w:iCs/>
          <w:color w:val="000000"/>
          <w:sz w:val="24"/>
          <w:szCs w:val="24"/>
        </w:rPr>
        <w:t xml:space="preserve">každej regulácii s vplyvom na podnikateľské prostredie </w:t>
      </w:r>
      <w:r w:rsidRPr="00775A95">
        <w:rPr>
          <w:rFonts w:ascii="Times New Roman" w:eastAsia="Calibri" w:hAnsi="Times New Roman" w:cs="Times New Roman"/>
          <w:bCs/>
          <w:i/>
          <w:iCs/>
          <w:color w:val="000000"/>
          <w:sz w:val="24"/>
          <w:szCs w:val="24"/>
        </w:rPr>
        <w:t xml:space="preserve">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sidR="00A000DA" w:rsidRPr="00775A95">
        <w:rPr>
          <w:rFonts w:ascii="Times New Roman" w:eastAsia="Calibri" w:hAnsi="Times New Roman" w:cs="Times New Roman"/>
          <w:bCs/>
          <w:i/>
          <w:iCs/>
          <w:color w:val="000000"/>
          <w:sz w:val="24"/>
          <w:szCs w:val="24"/>
        </w:rPr>
        <w:t xml:space="preserve"> a poplatky, ktorých cieľom je znižovať negatívne externality</w:t>
      </w:r>
      <w:r w:rsidRPr="00775A95">
        <w:rPr>
          <w:rFonts w:ascii="Times New Roman" w:eastAsia="Calibri" w:hAnsi="Times New Roman" w:cs="Times New Roman"/>
          <w:bCs/>
          <w:i/>
          <w:iCs/>
          <w:color w:val="000000"/>
          <w:sz w:val="24"/>
          <w:szCs w:val="24"/>
        </w:rPr>
        <w:t xml:space="preserve">, B. </w:t>
      </w:r>
      <w:r w:rsidR="00A000DA" w:rsidRPr="00775A95">
        <w:rPr>
          <w:rFonts w:ascii="Times New Roman" w:eastAsia="Calibri" w:hAnsi="Times New Roman" w:cs="Times New Roman"/>
          <w:bCs/>
          <w:i/>
          <w:iCs/>
          <w:color w:val="000000"/>
          <w:sz w:val="24"/>
          <w:szCs w:val="24"/>
        </w:rPr>
        <w:t>Iné p</w:t>
      </w:r>
      <w:r w:rsidRPr="00775A95">
        <w:rPr>
          <w:rFonts w:ascii="Times New Roman" w:eastAsia="Calibri" w:hAnsi="Times New Roman" w:cs="Times New Roman"/>
          <w:bCs/>
          <w:i/>
          <w:iCs/>
          <w:color w:val="000000"/>
          <w:sz w:val="24"/>
          <w:szCs w:val="24"/>
        </w:rPr>
        <w:t>oplatky, C. Nepriame finančné náklady, D. Administratívne náklady). Rozčleňte ich a vypočítajte v súlade s metodickým postupom.</w:t>
      </w:r>
      <w:r w:rsidRPr="00D8247C">
        <w:rPr>
          <w:rFonts w:ascii="Times New Roman" w:eastAsia="Calibri" w:hAnsi="Times New Roman" w:cs="Times New Roman"/>
          <w:bCs/>
          <w:i/>
          <w:iCs/>
          <w:color w:val="000000"/>
          <w:sz w:val="24"/>
          <w:szCs w:val="24"/>
        </w:rPr>
        <w:t xml:space="preserve"> </w:t>
      </w:r>
    </w:p>
    <w:p w14:paraId="42CD176F" w14:textId="44600135" w:rsidR="00054C41"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5108C315" w14:textId="45CF251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5830DA9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653EA42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F2C491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72D471BB" w14:textId="77777777" w:rsidR="00F640D7" w:rsidRDefault="00F640D7" w:rsidP="00054C41">
      <w:pPr>
        <w:spacing w:after="0"/>
        <w:jc w:val="both"/>
      </w:pPr>
    </w:p>
    <w:p w14:paraId="79A7468C" w14:textId="3CE13F52" w:rsidR="00F640D7" w:rsidRPr="009C054C" w:rsidRDefault="00F92986" w:rsidP="00E74E17">
      <w:pPr>
        <w:spacing w:after="120"/>
        <w:jc w:val="both"/>
        <w:rPr>
          <w:rFonts w:ascii="Times New Roman" w:hAnsi="Times New Roman" w:cs="Times New Roman"/>
          <w:sz w:val="24"/>
          <w:szCs w:val="24"/>
        </w:rPr>
      </w:pPr>
      <w:r w:rsidRPr="009C054C">
        <w:rPr>
          <w:rFonts w:ascii="Times New Roman" w:hAnsi="Times New Roman" w:cs="Times New Roman"/>
          <w:sz w:val="24"/>
          <w:szCs w:val="24"/>
        </w:rPr>
        <w:t>Všetky návrhy na zlepšenie podnikateľského prostredia obsiahnuté v predmetnom návrhu zákona pochádzajú zo zberu podnetov od podnikateľskej verejnosti, ktor</w:t>
      </w:r>
      <w:r w:rsidR="00F640D7" w:rsidRPr="009C054C">
        <w:rPr>
          <w:rFonts w:ascii="Times New Roman" w:hAnsi="Times New Roman" w:cs="Times New Roman"/>
          <w:sz w:val="24"/>
          <w:szCs w:val="24"/>
        </w:rPr>
        <w:t>ý prebiehal od r. 2020.</w:t>
      </w:r>
      <w:r w:rsidRPr="009C054C">
        <w:rPr>
          <w:rFonts w:ascii="Times New Roman" w:hAnsi="Times New Roman" w:cs="Times New Roman"/>
          <w:sz w:val="24"/>
          <w:szCs w:val="24"/>
        </w:rPr>
        <w:t xml:space="preserve"> </w:t>
      </w:r>
      <w:r w:rsidR="00F640D7" w:rsidRPr="009C054C">
        <w:rPr>
          <w:rFonts w:ascii="Times New Roman" w:hAnsi="Times New Roman" w:cs="Times New Roman"/>
          <w:sz w:val="24"/>
          <w:szCs w:val="24"/>
        </w:rPr>
        <w:t xml:space="preserve"> MH SR vykonávalo ko</w:t>
      </w:r>
      <w:r w:rsidR="00531C24" w:rsidRPr="009C054C">
        <w:rPr>
          <w:rFonts w:ascii="Times New Roman" w:hAnsi="Times New Roman" w:cs="Times New Roman"/>
          <w:sz w:val="24"/>
          <w:szCs w:val="24"/>
        </w:rPr>
        <w:t>nzultácie priamo s podnikateľmi</w:t>
      </w:r>
      <w:r w:rsidR="00F640D7" w:rsidRPr="009C054C">
        <w:rPr>
          <w:rFonts w:ascii="Times New Roman" w:hAnsi="Times New Roman" w:cs="Times New Roman"/>
          <w:sz w:val="24"/>
          <w:szCs w:val="24"/>
        </w:rPr>
        <w:t xml:space="preserve"> tým, </w:t>
      </w:r>
      <w:r w:rsidR="00F640D7" w:rsidRPr="009C054C">
        <w:rPr>
          <w:rFonts w:ascii="Times New Roman" w:hAnsi="Times New Roman" w:cs="Times New Roman"/>
          <w:sz w:val="24"/>
          <w:szCs w:val="24"/>
        </w:rPr>
        <w:lastRenderedPageBreak/>
        <w:t>že zisťovalo podrobnosti zasielaných podnetov. Niektoré podnety boli zaslané MH SR priamo zástupcami podnikateľov, napr. Slovenský živnostenský zväz, Slovenská potravinárska komora. S uvedenými zástupcami prebiehali intenzívne konzultácie až do prerokovania návrhu opatrení s jednotlivými</w:t>
      </w:r>
      <w:r w:rsidR="00F640D7" w:rsidRPr="009C054C">
        <w:rPr>
          <w:rFonts w:ascii="Times New Roman" w:hAnsi="Times New Roman" w:cs="Times New Roman"/>
          <w:i/>
          <w:sz w:val="24"/>
          <w:szCs w:val="24"/>
        </w:rPr>
        <w:t xml:space="preserve"> </w:t>
      </w:r>
      <w:r w:rsidR="005A27E7" w:rsidRPr="009C054C">
        <w:rPr>
          <w:rFonts w:ascii="Times New Roman" w:hAnsi="Times New Roman" w:cs="Times New Roman"/>
          <w:sz w:val="24"/>
          <w:szCs w:val="24"/>
        </w:rPr>
        <w:t xml:space="preserve">dotknutými ministerstvami a ústrednými orgánmi. </w:t>
      </w:r>
      <w:r w:rsidR="00F640D7" w:rsidRPr="009C054C">
        <w:rPr>
          <w:rFonts w:ascii="Times New Roman" w:hAnsi="Times New Roman" w:cs="Times New Roman"/>
          <w:sz w:val="24"/>
          <w:szCs w:val="24"/>
        </w:rPr>
        <w:t>Na konzu</w:t>
      </w:r>
      <w:r w:rsidR="005A27E7" w:rsidRPr="009C054C">
        <w:rPr>
          <w:rFonts w:ascii="Times New Roman" w:hAnsi="Times New Roman" w:cs="Times New Roman"/>
          <w:sz w:val="24"/>
          <w:szCs w:val="24"/>
        </w:rPr>
        <w:t>ltáciách s jednotli</w:t>
      </w:r>
      <w:r w:rsidR="00531C24" w:rsidRPr="009C054C">
        <w:rPr>
          <w:rFonts w:ascii="Times New Roman" w:hAnsi="Times New Roman" w:cs="Times New Roman"/>
          <w:sz w:val="24"/>
          <w:szCs w:val="24"/>
        </w:rPr>
        <w:t xml:space="preserve">vými ministerstvami sa niekedy </w:t>
      </w:r>
      <w:r w:rsidR="00F640D7" w:rsidRPr="009C054C">
        <w:rPr>
          <w:rFonts w:ascii="Times New Roman" w:hAnsi="Times New Roman" w:cs="Times New Roman"/>
          <w:sz w:val="24"/>
          <w:szCs w:val="24"/>
        </w:rPr>
        <w:t>zúčastňovali aj zástupcovia podnikateľov.</w:t>
      </w:r>
    </w:p>
    <w:p w14:paraId="50FC6718" w14:textId="68D1C896" w:rsidR="00054C41" w:rsidRPr="009C054C" w:rsidRDefault="00C130DD" w:rsidP="00054C41">
      <w:pPr>
        <w:spacing w:after="0"/>
        <w:jc w:val="both"/>
        <w:rPr>
          <w:rFonts w:ascii="Times New Roman" w:hAnsi="Times New Roman" w:cs="Times New Roman"/>
          <w:sz w:val="24"/>
          <w:szCs w:val="24"/>
        </w:rPr>
      </w:pPr>
      <w:r>
        <w:rPr>
          <w:rFonts w:ascii="Times New Roman" w:hAnsi="Times New Roman" w:cs="Times New Roman"/>
          <w:sz w:val="24"/>
          <w:szCs w:val="24"/>
        </w:rPr>
        <w:t>Konzultácie prebiehali on-</w:t>
      </w:r>
      <w:r w:rsidR="00F640D7" w:rsidRPr="009C054C">
        <w:rPr>
          <w:rFonts w:ascii="Times New Roman" w:hAnsi="Times New Roman" w:cs="Times New Roman"/>
          <w:sz w:val="24"/>
          <w:szCs w:val="24"/>
        </w:rPr>
        <w:t>line formou, alebo priamo formou cielených konzultácií, workshopov, konferencie. Konzultácie k opatreniam trvali viac ako 4 týždne</w:t>
      </w:r>
      <w:r w:rsidR="00323680" w:rsidRPr="009C054C">
        <w:rPr>
          <w:rFonts w:ascii="Times New Roman" w:hAnsi="Times New Roman" w:cs="Times New Roman"/>
          <w:sz w:val="24"/>
          <w:szCs w:val="24"/>
        </w:rPr>
        <w:t xml:space="preserve">, čím bola zo strany MH SR </w:t>
      </w:r>
      <w:r w:rsidR="00F92986" w:rsidRPr="009C054C">
        <w:rPr>
          <w:rFonts w:ascii="Times New Roman" w:hAnsi="Times New Roman" w:cs="Times New Roman"/>
          <w:sz w:val="24"/>
          <w:szCs w:val="24"/>
        </w:rPr>
        <w:t xml:space="preserve">splnená povinnosť konzultácie s podnikateľmi v zmysle 2. vety bodu </w:t>
      </w:r>
      <w:r w:rsidR="009C054C" w:rsidRPr="009C054C">
        <w:rPr>
          <w:rFonts w:ascii="Times New Roman" w:hAnsi="Times New Roman" w:cs="Times New Roman"/>
          <w:sz w:val="24"/>
          <w:szCs w:val="24"/>
        </w:rPr>
        <w:t>5.8. Jednotnej metodiky. K</w:t>
      </w:r>
      <w:r w:rsidR="00F92986" w:rsidRPr="009C054C">
        <w:rPr>
          <w:rFonts w:ascii="Times New Roman" w:hAnsi="Times New Roman" w:cs="Times New Roman"/>
          <w:sz w:val="24"/>
          <w:szCs w:val="24"/>
        </w:rPr>
        <w:t xml:space="preserve">onzultácie </w:t>
      </w:r>
      <w:r w:rsidR="009C054C" w:rsidRPr="009C054C">
        <w:rPr>
          <w:rFonts w:ascii="Times New Roman" w:hAnsi="Times New Roman" w:cs="Times New Roman"/>
          <w:sz w:val="24"/>
          <w:szCs w:val="24"/>
        </w:rPr>
        <w:t xml:space="preserve">k opatreniam, ktoré budú plnené vlastnou legislatívou gestora, </w:t>
      </w:r>
      <w:r w:rsidR="00F92986" w:rsidRPr="009C054C">
        <w:rPr>
          <w:rFonts w:ascii="Times New Roman" w:hAnsi="Times New Roman" w:cs="Times New Roman"/>
          <w:sz w:val="24"/>
          <w:szCs w:val="24"/>
        </w:rPr>
        <w:t xml:space="preserve">budú prebiehať pri predkladaní materiálov do legislatívneho </w:t>
      </w:r>
      <w:r w:rsidR="009C054C" w:rsidRPr="009C054C">
        <w:rPr>
          <w:rFonts w:ascii="Times New Roman" w:hAnsi="Times New Roman" w:cs="Times New Roman"/>
          <w:sz w:val="24"/>
          <w:szCs w:val="24"/>
        </w:rPr>
        <w:t xml:space="preserve">procesu, pričom tie budú viesť títo </w:t>
      </w:r>
      <w:r w:rsidR="00F92986" w:rsidRPr="009C054C">
        <w:rPr>
          <w:rFonts w:ascii="Times New Roman" w:hAnsi="Times New Roman" w:cs="Times New Roman"/>
          <w:sz w:val="24"/>
          <w:szCs w:val="24"/>
        </w:rPr>
        <w:t>gestori individuálne.</w:t>
      </w:r>
    </w:p>
    <w:p w14:paraId="2B9B01F4" w14:textId="77777777" w:rsidR="00054C41" w:rsidRPr="001F1B43" w:rsidRDefault="00054C41" w:rsidP="00054C41">
      <w:pPr>
        <w:jc w:val="both"/>
        <w:rPr>
          <w:rFonts w:ascii="Times New Roman" w:eastAsia="Calibri" w:hAnsi="Times New Roman" w:cs="Times New Roman"/>
          <w:b/>
          <w:sz w:val="24"/>
          <w:szCs w:val="24"/>
        </w:rPr>
      </w:pPr>
      <w:bookmarkStart w:id="1" w:name="_Hlk47698091"/>
      <w:r w:rsidRPr="001F1B43">
        <w:rPr>
          <w:rFonts w:ascii="Times New Roman" w:eastAsia="Calibri" w:hAnsi="Times New Roman" w:cs="Times New Roman"/>
          <w:b/>
          <w:sz w:val="24"/>
          <w:szCs w:val="24"/>
        </w:rPr>
        <w:t>3.3 Vplyvy na konkurencieschopnosť a produktivitu</w:t>
      </w:r>
    </w:p>
    <w:bookmarkEnd w:id="1"/>
    <w:p w14:paraId="74A6C28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14:paraId="3C81D3E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14:paraId="5BAAAEA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3DFB8B9F" w14:textId="7341CF82"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3EC29FF8" w14:textId="52A06123" w:rsidR="007259CB" w:rsidRPr="00D8247C"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762820C2" w14:textId="0AB71960" w:rsidR="00054C41" w:rsidRDefault="00054C41" w:rsidP="00054C41">
      <w:pPr>
        <w:spacing w:after="0"/>
        <w:jc w:val="both"/>
        <w:rPr>
          <w:rFonts w:ascii="Times New Roman" w:eastAsia="Calibri" w:hAnsi="Times New Roman" w:cs="Times New Roman"/>
          <w:i/>
          <w:iCs/>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2D553DC9" w14:textId="2F74B559" w:rsidR="00D213C3" w:rsidRPr="009C054C" w:rsidRDefault="00D213C3" w:rsidP="00054C41">
      <w:pPr>
        <w:spacing w:after="0"/>
        <w:jc w:val="both"/>
        <w:rPr>
          <w:rFonts w:ascii="Times New Roman" w:eastAsia="Calibri" w:hAnsi="Times New Roman" w:cs="Times New Roman"/>
          <w:iCs/>
          <w:sz w:val="24"/>
          <w:szCs w:val="24"/>
        </w:rPr>
      </w:pPr>
    </w:p>
    <w:p w14:paraId="0F958962" w14:textId="42A44591" w:rsidR="00D213C3" w:rsidRPr="009C054C" w:rsidRDefault="00CD6793" w:rsidP="00D213C3">
      <w:pPr>
        <w:spacing w:after="0"/>
        <w:jc w:val="both"/>
        <w:rPr>
          <w:rFonts w:ascii="Times New Roman" w:hAnsi="Times New Roman" w:cs="Times New Roman"/>
          <w:sz w:val="24"/>
          <w:szCs w:val="24"/>
        </w:rPr>
      </w:pPr>
      <w:r w:rsidRPr="009C054C">
        <w:rPr>
          <w:rFonts w:ascii="Times New Roman" w:eastAsia="Calibri" w:hAnsi="Times New Roman" w:cs="Times New Roman"/>
          <w:sz w:val="24"/>
          <w:szCs w:val="24"/>
        </w:rPr>
        <w:t xml:space="preserve">Navrhovanými zmenami sa znižuje administratívna záťaž </w:t>
      </w:r>
      <w:r w:rsidR="00D213C3" w:rsidRPr="009C054C">
        <w:rPr>
          <w:rFonts w:ascii="Times New Roman" w:eastAsia="Calibri" w:hAnsi="Times New Roman" w:cs="Times New Roman"/>
          <w:sz w:val="24"/>
          <w:szCs w:val="24"/>
        </w:rPr>
        <w:t>tým, že sa</w:t>
      </w:r>
      <w:r w:rsidR="009C054C" w:rsidRPr="009C054C">
        <w:rPr>
          <w:rFonts w:ascii="Times New Roman" w:eastAsia="Calibri" w:hAnsi="Times New Roman" w:cs="Times New Roman"/>
          <w:sz w:val="24"/>
          <w:szCs w:val="24"/>
        </w:rPr>
        <w:t xml:space="preserve"> napríklad</w:t>
      </w:r>
      <w:r w:rsidR="00D213C3" w:rsidRPr="009C054C">
        <w:rPr>
          <w:rFonts w:ascii="Times New Roman" w:eastAsia="Calibri" w:hAnsi="Times New Roman" w:cs="Times New Roman"/>
          <w:sz w:val="24"/>
          <w:szCs w:val="24"/>
        </w:rPr>
        <w:t xml:space="preserve"> </w:t>
      </w:r>
      <w:r w:rsidR="00597F18" w:rsidRPr="009C054C">
        <w:rPr>
          <w:rFonts w:ascii="Times New Roman" w:hAnsi="Times New Roman" w:cs="Times New Roman"/>
          <w:sz w:val="24"/>
          <w:szCs w:val="24"/>
        </w:rPr>
        <w:t>zmierňuje limitácia</w:t>
      </w:r>
      <w:r w:rsidR="00D213C3" w:rsidRPr="009C054C">
        <w:rPr>
          <w:rFonts w:ascii="Times New Roman" w:hAnsi="Times New Roman" w:cs="Times New Roman"/>
          <w:sz w:val="24"/>
          <w:szCs w:val="24"/>
        </w:rPr>
        <w:t xml:space="preserve"> počtu</w:t>
      </w:r>
      <w:r w:rsidR="005A27E7" w:rsidRPr="009C054C">
        <w:rPr>
          <w:rFonts w:ascii="Times New Roman" w:hAnsi="Times New Roman" w:cs="Times New Roman"/>
          <w:sz w:val="24"/>
          <w:szCs w:val="24"/>
        </w:rPr>
        <w:t xml:space="preserve"> </w:t>
      </w:r>
      <w:r w:rsidR="00D213C3" w:rsidRPr="009C054C">
        <w:rPr>
          <w:rFonts w:ascii="Times New Roman" w:hAnsi="Times New Roman" w:cs="Times New Roman"/>
          <w:sz w:val="24"/>
          <w:szCs w:val="24"/>
        </w:rPr>
        <w:t xml:space="preserve">držiteľov povolenia na podnikanie v energetike, pre ktorých môže odborne spôsobilá osoba vykonávať funkciu zodpovedného zástupcu (z pôvodne 1 držiteľa na 3), </w:t>
      </w:r>
      <w:r w:rsidR="00E74E17">
        <w:rPr>
          <w:rFonts w:ascii="Times New Roman" w:hAnsi="Times New Roman" w:cs="Times New Roman"/>
          <w:sz w:val="24"/>
          <w:szCs w:val="24"/>
        </w:rPr>
        <w:t xml:space="preserve">či sa </w:t>
      </w:r>
      <w:r w:rsidR="005A27E7" w:rsidRPr="009C054C">
        <w:rPr>
          <w:rFonts w:ascii="Times New Roman" w:hAnsi="Times New Roman" w:cs="Times New Roman"/>
          <w:sz w:val="24"/>
          <w:szCs w:val="24"/>
        </w:rPr>
        <w:t>umožňuje zasielanie oznámení o výmene plynomeru elektronicky</w:t>
      </w:r>
      <w:r w:rsidR="00D213C3" w:rsidRPr="009C054C">
        <w:rPr>
          <w:rFonts w:ascii="Times New Roman" w:hAnsi="Times New Roman" w:cs="Times New Roman"/>
          <w:sz w:val="24"/>
          <w:szCs w:val="24"/>
        </w:rPr>
        <w:t>.</w:t>
      </w:r>
    </w:p>
    <w:p w14:paraId="39ED9485" w14:textId="66BAE27A" w:rsidR="00C11B0E" w:rsidRPr="00D213C3" w:rsidRDefault="00C11B0E" w:rsidP="00054C41">
      <w:pPr>
        <w:spacing w:after="0"/>
        <w:jc w:val="both"/>
        <w:rPr>
          <w:rFonts w:ascii="Times New Roman" w:eastAsia="Calibri" w:hAnsi="Times New Roman" w:cs="Times New Roman"/>
          <w:i/>
          <w:sz w:val="24"/>
          <w:szCs w:val="24"/>
          <w:highlight w:val="green"/>
        </w:rPr>
      </w:pPr>
    </w:p>
    <w:p w14:paraId="04CFE8F5" w14:textId="60460A28" w:rsidR="002D0CD8" w:rsidRPr="00AC3E80" w:rsidRDefault="00C11B0E" w:rsidP="004E1A6E">
      <w:pPr>
        <w:spacing w:after="0"/>
        <w:jc w:val="both"/>
        <w:rPr>
          <w:rFonts w:ascii="Times New Roman" w:hAnsi="Times New Roman" w:cs="Times New Roman"/>
          <w:sz w:val="24"/>
          <w:szCs w:val="24"/>
        </w:rPr>
      </w:pPr>
      <w:r w:rsidRPr="009C054C">
        <w:rPr>
          <w:rFonts w:ascii="Times New Roman" w:eastAsia="Calibri" w:hAnsi="Times New Roman" w:cs="Times New Roman"/>
          <w:sz w:val="24"/>
          <w:szCs w:val="24"/>
        </w:rPr>
        <w:t>O</w:t>
      </w:r>
      <w:r w:rsidR="00F640D7" w:rsidRPr="009C054C">
        <w:rPr>
          <w:rFonts w:ascii="Times New Roman" w:eastAsia="Calibri" w:hAnsi="Times New Roman" w:cs="Times New Roman"/>
          <w:sz w:val="24"/>
          <w:szCs w:val="24"/>
        </w:rPr>
        <w:t>patreniami</w:t>
      </w:r>
      <w:r w:rsidR="00DE45B1" w:rsidRPr="009C054C">
        <w:rPr>
          <w:rFonts w:ascii="Times New Roman" w:eastAsia="Calibri" w:hAnsi="Times New Roman" w:cs="Times New Roman"/>
          <w:sz w:val="24"/>
          <w:szCs w:val="24"/>
        </w:rPr>
        <w:t xml:space="preserve">, ktoré sa </w:t>
      </w:r>
      <w:r w:rsidR="009C054C" w:rsidRPr="009C054C">
        <w:rPr>
          <w:rFonts w:ascii="Times New Roman" w:eastAsia="Calibri" w:hAnsi="Times New Roman" w:cs="Times New Roman"/>
          <w:bCs/>
          <w:iCs/>
          <w:sz w:val="24"/>
          <w:szCs w:val="24"/>
        </w:rPr>
        <w:t>plnia zákonom č. 94/2013 Z.</w:t>
      </w:r>
      <w:r w:rsidR="00BB06B0">
        <w:rPr>
          <w:rFonts w:ascii="Times New Roman" w:eastAsia="Calibri" w:hAnsi="Times New Roman" w:cs="Times New Roman"/>
          <w:bCs/>
          <w:iCs/>
          <w:sz w:val="24"/>
          <w:szCs w:val="24"/>
        </w:rPr>
        <w:t xml:space="preserve"> </w:t>
      </w:r>
      <w:r w:rsidR="009C054C" w:rsidRPr="009C054C">
        <w:rPr>
          <w:rFonts w:ascii="Times New Roman" w:eastAsia="Calibri" w:hAnsi="Times New Roman" w:cs="Times New Roman"/>
          <w:bCs/>
          <w:iCs/>
          <w:sz w:val="24"/>
          <w:szCs w:val="24"/>
        </w:rPr>
        <w:t>z. o puncovníctve a skúšaní drahých kovov (puncový zákon) a o zmene niektorých zákonov</w:t>
      </w:r>
      <w:r w:rsidR="009C054C" w:rsidRPr="009C054C">
        <w:rPr>
          <w:rFonts w:ascii="Times New Roman" w:eastAsia="Calibri" w:hAnsi="Times New Roman" w:cs="Times New Roman"/>
          <w:sz w:val="24"/>
          <w:szCs w:val="24"/>
        </w:rPr>
        <w:t xml:space="preserve">, </w:t>
      </w:r>
      <w:r w:rsidR="00DE45B1" w:rsidRPr="009C054C">
        <w:rPr>
          <w:rFonts w:ascii="Times New Roman" w:eastAsia="Calibri" w:hAnsi="Times New Roman" w:cs="Times New Roman"/>
          <w:sz w:val="24"/>
          <w:szCs w:val="24"/>
        </w:rPr>
        <w:t>dochádza k odstráneniu bariér pre podnikanie obchodníkov s drahým kovmi</w:t>
      </w:r>
      <w:r w:rsidR="009C054C" w:rsidRPr="009C054C">
        <w:rPr>
          <w:rFonts w:ascii="Times New Roman" w:eastAsia="Calibri" w:hAnsi="Times New Roman" w:cs="Times New Roman"/>
          <w:sz w:val="24"/>
          <w:szCs w:val="24"/>
        </w:rPr>
        <w:t>,</w:t>
      </w:r>
      <w:r w:rsidR="00DE45B1" w:rsidRPr="009C054C">
        <w:rPr>
          <w:rFonts w:ascii="Times New Roman" w:eastAsia="Calibri" w:hAnsi="Times New Roman" w:cs="Times New Roman"/>
          <w:sz w:val="24"/>
          <w:szCs w:val="24"/>
        </w:rPr>
        <w:t xml:space="preserve"> a to z dôv</w:t>
      </w:r>
      <w:r w:rsidRPr="009C054C">
        <w:rPr>
          <w:rFonts w:ascii="Times New Roman" w:eastAsia="Calibri" w:hAnsi="Times New Roman" w:cs="Times New Roman"/>
          <w:sz w:val="24"/>
          <w:szCs w:val="24"/>
        </w:rPr>
        <w:t xml:space="preserve">odu, že navrhovanými zmenami sa vytvárajú </w:t>
      </w:r>
      <w:r w:rsidR="009C054C" w:rsidRPr="009C054C">
        <w:rPr>
          <w:rFonts w:ascii="Times New Roman" w:eastAsia="Calibri" w:hAnsi="Times New Roman" w:cs="Times New Roman"/>
          <w:sz w:val="24"/>
          <w:szCs w:val="24"/>
        </w:rPr>
        <w:t xml:space="preserve">rovnaké podmienky ako v ČR, </w:t>
      </w:r>
      <w:r w:rsidR="00DE45B1" w:rsidRPr="009C054C">
        <w:rPr>
          <w:rFonts w:ascii="Times New Roman" w:eastAsia="Calibri" w:hAnsi="Times New Roman" w:cs="Times New Roman"/>
          <w:sz w:val="24"/>
          <w:szCs w:val="24"/>
        </w:rPr>
        <w:t xml:space="preserve">pokiaľ </w:t>
      </w:r>
      <w:r w:rsidR="009C054C" w:rsidRPr="009C054C">
        <w:rPr>
          <w:rFonts w:ascii="Times New Roman" w:eastAsia="Calibri" w:hAnsi="Times New Roman" w:cs="Times New Roman"/>
          <w:sz w:val="24"/>
          <w:szCs w:val="24"/>
        </w:rPr>
        <w:t>ide</w:t>
      </w:r>
      <w:r w:rsidR="00DE45B1" w:rsidRPr="009C054C">
        <w:rPr>
          <w:rFonts w:ascii="Times New Roman" w:eastAsia="Calibri" w:hAnsi="Times New Roman" w:cs="Times New Roman"/>
          <w:sz w:val="24"/>
          <w:szCs w:val="24"/>
        </w:rPr>
        <w:t xml:space="preserve"> o povinnosť mať váhy pre obch</w:t>
      </w:r>
      <w:r w:rsidR="00092911" w:rsidRPr="009C054C">
        <w:rPr>
          <w:rFonts w:ascii="Times New Roman" w:eastAsia="Calibri" w:hAnsi="Times New Roman" w:cs="Times New Roman"/>
          <w:sz w:val="24"/>
          <w:szCs w:val="24"/>
        </w:rPr>
        <w:t xml:space="preserve">odníkov </w:t>
      </w:r>
      <w:r w:rsidR="009C054C" w:rsidRPr="009C054C">
        <w:rPr>
          <w:rFonts w:ascii="Times New Roman" w:eastAsia="Calibri" w:hAnsi="Times New Roman" w:cs="Times New Roman"/>
          <w:sz w:val="24"/>
          <w:szCs w:val="24"/>
        </w:rPr>
        <w:t>s</w:t>
      </w:r>
      <w:r w:rsidR="00092911" w:rsidRPr="009C054C">
        <w:rPr>
          <w:rFonts w:ascii="Times New Roman" w:eastAsia="Calibri" w:hAnsi="Times New Roman" w:cs="Times New Roman"/>
          <w:sz w:val="24"/>
          <w:szCs w:val="24"/>
        </w:rPr>
        <w:t>o stri</w:t>
      </w:r>
      <w:r w:rsidR="009C054C" w:rsidRPr="009C054C">
        <w:rPr>
          <w:rFonts w:ascii="Times New Roman" w:eastAsia="Calibri" w:hAnsi="Times New Roman" w:cs="Times New Roman"/>
          <w:sz w:val="24"/>
          <w:szCs w:val="24"/>
        </w:rPr>
        <w:t xml:space="preserve">eborným tovarom do </w:t>
      </w:r>
      <w:r w:rsidRPr="009C054C">
        <w:rPr>
          <w:rFonts w:ascii="Times New Roman" w:eastAsia="Calibri" w:hAnsi="Times New Roman" w:cs="Times New Roman"/>
          <w:sz w:val="24"/>
          <w:szCs w:val="24"/>
        </w:rPr>
        <w:t>10</w:t>
      </w:r>
      <w:r w:rsidR="009C054C" w:rsidRPr="009C054C">
        <w:rPr>
          <w:rFonts w:ascii="Times New Roman" w:eastAsia="Calibri" w:hAnsi="Times New Roman" w:cs="Times New Roman"/>
          <w:sz w:val="24"/>
          <w:szCs w:val="24"/>
        </w:rPr>
        <w:t xml:space="preserve"> </w:t>
      </w:r>
      <w:r w:rsidRPr="009C054C">
        <w:rPr>
          <w:rFonts w:ascii="Times New Roman" w:eastAsia="Calibri" w:hAnsi="Times New Roman" w:cs="Times New Roman"/>
          <w:sz w:val="24"/>
          <w:szCs w:val="24"/>
        </w:rPr>
        <w:t>g. Zároveň sa ruší povinnosť puncov</w:t>
      </w:r>
      <w:r w:rsidR="009C054C" w:rsidRPr="009C054C">
        <w:rPr>
          <w:rFonts w:ascii="Times New Roman" w:eastAsia="Calibri" w:hAnsi="Times New Roman" w:cs="Times New Roman"/>
          <w:sz w:val="24"/>
          <w:szCs w:val="24"/>
        </w:rPr>
        <w:t>ania pri podlimitnom tovare tým, že</w:t>
      </w:r>
      <w:r w:rsidRPr="009C054C">
        <w:rPr>
          <w:rFonts w:ascii="Times New Roman" w:eastAsia="Calibri" w:hAnsi="Times New Roman" w:cs="Times New Roman"/>
          <w:sz w:val="24"/>
          <w:szCs w:val="24"/>
        </w:rPr>
        <w:t xml:space="preserve"> sa zvyšuje limit</w:t>
      </w:r>
      <w:r w:rsidR="00092911" w:rsidRPr="009C054C">
        <w:rPr>
          <w:rFonts w:ascii="Times New Roman" w:eastAsia="Calibri" w:hAnsi="Times New Roman" w:cs="Times New Roman"/>
          <w:sz w:val="24"/>
          <w:szCs w:val="24"/>
        </w:rPr>
        <w:t xml:space="preserve"> na strieborný tovar </w:t>
      </w:r>
      <w:r w:rsidRPr="009C054C">
        <w:rPr>
          <w:rFonts w:ascii="Times New Roman" w:eastAsia="Calibri" w:hAnsi="Times New Roman" w:cs="Times New Roman"/>
          <w:sz w:val="24"/>
          <w:szCs w:val="24"/>
        </w:rPr>
        <w:t>z</w:t>
      </w:r>
      <w:r w:rsidR="009C054C" w:rsidRPr="009C054C">
        <w:rPr>
          <w:rFonts w:ascii="Times New Roman" w:eastAsia="Calibri" w:hAnsi="Times New Roman" w:cs="Times New Roman"/>
          <w:sz w:val="24"/>
          <w:szCs w:val="24"/>
        </w:rPr>
        <w:t> </w:t>
      </w:r>
      <w:r w:rsidRPr="009C054C">
        <w:rPr>
          <w:rFonts w:ascii="Times New Roman" w:eastAsia="Calibri" w:hAnsi="Times New Roman" w:cs="Times New Roman"/>
          <w:sz w:val="24"/>
          <w:szCs w:val="24"/>
        </w:rPr>
        <w:t>2</w:t>
      </w:r>
      <w:r w:rsidR="009C054C" w:rsidRPr="009C054C">
        <w:rPr>
          <w:rFonts w:ascii="Times New Roman" w:eastAsia="Calibri" w:hAnsi="Times New Roman" w:cs="Times New Roman"/>
          <w:sz w:val="24"/>
          <w:szCs w:val="24"/>
        </w:rPr>
        <w:t xml:space="preserve"> </w:t>
      </w:r>
      <w:r w:rsidRPr="009C054C">
        <w:rPr>
          <w:rFonts w:ascii="Times New Roman" w:eastAsia="Calibri" w:hAnsi="Times New Roman" w:cs="Times New Roman"/>
          <w:sz w:val="24"/>
          <w:szCs w:val="24"/>
        </w:rPr>
        <w:t xml:space="preserve">g </w:t>
      </w:r>
      <w:r w:rsidR="00092911" w:rsidRPr="009C054C">
        <w:rPr>
          <w:rFonts w:ascii="Times New Roman" w:eastAsia="Calibri" w:hAnsi="Times New Roman" w:cs="Times New Roman"/>
          <w:sz w:val="24"/>
          <w:szCs w:val="24"/>
        </w:rPr>
        <w:t>na 3</w:t>
      </w:r>
      <w:r w:rsidR="009C054C" w:rsidRPr="009C054C">
        <w:rPr>
          <w:rFonts w:ascii="Times New Roman" w:eastAsia="Calibri" w:hAnsi="Times New Roman" w:cs="Times New Roman"/>
          <w:sz w:val="24"/>
          <w:szCs w:val="24"/>
        </w:rPr>
        <w:t xml:space="preserve"> </w:t>
      </w:r>
      <w:r w:rsidR="00092911" w:rsidRPr="009C054C">
        <w:rPr>
          <w:rFonts w:ascii="Times New Roman" w:eastAsia="Calibri" w:hAnsi="Times New Roman" w:cs="Times New Roman"/>
          <w:sz w:val="24"/>
          <w:szCs w:val="24"/>
        </w:rPr>
        <w:t>g</w:t>
      </w:r>
      <w:r w:rsidRPr="009C054C">
        <w:rPr>
          <w:rFonts w:ascii="Times New Roman" w:eastAsia="Calibri" w:hAnsi="Times New Roman" w:cs="Times New Roman"/>
          <w:sz w:val="24"/>
          <w:szCs w:val="24"/>
        </w:rPr>
        <w:t xml:space="preserve"> a pri zlatom a platinovom tovare z 0,5 g na 1</w:t>
      </w:r>
      <w:r w:rsidR="009C054C" w:rsidRPr="009C054C">
        <w:rPr>
          <w:rFonts w:ascii="Times New Roman" w:eastAsia="Calibri" w:hAnsi="Times New Roman" w:cs="Times New Roman"/>
          <w:sz w:val="24"/>
          <w:szCs w:val="24"/>
        </w:rPr>
        <w:t xml:space="preserve"> </w:t>
      </w:r>
      <w:r w:rsidRPr="009C054C">
        <w:rPr>
          <w:rFonts w:ascii="Times New Roman" w:eastAsia="Calibri" w:hAnsi="Times New Roman" w:cs="Times New Roman"/>
          <w:sz w:val="24"/>
          <w:szCs w:val="24"/>
        </w:rPr>
        <w:t>g</w:t>
      </w:r>
      <w:r w:rsidR="00092911" w:rsidRPr="009C054C">
        <w:rPr>
          <w:rFonts w:ascii="Times New Roman" w:eastAsia="Calibri" w:hAnsi="Times New Roman" w:cs="Times New Roman"/>
          <w:sz w:val="24"/>
          <w:szCs w:val="24"/>
        </w:rPr>
        <w:t>.</w:t>
      </w:r>
      <w:r w:rsidR="009C054C" w:rsidRPr="009C054C">
        <w:rPr>
          <w:rFonts w:ascii="Times New Roman" w:eastAsia="Calibri" w:hAnsi="Times New Roman" w:cs="Times New Roman"/>
          <w:sz w:val="24"/>
          <w:szCs w:val="24"/>
        </w:rPr>
        <w:t xml:space="preserve"> Spomenutými opatreniami, ako aj zrušením administratívnych povinností a priamych finančných nákladov súvisiacich</w:t>
      </w:r>
      <w:r w:rsidRPr="009C054C">
        <w:rPr>
          <w:rFonts w:ascii="Times New Roman" w:eastAsia="Calibri" w:hAnsi="Times New Roman" w:cs="Times New Roman"/>
          <w:sz w:val="24"/>
          <w:szCs w:val="24"/>
        </w:rPr>
        <w:t xml:space="preserve"> s nákupom a overovaním váh</w:t>
      </w:r>
      <w:r w:rsidR="00333E36" w:rsidRPr="009C054C">
        <w:rPr>
          <w:rFonts w:ascii="Times New Roman" w:eastAsia="Calibri" w:hAnsi="Times New Roman" w:cs="Times New Roman"/>
          <w:sz w:val="24"/>
          <w:szCs w:val="24"/>
        </w:rPr>
        <w:t xml:space="preserve"> </w:t>
      </w:r>
      <w:r w:rsidRPr="009C054C">
        <w:rPr>
          <w:rFonts w:ascii="Times New Roman" w:eastAsia="Calibri" w:hAnsi="Times New Roman" w:cs="Times New Roman"/>
          <w:sz w:val="24"/>
          <w:szCs w:val="24"/>
        </w:rPr>
        <w:t>pr</w:t>
      </w:r>
      <w:r w:rsidR="009C054C" w:rsidRPr="009C054C">
        <w:rPr>
          <w:rFonts w:ascii="Times New Roman" w:eastAsia="Calibri" w:hAnsi="Times New Roman" w:cs="Times New Roman"/>
          <w:sz w:val="24"/>
          <w:szCs w:val="24"/>
        </w:rPr>
        <w:t>e obchodníkov</w:t>
      </w:r>
      <w:r w:rsidRPr="009C054C">
        <w:rPr>
          <w:rFonts w:ascii="Times New Roman" w:eastAsia="Calibri" w:hAnsi="Times New Roman" w:cs="Times New Roman"/>
          <w:sz w:val="24"/>
          <w:szCs w:val="24"/>
        </w:rPr>
        <w:t xml:space="preserve"> so strieborným </w:t>
      </w:r>
      <w:r w:rsidRPr="0027745A">
        <w:rPr>
          <w:rFonts w:ascii="Times New Roman" w:eastAsia="Calibri" w:hAnsi="Times New Roman" w:cs="Times New Roman"/>
          <w:sz w:val="24"/>
          <w:szCs w:val="24"/>
        </w:rPr>
        <w:t xml:space="preserve">tovarom, </w:t>
      </w:r>
      <w:r w:rsidR="009C054C" w:rsidRPr="0027745A">
        <w:rPr>
          <w:rFonts w:ascii="Times New Roman" w:eastAsia="Calibri" w:hAnsi="Times New Roman" w:cs="Times New Roman"/>
          <w:sz w:val="24"/>
          <w:szCs w:val="24"/>
        </w:rPr>
        <w:t>sa  zvyšuje konkurencieschopnosť podnikateľského prostredia na Slovensku</w:t>
      </w:r>
      <w:r w:rsidR="00333E36" w:rsidRPr="0027745A">
        <w:rPr>
          <w:rFonts w:ascii="Times New Roman" w:eastAsia="Calibri" w:hAnsi="Times New Roman" w:cs="Times New Roman"/>
          <w:sz w:val="24"/>
          <w:szCs w:val="24"/>
        </w:rPr>
        <w:t>.</w:t>
      </w:r>
      <w:r w:rsidRPr="0027745A">
        <w:rPr>
          <w:rFonts w:ascii="Times New Roman" w:eastAsia="Calibri" w:hAnsi="Times New Roman" w:cs="Times New Roman"/>
          <w:sz w:val="24"/>
          <w:szCs w:val="24"/>
        </w:rPr>
        <w:t xml:space="preserve"> </w:t>
      </w:r>
      <w:r w:rsidR="00E74E17">
        <w:rPr>
          <w:rFonts w:ascii="Times New Roman" w:eastAsia="Calibri" w:hAnsi="Times New Roman" w:cs="Times New Roman"/>
          <w:sz w:val="24"/>
          <w:szCs w:val="24"/>
        </w:rPr>
        <w:t xml:space="preserve">Ďalej sa predpokladá aj stabilizácia </w:t>
      </w:r>
      <w:r w:rsidR="00E74E17" w:rsidRPr="0027745A">
        <w:rPr>
          <w:rFonts w:ascii="Times New Roman" w:eastAsia="Calibri" w:hAnsi="Times New Roman" w:cs="Times New Roman"/>
          <w:sz w:val="24"/>
          <w:szCs w:val="24"/>
        </w:rPr>
        <w:t>podnikateľov v oblasti obchodovania s drahými kovmi.</w:t>
      </w:r>
    </w:p>
    <w:p w14:paraId="5A712A1A" w14:textId="51CEE230" w:rsidR="005A27E7" w:rsidRDefault="004E1A6E" w:rsidP="00054C41">
      <w:pPr>
        <w:spacing w:after="0"/>
        <w:jc w:val="both"/>
        <w:rPr>
          <w:rFonts w:ascii="Times New Roman" w:eastAsia="Calibri" w:hAnsi="Times New Roman" w:cs="Times New Roman"/>
          <w:i/>
          <w:sz w:val="24"/>
          <w:szCs w:val="24"/>
        </w:rPr>
      </w:pPr>
      <w:r w:rsidRPr="0027745A">
        <w:rPr>
          <w:rFonts w:ascii="Times New Roman" w:eastAsia="Calibri" w:hAnsi="Times New Roman" w:cs="Times New Roman"/>
          <w:sz w:val="24"/>
          <w:szCs w:val="24"/>
        </w:rPr>
        <w:br/>
      </w:r>
      <w:r w:rsidR="005A27E7">
        <w:rPr>
          <w:rFonts w:ascii="Times New Roman" w:eastAsia="Calibri" w:hAnsi="Times New Roman" w:cs="Times New Roman"/>
          <w:i/>
          <w:sz w:val="24"/>
          <w:szCs w:val="24"/>
        </w:rPr>
        <w:t>Aj ďalšími navrhovanými opatreniami tým, že sa znižuje administratívna</w:t>
      </w:r>
      <w:r w:rsidR="00822EE4">
        <w:rPr>
          <w:rFonts w:ascii="Times New Roman" w:eastAsia="Calibri" w:hAnsi="Times New Roman" w:cs="Times New Roman"/>
          <w:i/>
          <w:sz w:val="24"/>
          <w:szCs w:val="24"/>
        </w:rPr>
        <w:t xml:space="preserve"> a finančná </w:t>
      </w:r>
      <w:r w:rsidR="005A27E7">
        <w:rPr>
          <w:rFonts w:ascii="Times New Roman" w:eastAsia="Calibri" w:hAnsi="Times New Roman" w:cs="Times New Roman"/>
          <w:i/>
          <w:sz w:val="24"/>
          <w:szCs w:val="24"/>
        </w:rPr>
        <w:t xml:space="preserve"> záťaž umožňuje sa </w:t>
      </w:r>
      <w:r w:rsidR="00822EE4">
        <w:rPr>
          <w:rFonts w:ascii="Times New Roman" w:eastAsia="Calibri" w:hAnsi="Times New Roman" w:cs="Times New Roman"/>
          <w:i/>
          <w:sz w:val="24"/>
          <w:szCs w:val="24"/>
        </w:rPr>
        <w:t xml:space="preserve">využitie uvedených zdrojov na rozvoj a skvalitnenie podnikateľského prostredia.  </w:t>
      </w:r>
    </w:p>
    <w:p w14:paraId="7DBDE90F" w14:textId="0BAB0A9A"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lastRenderedPageBreak/>
        <w:t>Konkurencieschopnosť:</w:t>
      </w:r>
    </w:p>
    <w:p w14:paraId="79A2EAA5"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A10A211" w14:textId="7528919C" w:rsidR="00054C41" w:rsidRPr="00D8247C" w:rsidRDefault="00EE2C29"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F640D7" w:rsidRPr="00FD63AE">
                <w:rPr>
                  <w:rFonts w:ascii="Segoe UI Symbol" w:eastAsia="Calibri" w:hAnsi="Segoe UI Symbol" w:cs="Segoe UI Symbol"/>
                  <w:i/>
                  <w:sz w:val="24"/>
                  <w:szCs w:val="24"/>
                </w:rPr>
                <w:t>x</w:t>
              </w:r>
            </w:sdtContent>
          </w:sdt>
        </w:sdtContent>
      </w:sdt>
      <w:r w:rsidR="00054C41" w:rsidRPr="00FD63AE">
        <w:rPr>
          <w:rFonts w:ascii="Times New Roman" w:eastAsia="Calibri" w:hAnsi="Times New Roman" w:cs="Times New Roman"/>
          <w:i/>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6B265631" w14:textId="77777777" w:rsidR="00054C41" w:rsidRPr="00D8247C" w:rsidRDefault="00054C41" w:rsidP="00054C41">
      <w:pPr>
        <w:spacing w:after="0"/>
        <w:jc w:val="both"/>
        <w:rPr>
          <w:rFonts w:ascii="Times New Roman" w:eastAsia="Calibri" w:hAnsi="Times New Roman" w:cs="Times New Roman"/>
          <w:i/>
          <w:sz w:val="24"/>
          <w:szCs w:val="24"/>
        </w:rPr>
      </w:pPr>
    </w:p>
    <w:p w14:paraId="38C584EC"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0C89139A"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01C1A176" w14:textId="0063B489" w:rsidR="00054C41" w:rsidRDefault="00092911"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Navrhovanými opatreniami tým, že sa odstraňujú administratíva záťaž vytvárajú sa zdroje na rast produktivity práce podnikov vo vybraných sektoroch.</w:t>
      </w:r>
    </w:p>
    <w:p w14:paraId="0C119BCD" w14:textId="77777777" w:rsidR="00092911" w:rsidRPr="00D8247C" w:rsidRDefault="00092911" w:rsidP="00054C41">
      <w:pPr>
        <w:spacing w:after="0"/>
        <w:jc w:val="both"/>
        <w:rPr>
          <w:rFonts w:ascii="Times New Roman" w:eastAsia="Calibri" w:hAnsi="Times New Roman" w:cs="Times New Roman"/>
          <w:i/>
          <w:sz w:val="24"/>
          <w:szCs w:val="24"/>
        </w:rPr>
      </w:pPr>
    </w:p>
    <w:p w14:paraId="7C5BED4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6DAAAC96" w14:textId="08D74B4E" w:rsidR="00054C41" w:rsidRPr="00D8247C" w:rsidRDefault="00EE2C29"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FD63AE">
                <w:rPr>
                  <w:rFonts w:ascii="Times New Roman" w:eastAsia="Calibri" w:hAnsi="Times New Roman" w:cs="Times New Roman"/>
                  <w:i/>
                  <w:sz w:val="24"/>
                  <w:szCs w:val="24"/>
                </w:rPr>
                <w:t>x</w:t>
              </w:r>
            </w:sdtContent>
          </w:sdt>
        </w:sdtContent>
      </w:sdt>
      <w:r w:rsidR="00054C41" w:rsidRPr="00FD63AE">
        <w:rPr>
          <w:rFonts w:ascii="Times New Roman" w:eastAsia="Calibri" w:hAnsi="Times New Roman" w:cs="Times New Roman"/>
          <w:i/>
          <w:sz w:val="24"/>
          <w:szCs w:val="24"/>
        </w:rPr>
        <w:t xml:space="preserve"> zvyšuje</w:t>
      </w:r>
      <w:r w:rsidR="00054C41" w:rsidRPr="00D8247C">
        <w:rPr>
          <w:rFonts w:ascii="Times New Roman" w:eastAsia="Calibri" w:hAnsi="Times New Roman" w:cs="Times New Roman"/>
          <w:i/>
          <w:sz w:val="24"/>
          <w:szCs w:val="24"/>
        </w:rPr>
        <w:t xml:space="preserv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477CE7F4" w14:textId="77777777" w:rsidR="00333E36" w:rsidRDefault="00333E36" w:rsidP="00054C41">
      <w:pPr>
        <w:spacing w:after="0"/>
        <w:jc w:val="both"/>
        <w:rPr>
          <w:rFonts w:ascii="Times New Roman" w:eastAsia="Calibri" w:hAnsi="Times New Roman" w:cs="Times New Roman"/>
          <w:i/>
          <w:sz w:val="24"/>
          <w:szCs w:val="24"/>
        </w:rPr>
      </w:pPr>
    </w:p>
    <w:p w14:paraId="47ABE7B5" w14:textId="249B8D2E" w:rsidR="00054C41" w:rsidRPr="00FD63AE" w:rsidRDefault="00333E36" w:rsidP="00054C41">
      <w:pPr>
        <w:spacing w:after="0"/>
        <w:jc w:val="both"/>
        <w:rPr>
          <w:rFonts w:ascii="Times New Roman" w:eastAsia="Calibri" w:hAnsi="Times New Roman" w:cs="Times New Roman"/>
          <w:sz w:val="24"/>
          <w:szCs w:val="24"/>
        </w:rPr>
      </w:pPr>
      <w:r w:rsidRPr="00FD63AE">
        <w:rPr>
          <w:rFonts w:ascii="Times New Roman" w:eastAsia="Calibri" w:hAnsi="Times New Roman" w:cs="Times New Roman"/>
          <w:sz w:val="24"/>
          <w:szCs w:val="24"/>
        </w:rPr>
        <w:t xml:space="preserve">Opatreniami sa zvyšuje </w:t>
      </w:r>
      <w:r w:rsidR="00FD63AE">
        <w:rPr>
          <w:rFonts w:ascii="Times New Roman" w:eastAsia="Calibri" w:hAnsi="Times New Roman" w:cs="Times New Roman"/>
          <w:sz w:val="24"/>
          <w:szCs w:val="24"/>
        </w:rPr>
        <w:t>produktivita práce podnikateľských</w:t>
      </w:r>
      <w:r w:rsidRPr="00FD63AE">
        <w:rPr>
          <w:rFonts w:ascii="Times New Roman" w:eastAsia="Calibri" w:hAnsi="Times New Roman" w:cs="Times New Roman"/>
          <w:sz w:val="24"/>
          <w:szCs w:val="24"/>
        </w:rPr>
        <w:t xml:space="preserve"> subjektov </w:t>
      </w:r>
      <w:r w:rsidR="00970AE6" w:rsidRPr="00FD63AE">
        <w:rPr>
          <w:rFonts w:ascii="Times New Roman" w:eastAsia="Calibri" w:hAnsi="Times New Roman" w:cs="Times New Roman"/>
          <w:sz w:val="24"/>
          <w:szCs w:val="24"/>
        </w:rPr>
        <w:t>v</w:t>
      </w:r>
      <w:r w:rsidR="00FD63AE">
        <w:rPr>
          <w:rFonts w:ascii="Times New Roman" w:eastAsia="Calibri" w:hAnsi="Times New Roman" w:cs="Times New Roman"/>
          <w:sz w:val="24"/>
          <w:szCs w:val="24"/>
        </w:rPr>
        <w:t> energetike a</w:t>
      </w:r>
      <w:r w:rsidR="00D213C3" w:rsidRPr="00FD63AE">
        <w:rPr>
          <w:rFonts w:ascii="Times New Roman" w:eastAsia="Calibri" w:hAnsi="Times New Roman" w:cs="Times New Roman"/>
          <w:sz w:val="24"/>
          <w:szCs w:val="24"/>
        </w:rPr>
        <w:t xml:space="preserve"> v obchodovaní</w:t>
      </w:r>
      <w:r w:rsidR="00FD63AE">
        <w:rPr>
          <w:rFonts w:ascii="Times New Roman" w:eastAsia="Calibri" w:hAnsi="Times New Roman" w:cs="Times New Roman"/>
          <w:sz w:val="24"/>
          <w:szCs w:val="24"/>
        </w:rPr>
        <w:t xml:space="preserve"> s drahými kovmi</w:t>
      </w:r>
      <w:r w:rsidR="00970AE6" w:rsidRPr="00FD63AE">
        <w:rPr>
          <w:rFonts w:ascii="Times New Roman" w:eastAsia="Calibri" w:hAnsi="Times New Roman" w:cs="Times New Roman"/>
          <w:sz w:val="24"/>
          <w:szCs w:val="24"/>
        </w:rPr>
        <w:t xml:space="preserve"> tým, že dôjde k odbúraniu administratívnej záťaže, čo sa môže prejaviť na raste tržieb za poskytované služby.</w:t>
      </w:r>
    </w:p>
    <w:p w14:paraId="72C8CE5E" w14:textId="77777777" w:rsidR="00054C41" w:rsidRPr="00D8247C" w:rsidRDefault="00054C41" w:rsidP="00054C41">
      <w:pPr>
        <w:spacing w:after="0"/>
        <w:jc w:val="both"/>
        <w:rPr>
          <w:rFonts w:ascii="Times New Roman" w:eastAsia="Calibri" w:hAnsi="Times New Roman" w:cs="Times New Roman"/>
          <w:i/>
          <w:sz w:val="24"/>
          <w:szCs w:val="24"/>
        </w:rPr>
      </w:pPr>
    </w:p>
    <w:p w14:paraId="1CA1DE6B"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0D09BD4A" w14:textId="729D2CF3"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49AF7070" w14:textId="7891F364"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123343AF" w14:textId="32774394" w:rsidR="00A617A5" w:rsidRPr="00FD63AE" w:rsidRDefault="00A617A5" w:rsidP="00A617A5">
      <w:pPr>
        <w:pStyle w:val="Odsekzoznamu"/>
        <w:spacing w:after="0" w:line="254" w:lineRule="auto"/>
        <w:jc w:val="both"/>
        <w:rPr>
          <w:rFonts w:ascii="Times New Roman" w:eastAsia="Calibri" w:hAnsi="Times New Roman" w:cs="Times New Roman"/>
          <w:sz w:val="24"/>
          <w:szCs w:val="24"/>
        </w:rPr>
      </w:pPr>
      <w:r w:rsidRPr="00FD63AE">
        <w:rPr>
          <w:rFonts w:ascii="Times New Roman" w:eastAsia="Calibri" w:hAnsi="Times New Roman" w:cs="Times New Roman"/>
          <w:sz w:val="24"/>
          <w:szCs w:val="24"/>
        </w:rPr>
        <w:t xml:space="preserve">Opatreniami, ktoré sa dotýkajú </w:t>
      </w:r>
      <w:r w:rsidR="00FD63AE" w:rsidRPr="00FD63AE">
        <w:rPr>
          <w:rFonts w:ascii="Times New Roman" w:eastAsia="Calibri" w:hAnsi="Times New Roman" w:cs="Times New Roman"/>
          <w:sz w:val="24"/>
          <w:szCs w:val="24"/>
        </w:rPr>
        <w:t xml:space="preserve">puncového zákona sa zužujú možnosti </w:t>
      </w:r>
      <w:r w:rsidRPr="00FD63AE">
        <w:rPr>
          <w:rFonts w:ascii="Times New Roman" w:eastAsia="Calibri" w:hAnsi="Times New Roman" w:cs="Times New Roman"/>
          <w:sz w:val="24"/>
          <w:szCs w:val="24"/>
        </w:rPr>
        <w:t xml:space="preserve"> pre pokutovanie zo</w:t>
      </w:r>
      <w:r w:rsidR="00A47322">
        <w:rPr>
          <w:rFonts w:ascii="Times New Roman" w:eastAsia="Calibri" w:hAnsi="Times New Roman" w:cs="Times New Roman"/>
          <w:sz w:val="24"/>
          <w:szCs w:val="24"/>
        </w:rPr>
        <w:t xml:space="preserve"> strany puncovej inšpekcie, vzhľadom na to, že</w:t>
      </w:r>
      <w:r w:rsidR="00FD63AE" w:rsidRPr="00FD63AE">
        <w:rPr>
          <w:rFonts w:ascii="Times New Roman" w:eastAsia="Calibri" w:hAnsi="Times New Roman" w:cs="Times New Roman"/>
          <w:sz w:val="24"/>
          <w:szCs w:val="24"/>
        </w:rPr>
        <w:t xml:space="preserve"> sa znižuje počet povinností, za </w:t>
      </w:r>
      <w:r w:rsidRPr="00FD63AE">
        <w:rPr>
          <w:rFonts w:ascii="Times New Roman" w:eastAsia="Calibri" w:hAnsi="Times New Roman" w:cs="Times New Roman"/>
          <w:sz w:val="24"/>
          <w:szCs w:val="24"/>
        </w:rPr>
        <w:t xml:space="preserve">ktoré môže byť </w:t>
      </w:r>
      <w:r w:rsidR="00FD63AE" w:rsidRPr="00FD63AE">
        <w:rPr>
          <w:rFonts w:ascii="Times New Roman" w:eastAsia="Calibri" w:hAnsi="Times New Roman" w:cs="Times New Roman"/>
          <w:sz w:val="24"/>
          <w:szCs w:val="24"/>
        </w:rPr>
        <w:t>subjekt zo strany PÚ</w:t>
      </w:r>
      <w:r w:rsidRPr="00FD63AE">
        <w:rPr>
          <w:rFonts w:ascii="Times New Roman" w:eastAsia="Calibri" w:hAnsi="Times New Roman" w:cs="Times New Roman"/>
          <w:sz w:val="24"/>
          <w:szCs w:val="24"/>
        </w:rPr>
        <w:t xml:space="preserve"> SR sankcio</w:t>
      </w:r>
      <w:r w:rsidR="00597F18" w:rsidRPr="00FD63AE">
        <w:rPr>
          <w:rFonts w:ascii="Times New Roman" w:eastAsia="Calibri" w:hAnsi="Times New Roman" w:cs="Times New Roman"/>
          <w:sz w:val="24"/>
          <w:szCs w:val="24"/>
        </w:rPr>
        <w:t>no</w:t>
      </w:r>
      <w:r w:rsidR="00FD63AE" w:rsidRPr="00FD63AE">
        <w:rPr>
          <w:rFonts w:ascii="Times New Roman" w:eastAsia="Calibri" w:hAnsi="Times New Roman" w:cs="Times New Roman"/>
          <w:sz w:val="24"/>
          <w:szCs w:val="24"/>
        </w:rPr>
        <w:t>vaný</w:t>
      </w:r>
      <w:r w:rsidRPr="00FD63AE">
        <w:rPr>
          <w:rFonts w:ascii="Times New Roman" w:eastAsia="Calibri" w:hAnsi="Times New Roman" w:cs="Times New Roman"/>
          <w:sz w:val="24"/>
          <w:szCs w:val="24"/>
        </w:rPr>
        <w:t xml:space="preserve"> pokutami.</w:t>
      </w:r>
      <w:r w:rsidR="00FD63AE">
        <w:rPr>
          <w:rFonts w:ascii="Times New Roman" w:eastAsia="Calibri" w:hAnsi="Times New Roman" w:cs="Times New Roman"/>
          <w:sz w:val="24"/>
          <w:szCs w:val="24"/>
        </w:rPr>
        <w:t xml:space="preserve"> </w:t>
      </w:r>
      <w:r w:rsidR="00D3779E" w:rsidRPr="00FD63AE">
        <w:rPr>
          <w:rFonts w:ascii="Times New Roman" w:eastAsia="Calibri" w:hAnsi="Times New Roman" w:cs="Times New Roman"/>
          <w:sz w:val="24"/>
          <w:szCs w:val="24"/>
        </w:rPr>
        <w:t>Ročná výška p</w:t>
      </w:r>
      <w:r w:rsidR="00B417FC" w:rsidRPr="00FD63AE">
        <w:rPr>
          <w:rFonts w:ascii="Times New Roman" w:eastAsia="Calibri" w:hAnsi="Times New Roman" w:cs="Times New Roman"/>
          <w:sz w:val="24"/>
          <w:szCs w:val="24"/>
        </w:rPr>
        <w:t>okút sa pohybuje v</w:t>
      </w:r>
      <w:r w:rsidR="00FD63AE" w:rsidRPr="00FD63AE">
        <w:rPr>
          <w:rFonts w:ascii="Times New Roman" w:eastAsia="Calibri" w:hAnsi="Times New Roman" w:cs="Times New Roman"/>
          <w:sz w:val="24"/>
          <w:szCs w:val="24"/>
        </w:rPr>
        <w:t> rozm</w:t>
      </w:r>
      <w:r w:rsidR="00642597">
        <w:rPr>
          <w:rFonts w:ascii="Times New Roman" w:eastAsia="Calibri" w:hAnsi="Times New Roman" w:cs="Times New Roman"/>
          <w:sz w:val="24"/>
          <w:szCs w:val="24"/>
        </w:rPr>
        <w:t>edzí od 165 eur</w:t>
      </w:r>
      <w:r w:rsidR="00822EE4" w:rsidRPr="00FD63AE">
        <w:rPr>
          <w:rFonts w:ascii="Times New Roman" w:eastAsia="Calibri" w:hAnsi="Times New Roman" w:cs="Times New Roman"/>
          <w:sz w:val="24"/>
          <w:szCs w:val="24"/>
        </w:rPr>
        <w:t xml:space="preserve"> do </w:t>
      </w:r>
      <w:r w:rsidR="00642597">
        <w:rPr>
          <w:rFonts w:ascii="Times New Roman" w:eastAsia="Calibri" w:hAnsi="Times New Roman" w:cs="Times New Roman"/>
          <w:sz w:val="24"/>
          <w:szCs w:val="24"/>
        </w:rPr>
        <w:t>4 000 eur</w:t>
      </w:r>
      <w:r w:rsidR="00822EE4" w:rsidRPr="00FD63AE">
        <w:rPr>
          <w:rFonts w:ascii="Times New Roman" w:eastAsia="Calibri" w:hAnsi="Times New Roman" w:cs="Times New Roman"/>
          <w:sz w:val="24"/>
          <w:szCs w:val="24"/>
        </w:rPr>
        <w:t xml:space="preserve"> ročne</w:t>
      </w:r>
      <w:r w:rsidR="00D3779E" w:rsidRPr="00FD63AE">
        <w:rPr>
          <w:rFonts w:ascii="Times New Roman" w:eastAsia="Calibri" w:hAnsi="Times New Roman" w:cs="Times New Roman"/>
          <w:sz w:val="24"/>
          <w:szCs w:val="24"/>
        </w:rPr>
        <w:t>, čo je zanedbateľná výšk</w:t>
      </w:r>
      <w:r w:rsidR="00FD63AE" w:rsidRPr="00FD63AE">
        <w:rPr>
          <w:rFonts w:ascii="Times New Roman" w:eastAsia="Calibri" w:hAnsi="Times New Roman" w:cs="Times New Roman"/>
          <w:sz w:val="24"/>
          <w:szCs w:val="24"/>
        </w:rPr>
        <w:t>a oproti príjmom PÚ</w:t>
      </w:r>
      <w:r w:rsidR="00E66D1A" w:rsidRPr="00FD63AE">
        <w:rPr>
          <w:rFonts w:ascii="Times New Roman" w:eastAsia="Calibri" w:hAnsi="Times New Roman" w:cs="Times New Roman"/>
          <w:sz w:val="24"/>
          <w:szCs w:val="24"/>
        </w:rPr>
        <w:t xml:space="preserve"> SR</w:t>
      </w:r>
      <w:r w:rsidR="00FD63AE" w:rsidRPr="00FD63AE">
        <w:rPr>
          <w:rFonts w:ascii="Times New Roman" w:eastAsia="Calibri" w:hAnsi="Times New Roman" w:cs="Times New Roman"/>
          <w:sz w:val="24"/>
          <w:szCs w:val="24"/>
        </w:rPr>
        <w:t>.</w:t>
      </w:r>
      <w:r w:rsidR="00822EE4" w:rsidRPr="00FD63AE">
        <w:rPr>
          <w:rFonts w:ascii="Times New Roman" w:eastAsia="Calibri" w:hAnsi="Times New Roman" w:cs="Times New Roman"/>
          <w:sz w:val="24"/>
          <w:szCs w:val="24"/>
        </w:rPr>
        <w:t xml:space="preserve"> </w:t>
      </w:r>
      <w:r w:rsidR="00FD63AE" w:rsidRPr="00FD63AE">
        <w:rPr>
          <w:rFonts w:ascii="Times New Roman" w:eastAsia="Calibri" w:hAnsi="Times New Roman" w:cs="Times New Roman"/>
          <w:sz w:val="24"/>
          <w:szCs w:val="24"/>
        </w:rPr>
        <w:t xml:space="preserve">PÚ </w:t>
      </w:r>
      <w:r w:rsidR="00822EE4" w:rsidRPr="00FD63AE">
        <w:rPr>
          <w:rFonts w:ascii="Times New Roman" w:eastAsia="Calibri" w:hAnsi="Times New Roman" w:cs="Times New Roman"/>
          <w:sz w:val="24"/>
          <w:szCs w:val="24"/>
        </w:rPr>
        <w:t>SR pri udeľovaní pokút využíva možnosť d</w:t>
      </w:r>
      <w:r w:rsidR="00FD63AE" w:rsidRPr="00FD63AE">
        <w:rPr>
          <w:rFonts w:ascii="Times New Roman" w:eastAsia="Calibri" w:hAnsi="Times New Roman" w:cs="Times New Roman"/>
          <w:sz w:val="24"/>
          <w:szCs w:val="24"/>
        </w:rPr>
        <w:t xml:space="preserve">ruhej šance a neudeľuje pokutu, </w:t>
      </w:r>
      <w:r w:rsidR="00822EE4" w:rsidRPr="00FD63AE">
        <w:rPr>
          <w:rFonts w:ascii="Times New Roman" w:eastAsia="Calibri" w:hAnsi="Times New Roman" w:cs="Times New Roman"/>
          <w:sz w:val="24"/>
          <w:szCs w:val="24"/>
        </w:rPr>
        <w:t xml:space="preserve">ak podnikateľ </w:t>
      </w:r>
      <w:r w:rsidR="00FD63AE" w:rsidRPr="00FD63AE">
        <w:rPr>
          <w:rFonts w:ascii="Times New Roman" w:eastAsia="Calibri" w:hAnsi="Times New Roman" w:cs="Times New Roman"/>
          <w:sz w:val="24"/>
          <w:szCs w:val="24"/>
        </w:rPr>
        <w:t>zistený nedostatok ihneď odstráni.</w:t>
      </w:r>
      <w:r w:rsidR="00822EE4" w:rsidRPr="00FD63AE">
        <w:rPr>
          <w:rFonts w:ascii="Times New Roman" w:eastAsia="Calibri" w:hAnsi="Times New Roman" w:cs="Times New Roman"/>
          <w:sz w:val="24"/>
          <w:szCs w:val="24"/>
        </w:rPr>
        <w:t xml:space="preserve"> </w:t>
      </w:r>
      <w:r w:rsidR="00E66D1A" w:rsidRPr="00FD63AE">
        <w:rPr>
          <w:rFonts w:ascii="Times New Roman" w:eastAsia="Calibri" w:hAnsi="Times New Roman" w:cs="Times New Roman"/>
          <w:sz w:val="24"/>
          <w:szCs w:val="24"/>
        </w:rPr>
        <w:t xml:space="preserve"> </w:t>
      </w:r>
    </w:p>
    <w:p w14:paraId="21F327B5" w14:textId="0F438C41" w:rsidR="00775A95" w:rsidRDefault="00775A95" w:rsidP="00A617A5">
      <w:pPr>
        <w:pStyle w:val="Odsekzoznamu"/>
        <w:spacing w:after="0" w:line="254" w:lineRule="auto"/>
        <w:jc w:val="both"/>
        <w:rPr>
          <w:rFonts w:ascii="Times New Roman" w:eastAsia="Calibri" w:hAnsi="Times New Roman" w:cs="Times New Roman"/>
          <w:i/>
          <w:sz w:val="24"/>
          <w:szCs w:val="24"/>
        </w:rPr>
      </w:pPr>
    </w:p>
    <w:p w14:paraId="6A794723"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49AAEA5F"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CEE247D"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B4849FE" w14:textId="16FAB16B" w:rsidR="00FF414B" w:rsidRDefault="00FF414B" w:rsidP="00FF414B">
      <w:pPr>
        <w:spacing w:after="0"/>
        <w:jc w:val="both"/>
        <w:rPr>
          <w:rFonts w:ascii="Times New Roman" w:eastAsia="Calibri" w:hAnsi="Times New Roman" w:cs="Times New Roman"/>
          <w:i/>
          <w:color w:val="0070C0"/>
          <w:sz w:val="24"/>
          <w:szCs w:val="24"/>
        </w:rPr>
      </w:pPr>
    </w:p>
    <w:p w14:paraId="30D93F9B" w14:textId="660A16A4" w:rsidR="00843E51" w:rsidRDefault="00843E51" w:rsidP="00843E51">
      <w:pPr>
        <w:pStyle w:val="Odsekzoznamu"/>
        <w:ind w:left="0"/>
        <w:jc w:val="both"/>
        <w:rPr>
          <w:rFonts w:ascii="Times New Roman" w:eastAsia="Calibri" w:hAnsi="Times New Roman" w:cs="Times New Roman"/>
          <w:bCs/>
          <w:iCs/>
          <w:color w:val="000000"/>
          <w:sz w:val="24"/>
          <w:szCs w:val="24"/>
        </w:rPr>
      </w:pPr>
      <w:r w:rsidRPr="00843E51">
        <w:rPr>
          <w:rFonts w:ascii="Times New Roman" w:eastAsia="Calibri" w:hAnsi="Times New Roman" w:cs="Times New Roman"/>
          <w:bCs/>
          <w:iCs/>
          <w:color w:val="000000"/>
          <w:sz w:val="24"/>
          <w:szCs w:val="24"/>
        </w:rPr>
        <w:t xml:space="preserve">Popis vplyvov opatrení, pri ktorých nie je možné vypočítať úsporu nákladov, prinášajú však pozitívny vplyv na podnikateľské prostredie. </w:t>
      </w:r>
    </w:p>
    <w:p w14:paraId="2C137AB4" w14:textId="77777777" w:rsidR="00843E51" w:rsidRPr="00843E51" w:rsidRDefault="00843E51" w:rsidP="00843E51">
      <w:pPr>
        <w:pStyle w:val="Odsekzoznamu"/>
        <w:ind w:left="0"/>
        <w:jc w:val="both"/>
        <w:rPr>
          <w:rFonts w:ascii="Times New Roman" w:eastAsia="Calibri" w:hAnsi="Times New Roman" w:cs="Times New Roman"/>
          <w:bCs/>
          <w:iCs/>
          <w:color w:val="000000"/>
          <w:sz w:val="24"/>
          <w:szCs w:val="24"/>
        </w:rPr>
      </w:pPr>
    </w:p>
    <w:p w14:paraId="0E7EFE88" w14:textId="5FC75ABC" w:rsidR="00843E51" w:rsidRDefault="00843E51" w:rsidP="00843E51">
      <w:pPr>
        <w:pStyle w:val="Odsekzoznamu"/>
        <w:numPr>
          <w:ilvl w:val="0"/>
          <w:numId w:val="17"/>
        </w:numPr>
        <w:ind w:left="0" w:hanging="11"/>
        <w:jc w:val="both"/>
        <w:rPr>
          <w:rFonts w:ascii="Times New Roman" w:eastAsia="Calibri" w:hAnsi="Times New Roman" w:cs="Times New Roman"/>
          <w:b/>
          <w:bCs/>
          <w:iCs/>
          <w:color w:val="000000"/>
          <w:sz w:val="24"/>
          <w:szCs w:val="24"/>
        </w:rPr>
      </w:pPr>
      <w:r w:rsidRPr="00C130DD">
        <w:rPr>
          <w:rFonts w:ascii="Times New Roman" w:eastAsia="Calibri" w:hAnsi="Times New Roman" w:cs="Times New Roman"/>
          <w:b/>
          <w:bCs/>
          <w:iCs/>
          <w:color w:val="000000"/>
          <w:sz w:val="24"/>
          <w:szCs w:val="24"/>
        </w:rPr>
        <w:t>Ministerstvo hospodárstva Slovenskej republiky – energetika</w:t>
      </w:r>
    </w:p>
    <w:p w14:paraId="7DF0C758" w14:textId="58933056" w:rsidR="006E3F59" w:rsidRPr="006E3F59" w:rsidRDefault="006E3F59" w:rsidP="006E3F59">
      <w:pPr>
        <w:jc w:val="both"/>
        <w:rPr>
          <w:rFonts w:ascii="Times New Roman" w:eastAsia="Calibri" w:hAnsi="Times New Roman" w:cs="Times New Roman"/>
          <w:bCs/>
          <w:i/>
          <w:iCs/>
          <w:color w:val="000000"/>
          <w:sz w:val="24"/>
          <w:szCs w:val="24"/>
        </w:rPr>
      </w:pPr>
      <w:r w:rsidRPr="006E3F59">
        <w:rPr>
          <w:rFonts w:ascii="Times New Roman" w:eastAsia="Calibri" w:hAnsi="Times New Roman" w:cs="Times New Roman"/>
          <w:bCs/>
          <w:i/>
          <w:iCs/>
          <w:color w:val="000000"/>
          <w:sz w:val="24"/>
          <w:szCs w:val="24"/>
        </w:rPr>
        <w:t>Rozšírenie okruhu osôb, ktoré sú povinné umožniť prevádzkovateľovi distribučnej siete kontrolu odberného plynového zariadenia alebo určeného meradla o vlastníka nehnuteľnosti, do ktorej je dodávaný plyn</w:t>
      </w:r>
    </w:p>
    <w:p w14:paraId="6AA1A05B" w14:textId="2669BEDA" w:rsidR="00843E51" w:rsidRDefault="00843E51" w:rsidP="00843E51">
      <w:pPr>
        <w:jc w:val="both"/>
        <w:rPr>
          <w:rFonts w:ascii="Times New Roman" w:hAnsi="Times New Roman" w:cs="Times New Roman"/>
          <w:color w:val="000000"/>
          <w:sz w:val="24"/>
        </w:rPr>
      </w:pPr>
      <w:r w:rsidRPr="00843E51">
        <w:rPr>
          <w:rFonts w:ascii="Times New Roman" w:hAnsi="Times New Roman" w:cs="Times New Roman"/>
          <w:iCs/>
          <w:color w:val="000000"/>
          <w:sz w:val="24"/>
          <w:szCs w:val="24"/>
        </w:rPr>
        <w:lastRenderedPageBreak/>
        <w:t>Novelou zákona č. 251/2012 Z.</w:t>
      </w:r>
      <w:r w:rsidR="00BB06B0">
        <w:rPr>
          <w:rFonts w:ascii="Times New Roman" w:hAnsi="Times New Roman" w:cs="Times New Roman"/>
          <w:iCs/>
          <w:color w:val="000000"/>
          <w:sz w:val="24"/>
          <w:szCs w:val="24"/>
        </w:rPr>
        <w:t xml:space="preserve"> </w:t>
      </w:r>
      <w:r w:rsidRPr="00843E51">
        <w:rPr>
          <w:rFonts w:ascii="Times New Roman" w:hAnsi="Times New Roman" w:cs="Times New Roman"/>
          <w:iCs/>
          <w:color w:val="000000"/>
          <w:sz w:val="24"/>
          <w:szCs w:val="24"/>
        </w:rPr>
        <w:t xml:space="preserve">z. o energetike a o zmene a doplnení niektorých zákonov, dochádza k rozšíreniu okruhu osôb, ktoré sú povinné umožniť prevádzkovateľovi distribučnej siete kontrolu odberného plynového zariadenia alebo určeného meradla o vlastníka nehnuteľnosti, do ktorej je dodávaný plyn. </w:t>
      </w:r>
      <w:r w:rsidRPr="00843E51">
        <w:rPr>
          <w:rFonts w:ascii="Times New Roman" w:hAnsi="Times New Roman" w:cs="Times New Roman"/>
          <w:color w:val="000000"/>
          <w:sz w:val="24"/>
          <w:szCs w:val="24"/>
        </w:rPr>
        <w:t>Podľa súčasného znenia § 73 ods. 4 zákona o energetike je povinný poskytnúť súčinnosť</w:t>
      </w:r>
      <w:r>
        <w:rPr>
          <w:color w:val="000000"/>
        </w:rPr>
        <w:t xml:space="preserve"> </w:t>
      </w:r>
      <w:r w:rsidRPr="00843E51">
        <w:rPr>
          <w:rFonts w:ascii="Times New Roman" w:hAnsi="Times New Roman" w:cs="Times New Roman"/>
          <w:color w:val="000000"/>
          <w:sz w:val="24"/>
        </w:rPr>
        <w:t xml:space="preserve">pri kontrole odberného plynového zariadenia odberateľ. V praxi sa stáva, že odberateľ a vlastník nehnuteľnosti nie sú tie isté osoby. Je to práve vlastník nehnuteľnosti, ktorý častokrát disponuje ako právnymi, tak aj technickými nástrojmi potrebnými na realizáciu kontroly odberného plynového zariadenia. Stáva sa, že odberateľ plynu, ktorý je nájomník zároveň fakticky nevie poskytnúť súčinnosť potrebnú na kontrolu odberného plynového zariadenia, napriek tomu, že mu je uložená takáto povinnosť. Táto regulácia sťažuje realizáciu kontrol, </w:t>
      </w:r>
      <w:r w:rsidR="0047476E">
        <w:rPr>
          <w:rFonts w:ascii="Times New Roman" w:hAnsi="Times New Roman" w:cs="Times New Roman"/>
          <w:color w:val="000000"/>
          <w:sz w:val="24"/>
        </w:rPr>
        <w:t>pretože</w:t>
      </w:r>
      <w:r w:rsidRPr="00843E51">
        <w:rPr>
          <w:rFonts w:ascii="Times New Roman" w:hAnsi="Times New Roman" w:cs="Times New Roman"/>
          <w:color w:val="000000"/>
          <w:sz w:val="24"/>
        </w:rPr>
        <w:t xml:space="preserve"> odberatelia v dohodnutých termínoch nesprístupňujú svoje odberné plynové zariadenia, prípadne obštrukčne navrhujú termíny počas dní pracovného pokoja. Doplnením vlastníka nehnuteľnosti, ako osoby povinnej poskytnúť súčinnosť pri kontrole, sa odbremenia kontrolné subjekty od nadbytočnej administratívy a znížia sa aj časové náklady spojené s vykonávaním kontrol.</w:t>
      </w:r>
    </w:p>
    <w:p w14:paraId="50C0D842" w14:textId="1013E614" w:rsidR="00843E51" w:rsidRPr="00256B4C" w:rsidRDefault="00843E51" w:rsidP="00843E51">
      <w:pPr>
        <w:pStyle w:val="Odsekzoznamu"/>
        <w:numPr>
          <w:ilvl w:val="0"/>
          <w:numId w:val="17"/>
        </w:numPr>
        <w:ind w:left="0" w:hanging="11"/>
        <w:jc w:val="both"/>
        <w:rPr>
          <w:rFonts w:ascii="Times New Roman" w:hAnsi="Times New Roman" w:cs="Times New Roman"/>
          <w:b/>
          <w:color w:val="000000"/>
          <w:sz w:val="24"/>
          <w:szCs w:val="24"/>
        </w:rPr>
      </w:pPr>
      <w:r w:rsidRPr="00256B4C">
        <w:rPr>
          <w:rFonts w:ascii="Times New Roman" w:hAnsi="Times New Roman" w:cs="Times New Roman"/>
          <w:b/>
          <w:color w:val="000000"/>
          <w:sz w:val="24"/>
          <w:szCs w:val="24"/>
        </w:rPr>
        <w:t>Úrad na ochranu osobných údajov Slovenskej republiky</w:t>
      </w:r>
      <w:r w:rsidRPr="00256B4C">
        <w:rPr>
          <w:i/>
          <w:iCs/>
          <w:color w:val="000000"/>
          <w:sz w:val="24"/>
          <w:szCs w:val="24"/>
        </w:rPr>
        <w:t xml:space="preserve"> </w:t>
      </w:r>
    </w:p>
    <w:p w14:paraId="150E4939" w14:textId="43CE36D6" w:rsidR="009B7848" w:rsidRPr="009B7848" w:rsidRDefault="009B7848" w:rsidP="00D244F9">
      <w:pPr>
        <w:jc w:val="both"/>
        <w:rPr>
          <w:rFonts w:ascii="Times New Roman" w:hAnsi="Times New Roman" w:cs="Times New Roman"/>
          <w:i/>
          <w:color w:val="000000"/>
          <w:sz w:val="24"/>
        </w:rPr>
      </w:pPr>
      <w:r w:rsidRPr="009B7848">
        <w:rPr>
          <w:rFonts w:ascii="Times New Roman" w:hAnsi="Times New Roman" w:cs="Times New Roman"/>
          <w:i/>
          <w:color w:val="000000"/>
          <w:sz w:val="24"/>
        </w:rPr>
        <w:t>Zosúladenie spracovávania osobných údajov zosnulých osôb podľa nariadenia GDPR</w:t>
      </w:r>
    </w:p>
    <w:p w14:paraId="40F12983" w14:textId="418DC2F2" w:rsidR="00843E51" w:rsidRPr="00D244F9" w:rsidRDefault="00843E51" w:rsidP="00D244F9">
      <w:pPr>
        <w:jc w:val="both"/>
        <w:rPr>
          <w:rFonts w:ascii="Times New Roman" w:hAnsi="Times New Roman" w:cs="Times New Roman"/>
          <w:color w:val="000000"/>
          <w:sz w:val="24"/>
        </w:rPr>
      </w:pPr>
      <w:r w:rsidRPr="00D244F9">
        <w:rPr>
          <w:rFonts w:ascii="Times New Roman" w:hAnsi="Times New Roman" w:cs="Times New Roman"/>
          <w:color w:val="000000"/>
          <w:sz w:val="24"/>
        </w:rPr>
        <w:t>Novelou zákona č. 18/2018 Z.</w:t>
      </w:r>
      <w:r w:rsidR="00BB06B0">
        <w:rPr>
          <w:rFonts w:ascii="Times New Roman" w:hAnsi="Times New Roman" w:cs="Times New Roman"/>
          <w:color w:val="000000"/>
          <w:sz w:val="24"/>
        </w:rPr>
        <w:t xml:space="preserve"> </w:t>
      </w:r>
      <w:r w:rsidRPr="00D244F9">
        <w:rPr>
          <w:rFonts w:ascii="Times New Roman" w:hAnsi="Times New Roman" w:cs="Times New Roman"/>
          <w:color w:val="000000"/>
          <w:sz w:val="24"/>
        </w:rPr>
        <w:t xml:space="preserve">z. o ochrane osobných údajov a </w:t>
      </w:r>
      <w:r w:rsidRPr="00D244F9">
        <w:rPr>
          <w:rFonts w:ascii="Times New Roman" w:hAnsi="Times New Roman" w:cs="Times New Roman"/>
          <w:sz w:val="24"/>
        </w:rPr>
        <w:t>o zmene a doplnení niektorých zákonov dochádza k zosúladeniu spracovávania osobných údajov zosnulých osôb podľa nariadenia GDPR</w:t>
      </w:r>
      <w:r w:rsidR="00D244F9" w:rsidRPr="00D244F9">
        <w:rPr>
          <w:rFonts w:ascii="Times New Roman" w:hAnsi="Times New Roman" w:cs="Times New Roman"/>
          <w:sz w:val="24"/>
        </w:rPr>
        <w:t xml:space="preserve"> </w:t>
      </w:r>
      <w:r w:rsidRPr="00D244F9">
        <w:rPr>
          <w:rFonts w:ascii="Times New Roman" w:hAnsi="Times New Roman" w:cs="Times New Roman"/>
          <w:color w:val="000000"/>
          <w:sz w:val="24"/>
        </w:rPr>
        <w:t>a zároveň k odstráneniu goldplatingu spôsobeného rozšírením rozsahu pôsobnosti nariadenia na subjekty nad rámec minimálnych požiadaviek.</w:t>
      </w:r>
      <w:r w:rsidR="00D244F9" w:rsidRPr="00D244F9">
        <w:rPr>
          <w:rFonts w:ascii="Times New Roman" w:hAnsi="Times New Roman" w:cs="Times New Roman"/>
          <w:sz w:val="24"/>
        </w:rPr>
        <w:t xml:space="preserve"> Tento </w:t>
      </w:r>
      <w:r w:rsidR="00D244F9" w:rsidRPr="00D244F9">
        <w:rPr>
          <w:rFonts w:ascii="Times New Roman" w:hAnsi="Times New Roman" w:cs="Times New Roman"/>
          <w:color w:val="000000"/>
          <w:sz w:val="24"/>
        </w:rPr>
        <w:t xml:space="preserve">prejav goldplatingu našej právnej úpravy spôsobuje prílišné zaťaženie byrokratickými procesmi, resp. sťaženie podnikateľského prostredia. </w:t>
      </w:r>
      <w:r w:rsidRPr="00D244F9">
        <w:rPr>
          <w:rFonts w:ascii="Times New Roman" w:hAnsi="Times New Roman" w:cs="Times New Roman"/>
          <w:color w:val="000000"/>
          <w:sz w:val="24"/>
        </w:rPr>
        <w:t>V praxi dochádza k nejasnostiam, ako je potrebné aplikovať úpravu súvisiacu so získavaním súhlasu pri spracúvaní osobných údajov zosnulých osôb, a preto neprináša želaný efekt</w:t>
      </w:r>
      <w:r w:rsidR="00D244F9">
        <w:rPr>
          <w:rFonts w:ascii="Times New Roman" w:hAnsi="Times New Roman" w:cs="Times New Roman"/>
          <w:color w:val="000000"/>
          <w:sz w:val="24"/>
        </w:rPr>
        <w:t xml:space="preserve"> (napr.</w:t>
      </w:r>
      <w:r w:rsidR="00D244F9" w:rsidRPr="00D244F9">
        <w:rPr>
          <w:rFonts w:ascii="Times New Roman" w:hAnsi="Times New Roman" w:cs="Times New Roman"/>
          <w:color w:val="000000"/>
          <w:sz w:val="24"/>
        </w:rPr>
        <w:t xml:space="preserve"> jed</w:t>
      </w:r>
      <w:r w:rsidR="00D244F9">
        <w:rPr>
          <w:rFonts w:ascii="Times New Roman" w:hAnsi="Times New Roman" w:cs="Times New Roman"/>
          <w:color w:val="000000"/>
          <w:sz w:val="24"/>
        </w:rPr>
        <w:t>en pozostalý udelil súhlas, pričom často iba konkludentne, zatiaľ čo</w:t>
      </w:r>
      <w:r w:rsidR="00D244F9" w:rsidRPr="00D244F9">
        <w:rPr>
          <w:rFonts w:ascii="Times New Roman" w:hAnsi="Times New Roman" w:cs="Times New Roman"/>
          <w:color w:val="000000"/>
          <w:sz w:val="24"/>
        </w:rPr>
        <w:t xml:space="preserve"> iný pozostalý ho následne mohol odvolať</w:t>
      </w:r>
      <w:r w:rsidR="00D244F9">
        <w:rPr>
          <w:rFonts w:ascii="Times New Roman" w:hAnsi="Times New Roman" w:cs="Times New Roman"/>
          <w:color w:val="000000"/>
          <w:sz w:val="24"/>
        </w:rPr>
        <w:t>)</w:t>
      </w:r>
      <w:r w:rsidRPr="00D244F9">
        <w:rPr>
          <w:rFonts w:ascii="Times New Roman" w:hAnsi="Times New Roman" w:cs="Times New Roman"/>
          <w:color w:val="000000"/>
          <w:sz w:val="24"/>
        </w:rPr>
        <w:t>. V roku 2021 bola prijatá novela zákona č. 18/2018 Z.</w:t>
      </w:r>
      <w:r w:rsidR="00BB06B0">
        <w:rPr>
          <w:rFonts w:ascii="Times New Roman" w:hAnsi="Times New Roman" w:cs="Times New Roman"/>
          <w:color w:val="000000"/>
          <w:sz w:val="24"/>
        </w:rPr>
        <w:t xml:space="preserve"> </w:t>
      </w:r>
      <w:r w:rsidRPr="00D244F9">
        <w:rPr>
          <w:rFonts w:ascii="Times New Roman" w:hAnsi="Times New Roman" w:cs="Times New Roman"/>
          <w:color w:val="000000"/>
          <w:sz w:val="24"/>
        </w:rPr>
        <w:t xml:space="preserve">z., ktorou sa v zákone špecifikovali prípady, kedy sa pri spracovávaní údajov zosnulých osôb súhlas blízkych osôb nevyžaduje. Naďalej však pretrvávali aplikačné problémy, ako napr.: otázny výklad ustanovenia ohľadom získavania súhlasu blízkych osôb, </w:t>
      </w:r>
      <w:r w:rsidR="00035A4C">
        <w:rPr>
          <w:rFonts w:ascii="Times New Roman" w:hAnsi="Times New Roman" w:cs="Times New Roman"/>
          <w:color w:val="000000"/>
          <w:sz w:val="24"/>
        </w:rPr>
        <w:t>pretože</w:t>
      </w:r>
      <w:r w:rsidRPr="00D244F9">
        <w:rPr>
          <w:rFonts w:ascii="Times New Roman" w:hAnsi="Times New Roman" w:cs="Times New Roman"/>
          <w:color w:val="000000"/>
          <w:sz w:val="24"/>
        </w:rPr>
        <w:t xml:space="preserve"> nie sú nikde špecifikované situácie, pri ktorých sa tento súhlas vyžaduje</w:t>
      </w:r>
      <w:r w:rsidR="00D244F9">
        <w:rPr>
          <w:rFonts w:ascii="Times New Roman" w:hAnsi="Times New Roman" w:cs="Times New Roman"/>
          <w:color w:val="000000"/>
          <w:sz w:val="24"/>
        </w:rPr>
        <w:t>, otázny správny postup</w:t>
      </w:r>
      <w:r w:rsidR="00D244F9" w:rsidRPr="00D244F9">
        <w:t xml:space="preserve"> </w:t>
      </w:r>
      <w:r w:rsidR="00EF3693">
        <w:rPr>
          <w:rFonts w:ascii="Times New Roman" w:hAnsi="Times New Roman" w:cs="Times New Roman"/>
          <w:color w:val="000000"/>
          <w:sz w:val="24"/>
        </w:rPr>
        <w:t>prevádzkovateľov</w:t>
      </w:r>
      <w:r w:rsidR="00D244F9" w:rsidRPr="00D244F9">
        <w:rPr>
          <w:rFonts w:ascii="Times New Roman" w:hAnsi="Times New Roman" w:cs="Times New Roman"/>
          <w:color w:val="000000"/>
          <w:sz w:val="24"/>
        </w:rPr>
        <w:t xml:space="preserve"> pohrebnej služby a</w:t>
      </w:r>
      <w:r w:rsidR="00D244F9">
        <w:rPr>
          <w:rFonts w:ascii="Times New Roman" w:hAnsi="Times New Roman" w:cs="Times New Roman"/>
          <w:color w:val="000000"/>
          <w:sz w:val="24"/>
        </w:rPr>
        <w:t> </w:t>
      </w:r>
      <w:r w:rsidR="00D244F9" w:rsidRPr="00D244F9">
        <w:rPr>
          <w:rFonts w:ascii="Times New Roman" w:hAnsi="Times New Roman" w:cs="Times New Roman"/>
          <w:color w:val="000000"/>
          <w:sz w:val="24"/>
        </w:rPr>
        <w:t>pohrebiska</w:t>
      </w:r>
      <w:r w:rsidR="00D244F9">
        <w:rPr>
          <w:rFonts w:ascii="Times New Roman" w:hAnsi="Times New Roman" w:cs="Times New Roman"/>
          <w:color w:val="000000"/>
          <w:sz w:val="24"/>
        </w:rPr>
        <w:t xml:space="preserve"> napriek výni</w:t>
      </w:r>
      <w:r w:rsidR="00EF3693">
        <w:rPr>
          <w:rFonts w:ascii="Times New Roman" w:hAnsi="Times New Roman" w:cs="Times New Roman"/>
          <w:color w:val="000000"/>
          <w:sz w:val="24"/>
        </w:rPr>
        <w:t>m</w:t>
      </w:r>
      <w:r w:rsidR="00D244F9">
        <w:rPr>
          <w:rFonts w:ascii="Times New Roman" w:hAnsi="Times New Roman" w:cs="Times New Roman"/>
          <w:color w:val="000000"/>
          <w:sz w:val="24"/>
        </w:rPr>
        <w:t>ke udelenej v zákone</w:t>
      </w:r>
      <w:r w:rsidRPr="00D244F9">
        <w:rPr>
          <w:rFonts w:ascii="Times New Roman" w:hAnsi="Times New Roman" w:cs="Times New Roman"/>
          <w:color w:val="000000"/>
          <w:sz w:val="24"/>
        </w:rPr>
        <w:t>. Ďalej medzi tieto nejasnosti patrí napríklad otázka, kto môže uplatňovať práva dotknutej osoby ako právo na prístup alebo právo podať návrh na začatie konania o ochrane osobných údajov. Prijatím zmeny právnej úpravy sa zvýši právna istota a predvídateľnosť právnej úpravy pre podnikateľské subjekty a predíde sa potrebe opakovanej novelizácie ustanovenia § 3 ods. 6, ktorý teraz obsahuje negatívny výpočet prípadov, kedy sa súhlas nevyžaduje. Zároveň vyňatím zosnulých osôb z pôsobnosti zákona č. 18/2018 nie je dotknutá postmortálna ochrana v zmysle § 15 Občianskeho zákonníka (ochrana osobnosti).</w:t>
      </w:r>
    </w:p>
    <w:sectPr w:rsidR="00843E51" w:rsidRPr="00D244F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5E51C" w14:textId="77777777" w:rsidR="00EA452C" w:rsidRDefault="00EA452C" w:rsidP="00054C41">
      <w:pPr>
        <w:spacing w:after="0" w:line="240" w:lineRule="auto"/>
      </w:pPr>
      <w:r>
        <w:separator/>
      </w:r>
    </w:p>
  </w:endnote>
  <w:endnote w:type="continuationSeparator" w:id="0">
    <w:p w14:paraId="09CCA1AA" w14:textId="77777777" w:rsidR="00EA452C" w:rsidRDefault="00EA452C"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467E7B30" w14:textId="53195EFB" w:rsidR="00EA452C" w:rsidRPr="006045CB" w:rsidRDefault="00EA452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E2C29">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14:paraId="7D48B09B" w14:textId="77777777" w:rsidR="00EA452C" w:rsidRPr="00FF7125" w:rsidRDefault="00EA452C" w:rsidP="00054C41">
    <w:pPr>
      <w:pStyle w:val="Pta"/>
      <w:rPr>
        <w:sz w:val="24"/>
        <w:szCs w:val="24"/>
      </w:rPr>
    </w:pPr>
  </w:p>
  <w:p w14:paraId="68AC3825" w14:textId="77777777" w:rsidR="00EA452C" w:rsidRDefault="00EA452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48150"/>
      <w:docPartObj>
        <w:docPartGallery w:val="Page Numbers (Bottom of Page)"/>
        <w:docPartUnique/>
      </w:docPartObj>
    </w:sdtPr>
    <w:sdtEndPr>
      <w:rPr>
        <w:rFonts w:ascii="Times New Roman" w:hAnsi="Times New Roman" w:cs="Times New Roman"/>
        <w:sz w:val="24"/>
        <w:szCs w:val="24"/>
      </w:rPr>
    </w:sdtEndPr>
    <w:sdtContent>
      <w:p w14:paraId="1E9CCE70" w14:textId="08BCB723" w:rsidR="00EA452C" w:rsidRPr="006045CB" w:rsidRDefault="00EA452C"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E2C29">
          <w:rPr>
            <w:rFonts w:ascii="Times New Roman" w:hAnsi="Times New Roman" w:cs="Times New Roman"/>
            <w:noProof/>
            <w:sz w:val="24"/>
            <w:szCs w:val="24"/>
          </w:rPr>
          <w:t>10</w:t>
        </w:r>
        <w:r w:rsidRPr="006045CB">
          <w:rPr>
            <w:rFonts w:ascii="Times New Roman" w:hAnsi="Times New Roman" w:cs="Times New Roman"/>
            <w:sz w:val="24"/>
            <w:szCs w:val="24"/>
          </w:rPr>
          <w:fldChar w:fldCharType="end"/>
        </w:r>
      </w:p>
    </w:sdtContent>
  </w:sdt>
  <w:p w14:paraId="00A867F9" w14:textId="77777777" w:rsidR="00EA452C" w:rsidRPr="00FF7125" w:rsidRDefault="00EA452C" w:rsidP="00054C41">
    <w:pPr>
      <w:pStyle w:val="Pta"/>
      <w:rPr>
        <w:sz w:val="24"/>
        <w:szCs w:val="24"/>
      </w:rPr>
    </w:pPr>
  </w:p>
  <w:p w14:paraId="57A9614B" w14:textId="77777777" w:rsidR="00EA452C" w:rsidRDefault="00EA45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6B83" w14:textId="77777777" w:rsidR="00EA452C" w:rsidRDefault="00EA452C" w:rsidP="00054C41">
      <w:pPr>
        <w:spacing w:after="0" w:line="240" w:lineRule="auto"/>
      </w:pPr>
      <w:r>
        <w:separator/>
      </w:r>
    </w:p>
  </w:footnote>
  <w:footnote w:type="continuationSeparator" w:id="0">
    <w:p w14:paraId="29E41971" w14:textId="77777777" w:rsidR="00EA452C" w:rsidRDefault="00EA452C" w:rsidP="000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F3C60" w14:textId="35DE3B53" w:rsidR="00EA452C" w:rsidRPr="006045CB" w:rsidRDefault="00EA452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7FEBDFF3" w14:textId="77777777" w:rsidR="00EA452C" w:rsidRPr="006045CB" w:rsidRDefault="00EA452C" w:rsidP="00142154">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302E" w14:textId="77777777" w:rsidR="00EA452C" w:rsidRPr="006045CB" w:rsidRDefault="00EA452C"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520D4494" w14:textId="77777777" w:rsidR="00EA452C" w:rsidRPr="006045CB" w:rsidRDefault="00EA452C" w:rsidP="00142154">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191"/>
    <w:multiLevelType w:val="hybridMultilevel"/>
    <w:tmpl w:val="4622FF42"/>
    <w:lvl w:ilvl="0" w:tplc="0BF87A36">
      <w:start w:val="1"/>
      <w:numFmt w:val="decimal"/>
      <w:lvlText w:val="%1."/>
      <w:lvlJc w:val="left"/>
      <w:pPr>
        <w:ind w:left="720" w:hanging="360"/>
      </w:pPr>
      <w:rPr>
        <w:rFonts w:ascii="Times New Roman" w:eastAsia="Calibr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C01140F"/>
    <w:multiLevelType w:val="hybridMultilevel"/>
    <w:tmpl w:val="38DA7CB6"/>
    <w:lvl w:ilvl="0" w:tplc="88EA0F0A">
      <w:start w:val="1"/>
      <w:numFmt w:val="decimal"/>
      <w:lvlText w:val="%1."/>
      <w:lvlJc w:val="left"/>
      <w:pPr>
        <w:tabs>
          <w:tab w:val="num" w:pos="357"/>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655562"/>
    <w:multiLevelType w:val="hybridMultilevel"/>
    <w:tmpl w:val="0CF2195C"/>
    <w:lvl w:ilvl="0" w:tplc="52C24EDE">
      <w:start w:val="1"/>
      <w:numFmt w:val="decimal"/>
      <w:lvlText w:val="%1."/>
      <w:lvlJc w:val="left"/>
      <w:pPr>
        <w:tabs>
          <w:tab w:val="num" w:pos="357"/>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0E367C"/>
    <w:multiLevelType w:val="hybridMultilevel"/>
    <w:tmpl w:val="DAEE6092"/>
    <w:lvl w:ilvl="0" w:tplc="EBEEA60E">
      <w:start w:val="1"/>
      <w:numFmt w:val="decimal"/>
      <w:lvlText w:val="%1."/>
      <w:lvlJc w:val="left"/>
      <w:pPr>
        <w:tabs>
          <w:tab w:val="num" w:pos="357"/>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D5D3D5E"/>
    <w:multiLevelType w:val="hybridMultilevel"/>
    <w:tmpl w:val="AD64524A"/>
    <w:lvl w:ilvl="0" w:tplc="325E9A40">
      <w:start w:val="1"/>
      <w:numFmt w:val="decimal"/>
      <w:lvlText w:val="%1."/>
      <w:lvlJc w:val="left"/>
      <w:pPr>
        <w:ind w:left="360" w:hanging="360"/>
      </w:pPr>
      <w:rPr>
        <w:rFonts w:hint="default"/>
        <w:b/>
        <w:i/>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A64BBB"/>
    <w:multiLevelType w:val="hybridMultilevel"/>
    <w:tmpl w:val="709814CE"/>
    <w:lvl w:ilvl="0" w:tplc="26108F50">
      <w:start w:val="1"/>
      <w:numFmt w:val="decimal"/>
      <w:lvlText w:val="%1."/>
      <w:lvlJc w:val="left"/>
      <w:pPr>
        <w:ind w:left="284" w:firstLine="76"/>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9927B8"/>
    <w:multiLevelType w:val="hybridMultilevel"/>
    <w:tmpl w:val="DD3E3A38"/>
    <w:lvl w:ilvl="0" w:tplc="09B253B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CA010F9"/>
    <w:multiLevelType w:val="hybridMultilevel"/>
    <w:tmpl w:val="C8E81B8E"/>
    <w:lvl w:ilvl="0" w:tplc="98928814">
      <w:start w:val="1"/>
      <w:numFmt w:val="bullet"/>
      <w:lvlText w:val=""/>
      <w:lvlJc w:val="left"/>
      <w:pPr>
        <w:tabs>
          <w:tab w:val="num" w:pos="357"/>
        </w:tabs>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6D0F28F2"/>
    <w:multiLevelType w:val="hybridMultilevel"/>
    <w:tmpl w:val="EC82C11A"/>
    <w:lvl w:ilvl="0" w:tplc="95C8C10E">
      <w:start w:val="1"/>
      <w:numFmt w:val="decimal"/>
      <w:lvlText w:val="%1."/>
      <w:lvlJc w:val="left"/>
      <w:pPr>
        <w:tabs>
          <w:tab w:val="num" w:pos="357"/>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5CD1527"/>
    <w:multiLevelType w:val="hybridMultilevel"/>
    <w:tmpl w:val="5332154C"/>
    <w:lvl w:ilvl="0" w:tplc="9AF07F34">
      <w:start w:val="1"/>
      <w:numFmt w:val="decimal"/>
      <w:lvlText w:val="%1."/>
      <w:lvlJc w:val="left"/>
      <w:pPr>
        <w:tabs>
          <w:tab w:val="num" w:pos="357"/>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12"/>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0"/>
  </w:num>
  <w:num w:numId="12">
    <w:abstractNumId w:val="8"/>
  </w:num>
  <w:num w:numId="13">
    <w:abstractNumId w:val="3"/>
  </w:num>
  <w:num w:numId="14">
    <w:abstractNumId w:val="15"/>
  </w:num>
  <w:num w:numId="15">
    <w:abstractNumId w:val="11"/>
  </w:num>
  <w:num w:numId="16">
    <w:abstractNumId w:val="4"/>
  </w:num>
  <w:num w:numId="17">
    <w:abstractNumId w:val="5"/>
  </w:num>
  <w:num w:numId="18">
    <w:abstractNumId w:val="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17537"/>
    <w:rsid w:val="0003544C"/>
    <w:rsid w:val="00035A4C"/>
    <w:rsid w:val="0003707E"/>
    <w:rsid w:val="00054C41"/>
    <w:rsid w:val="00060DA1"/>
    <w:rsid w:val="00084F56"/>
    <w:rsid w:val="00092911"/>
    <w:rsid w:val="000A1996"/>
    <w:rsid w:val="000A319F"/>
    <w:rsid w:val="000B1CD1"/>
    <w:rsid w:val="000C5E9A"/>
    <w:rsid w:val="000D3F81"/>
    <w:rsid w:val="000D4DCA"/>
    <w:rsid w:val="000E2028"/>
    <w:rsid w:val="000F4419"/>
    <w:rsid w:val="00101049"/>
    <w:rsid w:val="00107F0F"/>
    <w:rsid w:val="00133E45"/>
    <w:rsid w:val="00137201"/>
    <w:rsid w:val="00142154"/>
    <w:rsid w:val="00154B4A"/>
    <w:rsid w:val="00187E9E"/>
    <w:rsid w:val="001A4C95"/>
    <w:rsid w:val="001B2F30"/>
    <w:rsid w:val="001B4C03"/>
    <w:rsid w:val="001C77B7"/>
    <w:rsid w:val="001D1083"/>
    <w:rsid w:val="001D3FA0"/>
    <w:rsid w:val="001E53CB"/>
    <w:rsid w:val="001E7C5A"/>
    <w:rsid w:val="001F0421"/>
    <w:rsid w:val="00225A83"/>
    <w:rsid w:val="0024158F"/>
    <w:rsid w:val="002428C9"/>
    <w:rsid w:val="00256528"/>
    <w:rsid w:val="00256B4C"/>
    <w:rsid w:val="00265DB8"/>
    <w:rsid w:val="00270EA5"/>
    <w:rsid w:val="002745F6"/>
    <w:rsid w:val="0027745A"/>
    <w:rsid w:val="00285199"/>
    <w:rsid w:val="00286508"/>
    <w:rsid w:val="002B659C"/>
    <w:rsid w:val="002C162A"/>
    <w:rsid w:val="002C56EE"/>
    <w:rsid w:val="002D0CD8"/>
    <w:rsid w:val="002E05DC"/>
    <w:rsid w:val="002F1CEF"/>
    <w:rsid w:val="002F795C"/>
    <w:rsid w:val="00323680"/>
    <w:rsid w:val="00333E36"/>
    <w:rsid w:val="00336F43"/>
    <w:rsid w:val="003372FE"/>
    <w:rsid w:val="00340CFD"/>
    <w:rsid w:val="003555AE"/>
    <w:rsid w:val="003605B4"/>
    <w:rsid w:val="00370B05"/>
    <w:rsid w:val="00374D92"/>
    <w:rsid w:val="00382093"/>
    <w:rsid w:val="0038255E"/>
    <w:rsid w:val="00383E66"/>
    <w:rsid w:val="003910D5"/>
    <w:rsid w:val="00391648"/>
    <w:rsid w:val="0039304E"/>
    <w:rsid w:val="00396CAB"/>
    <w:rsid w:val="003A069F"/>
    <w:rsid w:val="003B35A6"/>
    <w:rsid w:val="003C16B4"/>
    <w:rsid w:val="003E4F43"/>
    <w:rsid w:val="003E54CD"/>
    <w:rsid w:val="003E58B8"/>
    <w:rsid w:val="003E6C23"/>
    <w:rsid w:val="003F06D7"/>
    <w:rsid w:val="00400B31"/>
    <w:rsid w:val="00401116"/>
    <w:rsid w:val="00403CFD"/>
    <w:rsid w:val="00430F7F"/>
    <w:rsid w:val="00432D5A"/>
    <w:rsid w:val="00441789"/>
    <w:rsid w:val="00445638"/>
    <w:rsid w:val="00445C3D"/>
    <w:rsid w:val="00446432"/>
    <w:rsid w:val="004576D5"/>
    <w:rsid w:val="0046121A"/>
    <w:rsid w:val="0047087E"/>
    <w:rsid w:val="0047476E"/>
    <w:rsid w:val="00480F68"/>
    <w:rsid w:val="004919FB"/>
    <w:rsid w:val="00495B5B"/>
    <w:rsid w:val="00497823"/>
    <w:rsid w:val="004A0891"/>
    <w:rsid w:val="004D20CB"/>
    <w:rsid w:val="004E00D7"/>
    <w:rsid w:val="004E1A6E"/>
    <w:rsid w:val="004E386D"/>
    <w:rsid w:val="0051088C"/>
    <w:rsid w:val="0051727F"/>
    <w:rsid w:val="00520031"/>
    <w:rsid w:val="00531C24"/>
    <w:rsid w:val="005340DB"/>
    <w:rsid w:val="005640A2"/>
    <w:rsid w:val="005717BB"/>
    <w:rsid w:val="00577E74"/>
    <w:rsid w:val="00577F82"/>
    <w:rsid w:val="00580E14"/>
    <w:rsid w:val="00581DC0"/>
    <w:rsid w:val="005869AE"/>
    <w:rsid w:val="00597F18"/>
    <w:rsid w:val="005A27E7"/>
    <w:rsid w:val="005A3DF7"/>
    <w:rsid w:val="005C69AB"/>
    <w:rsid w:val="005D2DBB"/>
    <w:rsid w:val="005E32C1"/>
    <w:rsid w:val="005E6DD0"/>
    <w:rsid w:val="00600C85"/>
    <w:rsid w:val="00617852"/>
    <w:rsid w:val="00642597"/>
    <w:rsid w:val="0064399D"/>
    <w:rsid w:val="00647DC5"/>
    <w:rsid w:val="00661F9C"/>
    <w:rsid w:val="00664273"/>
    <w:rsid w:val="00664C64"/>
    <w:rsid w:val="006946CD"/>
    <w:rsid w:val="006A6AAC"/>
    <w:rsid w:val="006C61C2"/>
    <w:rsid w:val="006D5FE8"/>
    <w:rsid w:val="006E3F59"/>
    <w:rsid w:val="007040E9"/>
    <w:rsid w:val="007069A5"/>
    <w:rsid w:val="007113AD"/>
    <w:rsid w:val="00721C6E"/>
    <w:rsid w:val="007259CB"/>
    <w:rsid w:val="00730E24"/>
    <w:rsid w:val="00757E2E"/>
    <w:rsid w:val="0076435F"/>
    <w:rsid w:val="0077106D"/>
    <w:rsid w:val="00775A95"/>
    <w:rsid w:val="00785185"/>
    <w:rsid w:val="007977C9"/>
    <w:rsid w:val="007A486E"/>
    <w:rsid w:val="007B40FB"/>
    <w:rsid w:val="007B77FE"/>
    <w:rsid w:val="007B7863"/>
    <w:rsid w:val="007C2FC3"/>
    <w:rsid w:val="007C5C9F"/>
    <w:rsid w:val="007D18B7"/>
    <w:rsid w:val="007E0015"/>
    <w:rsid w:val="007E24B2"/>
    <w:rsid w:val="007F7218"/>
    <w:rsid w:val="0082223E"/>
    <w:rsid w:val="00822EE4"/>
    <w:rsid w:val="00825815"/>
    <w:rsid w:val="008259BE"/>
    <w:rsid w:val="00831690"/>
    <w:rsid w:val="00833B72"/>
    <w:rsid w:val="00835F1E"/>
    <w:rsid w:val="00843E51"/>
    <w:rsid w:val="00846F21"/>
    <w:rsid w:val="008619BC"/>
    <w:rsid w:val="008634E9"/>
    <w:rsid w:val="00874381"/>
    <w:rsid w:val="00875862"/>
    <w:rsid w:val="008801B5"/>
    <w:rsid w:val="008817E5"/>
    <w:rsid w:val="008B4AA1"/>
    <w:rsid w:val="008B6668"/>
    <w:rsid w:val="008C1C71"/>
    <w:rsid w:val="008C48C0"/>
    <w:rsid w:val="008C7FD4"/>
    <w:rsid w:val="008F64C8"/>
    <w:rsid w:val="00922D1D"/>
    <w:rsid w:val="00923C0C"/>
    <w:rsid w:val="009315C0"/>
    <w:rsid w:val="00945DF3"/>
    <w:rsid w:val="0096758B"/>
    <w:rsid w:val="00970AE6"/>
    <w:rsid w:val="00972604"/>
    <w:rsid w:val="009741E8"/>
    <w:rsid w:val="00987F8F"/>
    <w:rsid w:val="009A4D56"/>
    <w:rsid w:val="009A6B6B"/>
    <w:rsid w:val="009A77A5"/>
    <w:rsid w:val="009B7848"/>
    <w:rsid w:val="009C054C"/>
    <w:rsid w:val="009D4062"/>
    <w:rsid w:val="009D4A4A"/>
    <w:rsid w:val="009D53F6"/>
    <w:rsid w:val="009E09F7"/>
    <w:rsid w:val="009E1624"/>
    <w:rsid w:val="009E4817"/>
    <w:rsid w:val="009E501C"/>
    <w:rsid w:val="009E7A45"/>
    <w:rsid w:val="00A000DA"/>
    <w:rsid w:val="00A061E2"/>
    <w:rsid w:val="00A1736E"/>
    <w:rsid w:val="00A2564D"/>
    <w:rsid w:val="00A266D8"/>
    <w:rsid w:val="00A27321"/>
    <w:rsid w:val="00A47322"/>
    <w:rsid w:val="00A617A5"/>
    <w:rsid w:val="00AA1F79"/>
    <w:rsid w:val="00AB4407"/>
    <w:rsid w:val="00AC3276"/>
    <w:rsid w:val="00AC3E80"/>
    <w:rsid w:val="00AD1655"/>
    <w:rsid w:val="00B130A5"/>
    <w:rsid w:val="00B13BE6"/>
    <w:rsid w:val="00B160E9"/>
    <w:rsid w:val="00B229B7"/>
    <w:rsid w:val="00B417FC"/>
    <w:rsid w:val="00B60BE6"/>
    <w:rsid w:val="00B66E33"/>
    <w:rsid w:val="00B92D17"/>
    <w:rsid w:val="00BA0569"/>
    <w:rsid w:val="00BA7E0A"/>
    <w:rsid w:val="00BB06B0"/>
    <w:rsid w:val="00BC5272"/>
    <w:rsid w:val="00BD0EF7"/>
    <w:rsid w:val="00BE6A4F"/>
    <w:rsid w:val="00C11B0E"/>
    <w:rsid w:val="00C130DD"/>
    <w:rsid w:val="00C1430A"/>
    <w:rsid w:val="00C21399"/>
    <w:rsid w:val="00C27242"/>
    <w:rsid w:val="00C4345F"/>
    <w:rsid w:val="00C5460F"/>
    <w:rsid w:val="00C560C4"/>
    <w:rsid w:val="00C6748F"/>
    <w:rsid w:val="00CC01A9"/>
    <w:rsid w:val="00CD6306"/>
    <w:rsid w:val="00CD6793"/>
    <w:rsid w:val="00CD73F0"/>
    <w:rsid w:val="00CD7BE4"/>
    <w:rsid w:val="00D005F2"/>
    <w:rsid w:val="00D13EE4"/>
    <w:rsid w:val="00D213C3"/>
    <w:rsid w:val="00D244F9"/>
    <w:rsid w:val="00D27219"/>
    <w:rsid w:val="00D3779E"/>
    <w:rsid w:val="00D41755"/>
    <w:rsid w:val="00D62891"/>
    <w:rsid w:val="00D631FA"/>
    <w:rsid w:val="00D7088E"/>
    <w:rsid w:val="00D82356"/>
    <w:rsid w:val="00D84EEE"/>
    <w:rsid w:val="00D90A61"/>
    <w:rsid w:val="00D95469"/>
    <w:rsid w:val="00DB4D05"/>
    <w:rsid w:val="00DE4469"/>
    <w:rsid w:val="00DE45B1"/>
    <w:rsid w:val="00DE5BD2"/>
    <w:rsid w:val="00DF02CE"/>
    <w:rsid w:val="00DF28F1"/>
    <w:rsid w:val="00DF30A4"/>
    <w:rsid w:val="00E030DA"/>
    <w:rsid w:val="00E06144"/>
    <w:rsid w:val="00E0709F"/>
    <w:rsid w:val="00E075DD"/>
    <w:rsid w:val="00E1289D"/>
    <w:rsid w:val="00E1695A"/>
    <w:rsid w:val="00E20E98"/>
    <w:rsid w:val="00E365BC"/>
    <w:rsid w:val="00E53EBC"/>
    <w:rsid w:val="00E57739"/>
    <w:rsid w:val="00E66D1A"/>
    <w:rsid w:val="00E74E17"/>
    <w:rsid w:val="00E81BC9"/>
    <w:rsid w:val="00E86AB2"/>
    <w:rsid w:val="00EA452C"/>
    <w:rsid w:val="00EB2BEC"/>
    <w:rsid w:val="00EC0704"/>
    <w:rsid w:val="00ED6B5D"/>
    <w:rsid w:val="00ED7E3A"/>
    <w:rsid w:val="00ED7E6E"/>
    <w:rsid w:val="00EE2C29"/>
    <w:rsid w:val="00EE4C99"/>
    <w:rsid w:val="00EE6E4B"/>
    <w:rsid w:val="00EE7E12"/>
    <w:rsid w:val="00EF3693"/>
    <w:rsid w:val="00EF60A0"/>
    <w:rsid w:val="00F008E0"/>
    <w:rsid w:val="00F01DCE"/>
    <w:rsid w:val="00F31B58"/>
    <w:rsid w:val="00F35618"/>
    <w:rsid w:val="00F54B4A"/>
    <w:rsid w:val="00F640D7"/>
    <w:rsid w:val="00F74FC9"/>
    <w:rsid w:val="00F91AAF"/>
    <w:rsid w:val="00F92986"/>
    <w:rsid w:val="00F937B4"/>
    <w:rsid w:val="00F94EE8"/>
    <w:rsid w:val="00FA54CC"/>
    <w:rsid w:val="00FC1667"/>
    <w:rsid w:val="00FD2261"/>
    <w:rsid w:val="00FD63AE"/>
    <w:rsid w:val="00FF414B"/>
    <w:rsid w:val="00FF4B7A"/>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54A6"/>
  <w15:chartTrackingRefBased/>
  <w15:docId w15:val="{D25F4236-6AA0-4B56-8F99-9645C440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EE4C99"/>
    <w:pPr>
      <w:ind w:left="720"/>
      <w:contextualSpacing/>
    </w:pPr>
  </w:style>
  <w:style w:type="character" w:customStyle="1" w:styleId="ui-provider">
    <w:name w:val="ui-provider"/>
    <w:basedOn w:val="Predvolenpsmoodseku"/>
    <w:rsid w:val="00265DB8"/>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70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955">
      <w:bodyDiv w:val="1"/>
      <w:marLeft w:val="0"/>
      <w:marRight w:val="0"/>
      <w:marTop w:val="0"/>
      <w:marBottom w:val="0"/>
      <w:divBdr>
        <w:top w:val="none" w:sz="0" w:space="0" w:color="auto"/>
        <w:left w:val="none" w:sz="0" w:space="0" w:color="auto"/>
        <w:bottom w:val="none" w:sz="0" w:space="0" w:color="auto"/>
        <w:right w:val="none" w:sz="0" w:space="0" w:color="auto"/>
      </w:divBdr>
    </w:div>
    <w:div w:id="122432844">
      <w:bodyDiv w:val="1"/>
      <w:marLeft w:val="0"/>
      <w:marRight w:val="0"/>
      <w:marTop w:val="0"/>
      <w:marBottom w:val="0"/>
      <w:divBdr>
        <w:top w:val="none" w:sz="0" w:space="0" w:color="auto"/>
        <w:left w:val="none" w:sz="0" w:space="0" w:color="auto"/>
        <w:bottom w:val="none" w:sz="0" w:space="0" w:color="auto"/>
        <w:right w:val="none" w:sz="0" w:space="0" w:color="auto"/>
      </w:divBdr>
    </w:div>
    <w:div w:id="182667522">
      <w:bodyDiv w:val="1"/>
      <w:marLeft w:val="0"/>
      <w:marRight w:val="0"/>
      <w:marTop w:val="0"/>
      <w:marBottom w:val="0"/>
      <w:divBdr>
        <w:top w:val="none" w:sz="0" w:space="0" w:color="auto"/>
        <w:left w:val="none" w:sz="0" w:space="0" w:color="auto"/>
        <w:bottom w:val="none" w:sz="0" w:space="0" w:color="auto"/>
        <w:right w:val="none" w:sz="0" w:space="0" w:color="auto"/>
      </w:divBdr>
    </w:div>
    <w:div w:id="246034449">
      <w:bodyDiv w:val="1"/>
      <w:marLeft w:val="0"/>
      <w:marRight w:val="0"/>
      <w:marTop w:val="0"/>
      <w:marBottom w:val="0"/>
      <w:divBdr>
        <w:top w:val="none" w:sz="0" w:space="0" w:color="auto"/>
        <w:left w:val="none" w:sz="0" w:space="0" w:color="auto"/>
        <w:bottom w:val="none" w:sz="0" w:space="0" w:color="auto"/>
        <w:right w:val="none" w:sz="0" w:space="0" w:color="auto"/>
      </w:divBdr>
    </w:div>
    <w:div w:id="260139587">
      <w:bodyDiv w:val="1"/>
      <w:marLeft w:val="0"/>
      <w:marRight w:val="0"/>
      <w:marTop w:val="0"/>
      <w:marBottom w:val="0"/>
      <w:divBdr>
        <w:top w:val="none" w:sz="0" w:space="0" w:color="auto"/>
        <w:left w:val="none" w:sz="0" w:space="0" w:color="auto"/>
        <w:bottom w:val="none" w:sz="0" w:space="0" w:color="auto"/>
        <w:right w:val="none" w:sz="0" w:space="0" w:color="auto"/>
      </w:divBdr>
    </w:div>
    <w:div w:id="269122520">
      <w:bodyDiv w:val="1"/>
      <w:marLeft w:val="0"/>
      <w:marRight w:val="0"/>
      <w:marTop w:val="0"/>
      <w:marBottom w:val="0"/>
      <w:divBdr>
        <w:top w:val="none" w:sz="0" w:space="0" w:color="auto"/>
        <w:left w:val="none" w:sz="0" w:space="0" w:color="auto"/>
        <w:bottom w:val="none" w:sz="0" w:space="0" w:color="auto"/>
        <w:right w:val="none" w:sz="0" w:space="0" w:color="auto"/>
      </w:divBdr>
    </w:div>
    <w:div w:id="300306739">
      <w:bodyDiv w:val="1"/>
      <w:marLeft w:val="0"/>
      <w:marRight w:val="0"/>
      <w:marTop w:val="0"/>
      <w:marBottom w:val="0"/>
      <w:divBdr>
        <w:top w:val="none" w:sz="0" w:space="0" w:color="auto"/>
        <w:left w:val="none" w:sz="0" w:space="0" w:color="auto"/>
        <w:bottom w:val="none" w:sz="0" w:space="0" w:color="auto"/>
        <w:right w:val="none" w:sz="0" w:space="0" w:color="auto"/>
      </w:divBdr>
    </w:div>
    <w:div w:id="387606137">
      <w:bodyDiv w:val="1"/>
      <w:marLeft w:val="0"/>
      <w:marRight w:val="0"/>
      <w:marTop w:val="0"/>
      <w:marBottom w:val="0"/>
      <w:divBdr>
        <w:top w:val="none" w:sz="0" w:space="0" w:color="auto"/>
        <w:left w:val="none" w:sz="0" w:space="0" w:color="auto"/>
        <w:bottom w:val="none" w:sz="0" w:space="0" w:color="auto"/>
        <w:right w:val="none" w:sz="0" w:space="0" w:color="auto"/>
      </w:divBdr>
    </w:div>
    <w:div w:id="504635835">
      <w:bodyDiv w:val="1"/>
      <w:marLeft w:val="0"/>
      <w:marRight w:val="0"/>
      <w:marTop w:val="0"/>
      <w:marBottom w:val="0"/>
      <w:divBdr>
        <w:top w:val="none" w:sz="0" w:space="0" w:color="auto"/>
        <w:left w:val="none" w:sz="0" w:space="0" w:color="auto"/>
        <w:bottom w:val="none" w:sz="0" w:space="0" w:color="auto"/>
        <w:right w:val="none" w:sz="0" w:space="0" w:color="auto"/>
      </w:divBdr>
    </w:div>
    <w:div w:id="531963592">
      <w:bodyDiv w:val="1"/>
      <w:marLeft w:val="0"/>
      <w:marRight w:val="0"/>
      <w:marTop w:val="0"/>
      <w:marBottom w:val="0"/>
      <w:divBdr>
        <w:top w:val="none" w:sz="0" w:space="0" w:color="auto"/>
        <w:left w:val="none" w:sz="0" w:space="0" w:color="auto"/>
        <w:bottom w:val="none" w:sz="0" w:space="0" w:color="auto"/>
        <w:right w:val="none" w:sz="0" w:space="0" w:color="auto"/>
      </w:divBdr>
    </w:div>
    <w:div w:id="584188192">
      <w:bodyDiv w:val="1"/>
      <w:marLeft w:val="0"/>
      <w:marRight w:val="0"/>
      <w:marTop w:val="0"/>
      <w:marBottom w:val="0"/>
      <w:divBdr>
        <w:top w:val="none" w:sz="0" w:space="0" w:color="auto"/>
        <w:left w:val="none" w:sz="0" w:space="0" w:color="auto"/>
        <w:bottom w:val="none" w:sz="0" w:space="0" w:color="auto"/>
        <w:right w:val="none" w:sz="0" w:space="0" w:color="auto"/>
      </w:divBdr>
    </w:div>
    <w:div w:id="750086474">
      <w:bodyDiv w:val="1"/>
      <w:marLeft w:val="0"/>
      <w:marRight w:val="0"/>
      <w:marTop w:val="0"/>
      <w:marBottom w:val="0"/>
      <w:divBdr>
        <w:top w:val="none" w:sz="0" w:space="0" w:color="auto"/>
        <w:left w:val="none" w:sz="0" w:space="0" w:color="auto"/>
        <w:bottom w:val="none" w:sz="0" w:space="0" w:color="auto"/>
        <w:right w:val="none" w:sz="0" w:space="0" w:color="auto"/>
      </w:divBdr>
    </w:div>
    <w:div w:id="762917511">
      <w:bodyDiv w:val="1"/>
      <w:marLeft w:val="0"/>
      <w:marRight w:val="0"/>
      <w:marTop w:val="0"/>
      <w:marBottom w:val="0"/>
      <w:divBdr>
        <w:top w:val="none" w:sz="0" w:space="0" w:color="auto"/>
        <w:left w:val="none" w:sz="0" w:space="0" w:color="auto"/>
        <w:bottom w:val="none" w:sz="0" w:space="0" w:color="auto"/>
        <w:right w:val="none" w:sz="0" w:space="0" w:color="auto"/>
      </w:divBdr>
    </w:div>
    <w:div w:id="823355386">
      <w:bodyDiv w:val="1"/>
      <w:marLeft w:val="0"/>
      <w:marRight w:val="0"/>
      <w:marTop w:val="0"/>
      <w:marBottom w:val="0"/>
      <w:divBdr>
        <w:top w:val="none" w:sz="0" w:space="0" w:color="auto"/>
        <w:left w:val="none" w:sz="0" w:space="0" w:color="auto"/>
        <w:bottom w:val="none" w:sz="0" w:space="0" w:color="auto"/>
        <w:right w:val="none" w:sz="0" w:space="0" w:color="auto"/>
      </w:divBdr>
    </w:div>
    <w:div w:id="848258991">
      <w:bodyDiv w:val="1"/>
      <w:marLeft w:val="0"/>
      <w:marRight w:val="0"/>
      <w:marTop w:val="0"/>
      <w:marBottom w:val="0"/>
      <w:divBdr>
        <w:top w:val="none" w:sz="0" w:space="0" w:color="auto"/>
        <w:left w:val="none" w:sz="0" w:space="0" w:color="auto"/>
        <w:bottom w:val="none" w:sz="0" w:space="0" w:color="auto"/>
        <w:right w:val="none" w:sz="0" w:space="0" w:color="auto"/>
      </w:divBdr>
    </w:div>
    <w:div w:id="882329705">
      <w:bodyDiv w:val="1"/>
      <w:marLeft w:val="0"/>
      <w:marRight w:val="0"/>
      <w:marTop w:val="0"/>
      <w:marBottom w:val="0"/>
      <w:divBdr>
        <w:top w:val="none" w:sz="0" w:space="0" w:color="auto"/>
        <w:left w:val="none" w:sz="0" w:space="0" w:color="auto"/>
        <w:bottom w:val="none" w:sz="0" w:space="0" w:color="auto"/>
        <w:right w:val="none" w:sz="0" w:space="0" w:color="auto"/>
      </w:divBdr>
    </w:div>
    <w:div w:id="886069033">
      <w:bodyDiv w:val="1"/>
      <w:marLeft w:val="0"/>
      <w:marRight w:val="0"/>
      <w:marTop w:val="0"/>
      <w:marBottom w:val="0"/>
      <w:divBdr>
        <w:top w:val="none" w:sz="0" w:space="0" w:color="auto"/>
        <w:left w:val="none" w:sz="0" w:space="0" w:color="auto"/>
        <w:bottom w:val="none" w:sz="0" w:space="0" w:color="auto"/>
        <w:right w:val="none" w:sz="0" w:space="0" w:color="auto"/>
      </w:divBdr>
    </w:div>
    <w:div w:id="897129695">
      <w:bodyDiv w:val="1"/>
      <w:marLeft w:val="0"/>
      <w:marRight w:val="0"/>
      <w:marTop w:val="0"/>
      <w:marBottom w:val="0"/>
      <w:divBdr>
        <w:top w:val="none" w:sz="0" w:space="0" w:color="auto"/>
        <w:left w:val="none" w:sz="0" w:space="0" w:color="auto"/>
        <w:bottom w:val="none" w:sz="0" w:space="0" w:color="auto"/>
        <w:right w:val="none" w:sz="0" w:space="0" w:color="auto"/>
      </w:divBdr>
    </w:div>
    <w:div w:id="918518394">
      <w:bodyDiv w:val="1"/>
      <w:marLeft w:val="0"/>
      <w:marRight w:val="0"/>
      <w:marTop w:val="0"/>
      <w:marBottom w:val="0"/>
      <w:divBdr>
        <w:top w:val="none" w:sz="0" w:space="0" w:color="auto"/>
        <w:left w:val="none" w:sz="0" w:space="0" w:color="auto"/>
        <w:bottom w:val="none" w:sz="0" w:space="0" w:color="auto"/>
        <w:right w:val="none" w:sz="0" w:space="0" w:color="auto"/>
      </w:divBdr>
    </w:div>
    <w:div w:id="963971181">
      <w:bodyDiv w:val="1"/>
      <w:marLeft w:val="0"/>
      <w:marRight w:val="0"/>
      <w:marTop w:val="0"/>
      <w:marBottom w:val="0"/>
      <w:divBdr>
        <w:top w:val="none" w:sz="0" w:space="0" w:color="auto"/>
        <w:left w:val="none" w:sz="0" w:space="0" w:color="auto"/>
        <w:bottom w:val="none" w:sz="0" w:space="0" w:color="auto"/>
        <w:right w:val="none" w:sz="0" w:space="0" w:color="auto"/>
      </w:divBdr>
    </w:div>
    <w:div w:id="969089989">
      <w:bodyDiv w:val="1"/>
      <w:marLeft w:val="0"/>
      <w:marRight w:val="0"/>
      <w:marTop w:val="0"/>
      <w:marBottom w:val="0"/>
      <w:divBdr>
        <w:top w:val="none" w:sz="0" w:space="0" w:color="auto"/>
        <w:left w:val="none" w:sz="0" w:space="0" w:color="auto"/>
        <w:bottom w:val="none" w:sz="0" w:space="0" w:color="auto"/>
        <w:right w:val="none" w:sz="0" w:space="0" w:color="auto"/>
      </w:divBdr>
    </w:div>
    <w:div w:id="1002732999">
      <w:bodyDiv w:val="1"/>
      <w:marLeft w:val="0"/>
      <w:marRight w:val="0"/>
      <w:marTop w:val="0"/>
      <w:marBottom w:val="0"/>
      <w:divBdr>
        <w:top w:val="none" w:sz="0" w:space="0" w:color="auto"/>
        <w:left w:val="none" w:sz="0" w:space="0" w:color="auto"/>
        <w:bottom w:val="none" w:sz="0" w:space="0" w:color="auto"/>
        <w:right w:val="none" w:sz="0" w:space="0" w:color="auto"/>
      </w:divBdr>
    </w:div>
    <w:div w:id="1041248925">
      <w:bodyDiv w:val="1"/>
      <w:marLeft w:val="0"/>
      <w:marRight w:val="0"/>
      <w:marTop w:val="0"/>
      <w:marBottom w:val="0"/>
      <w:divBdr>
        <w:top w:val="none" w:sz="0" w:space="0" w:color="auto"/>
        <w:left w:val="none" w:sz="0" w:space="0" w:color="auto"/>
        <w:bottom w:val="none" w:sz="0" w:space="0" w:color="auto"/>
        <w:right w:val="none" w:sz="0" w:space="0" w:color="auto"/>
      </w:divBdr>
    </w:div>
    <w:div w:id="1088308933">
      <w:bodyDiv w:val="1"/>
      <w:marLeft w:val="0"/>
      <w:marRight w:val="0"/>
      <w:marTop w:val="0"/>
      <w:marBottom w:val="0"/>
      <w:divBdr>
        <w:top w:val="none" w:sz="0" w:space="0" w:color="auto"/>
        <w:left w:val="none" w:sz="0" w:space="0" w:color="auto"/>
        <w:bottom w:val="none" w:sz="0" w:space="0" w:color="auto"/>
        <w:right w:val="none" w:sz="0" w:space="0" w:color="auto"/>
      </w:divBdr>
    </w:div>
    <w:div w:id="1094085517">
      <w:bodyDiv w:val="1"/>
      <w:marLeft w:val="0"/>
      <w:marRight w:val="0"/>
      <w:marTop w:val="0"/>
      <w:marBottom w:val="0"/>
      <w:divBdr>
        <w:top w:val="none" w:sz="0" w:space="0" w:color="auto"/>
        <w:left w:val="none" w:sz="0" w:space="0" w:color="auto"/>
        <w:bottom w:val="none" w:sz="0" w:space="0" w:color="auto"/>
        <w:right w:val="none" w:sz="0" w:space="0" w:color="auto"/>
      </w:divBdr>
    </w:div>
    <w:div w:id="111675808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67212343">
      <w:bodyDiv w:val="1"/>
      <w:marLeft w:val="0"/>
      <w:marRight w:val="0"/>
      <w:marTop w:val="0"/>
      <w:marBottom w:val="0"/>
      <w:divBdr>
        <w:top w:val="none" w:sz="0" w:space="0" w:color="auto"/>
        <w:left w:val="none" w:sz="0" w:space="0" w:color="auto"/>
        <w:bottom w:val="none" w:sz="0" w:space="0" w:color="auto"/>
        <w:right w:val="none" w:sz="0" w:space="0" w:color="auto"/>
      </w:divBdr>
    </w:div>
    <w:div w:id="1206525368">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19785571">
      <w:bodyDiv w:val="1"/>
      <w:marLeft w:val="0"/>
      <w:marRight w:val="0"/>
      <w:marTop w:val="0"/>
      <w:marBottom w:val="0"/>
      <w:divBdr>
        <w:top w:val="none" w:sz="0" w:space="0" w:color="auto"/>
        <w:left w:val="none" w:sz="0" w:space="0" w:color="auto"/>
        <w:bottom w:val="none" w:sz="0" w:space="0" w:color="auto"/>
        <w:right w:val="none" w:sz="0" w:space="0" w:color="auto"/>
      </w:divBdr>
    </w:div>
    <w:div w:id="1488092590">
      <w:bodyDiv w:val="1"/>
      <w:marLeft w:val="0"/>
      <w:marRight w:val="0"/>
      <w:marTop w:val="0"/>
      <w:marBottom w:val="0"/>
      <w:divBdr>
        <w:top w:val="none" w:sz="0" w:space="0" w:color="auto"/>
        <w:left w:val="none" w:sz="0" w:space="0" w:color="auto"/>
        <w:bottom w:val="none" w:sz="0" w:space="0" w:color="auto"/>
        <w:right w:val="none" w:sz="0" w:space="0" w:color="auto"/>
      </w:divBdr>
    </w:div>
    <w:div w:id="1489130107">
      <w:bodyDiv w:val="1"/>
      <w:marLeft w:val="0"/>
      <w:marRight w:val="0"/>
      <w:marTop w:val="0"/>
      <w:marBottom w:val="0"/>
      <w:divBdr>
        <w:top w:val="none" w:sz="0" w:space="0" w:color="auto"/>
        <w:left w:val="none" w:sz="0" w:space="0" w:color="auto"/>
        <w:bottom w:val="none" w:sz="0" w:space="0" w:color="auto"/>
        <w:right w:val="none" w:sz="0" w:space="0" w:color="auto"/>
      </w:divBdr>
    </w:div>
    <w:div w:id="1498572378">
      <w:bodyDiv w:val="1"/>
      <w:marLeft w:val="0"/>
      <w:marRight w:val="0"/>
      <w:marTop w:val="0"/>
      <w:marBottom w:val="0"/>
      <w:divBdr>
        <w:top w:val="none" w:sz="0" w:space="0" w:color="auto"/>
        <w:left w:val="none" w:sz="0" w:space="0" w:color="auto"/>
        <w:bottom w:val="none" w:sz="0" w:space="0" w:color="auto"/>
        <w:right w:val="none" w:sz="0" w:space="0" w:color="auto"/>
      </w:divBdr>
    </w:div>
    <w:div w:id="1608583141">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696996652">
      <w:bodyDiv w:val="1"/>
      <w:marLeft w:val="0"/>
      <w:marRight w:val="0"/>
      <w:marTop w:val="0"/>
      <w:marBottom w:val="0"/>
      <w:divBdr>
        <w:top w:val="none" w:sz="0" w:space="0" w:color="auto"/>
        <w:left w:val="none" w:sz="0" w:space="0" w:color="auto"/>
        <w:bottom w:val="none" w:sz="0" w:space="0" w:color="auto"/>
        <w:right w:val="none" w:sz="0" w:space="0" w:color="auto"/>
      </w:divBdr>
    </w:div>
    <w:div w:id="1929534490">
      <w:bodyDiv w:val="1"/>
      <w:marLeft w:val="0"/>
      <w:marRight w:val="0"/>
      <w:marTop w:val="0"/>
      <w:marBottom w:val="0"/>
      <w:divBdr>
        <w:top w:val="none" w:sz="0" w:space="0" w:color="auto"/>
        <w:left w:val="none" w:sz="0" w:space="0" w:color="auto"/>
        <w:bottom w:val="none" w:sz="0" w:space="0" w:color="auto"/>
        <w:right w:val="none" w:sz="0" w:space="0" w:color="auto"/>
      </w:divBdr>
    </w:div>
    <w:div w:id="1931816181">
      <w:bodyDiv w:val="1"/>
      <w:marLeft w:val="0"/>
      <w:marRight w:val="0"/>
      <w:marTop w:val="0"/>
      <w:marBottom w:val="0"/>
      <w:divBdr>
        <w:top w:val="none" w:sz="0" w:space="0" w:color="auto"/>
        <w:left w:val="none" w:sz="0" w:space="0" w:color="auto"/>
        <w:bottom w:val="none" w:sz="0" w:space="0" w:color="auto"/>
        <w:right w:val="none" w:sz="0" w:space="0" w:color="auto"/>
      </w:divBdr>
    </w:div>
    <w:div w:id="1939944865">
      <w:bodyDiv w:val="1"/>
      <w:marLeft w:val="0"/>
      <w:marRight w:val="0"/>
      <w:marTop w:val="0"/>
      <w:marBottom w:val="0"/>
      <w:divBdr>
        <w:top w:val="none" w:sz="0" w:space="0" w:color="auto"/>
        <w:left w:val="none" w:sz="0" w:space="0" w:color="auto"/>
        <w:bottom w:val="none" w:sz="0" w:space="0" w:color="auto"/>
        <w:right w:val="none" w:sz="0" w:space="0" w:color="auto"/>
      </w:divBdr>
    </w:div>
    <w:div w:id="1950163352">
      <w:bodyDiv w:val="1"/>
      <w:marLeft w:val="0"/>
      <w:marRight w:val="0"/>
      <w:marTop w:val="0"/>
      <w:marBottom w:val="0"/>
      <w:divBdr>
        <w:top w:val="none" w:sz="0" w:space="0" w:color="auto"/>
        <w:left w:val="none" w:sz="0" w:space="0" w:color="auto"/>
        <w:bottom w:val="none" w:sz="0" w:space="0" w:color="auto"/>
        <w:right w:val="none" w:sz="0" w:space="0" w:color="auto"/>
      </w:divBdr>
    </w:div>
    <w:div w:id="1952660644">
      <w:bodyDiv w:val="1"/>
      <w:marLeft w:val="0"/>
      <w:marRight w:val="0"/>
      <w:marTop w:val="0"/>
      <w:marBottom w:val="0"/>
      <w:divBdr>
        <w:top w:val="none" w:sz="0" w:space="0" w:color="auto"/>
        <w:left w:val="none" w:sz="0" w:space="0" w:color="auto"/>
        <w:bottom w:val="none" w:sz="0" w:space="0" w:color="auto"/>
        <w:right w:val="none" w:sz="0" w:space="0" w:color="auto"/>
      </w:divBdr>
    </w:div>
    <w:div w:id="2015567393">
      <w:bodyDiv w:val="1"/>
      <w:marLeft w:val="0"/>
      <w:marRight w:val="0"/>
      <w:marTop w:val="0"/>
      <w:marBottom w:val="0"/>
      <w:divBdr>
        <w:top w:val="none" w:sz="0" w:space="0" w:color="auto"/>
        <w:left w:val="none" w:sz="0" w:space="0" w:color="auto"/>
        <w:bottom w:val="none" w:sz="0" w:space="0" w:color="auto"/>
        <w:right w:val="none" w:sz="0" w:space="0" w:color="auto"/>
      </w:divBdr>
    </w:div>
    <w:div w:id="2079402989">
      <w:bodyDiv w:val="1"/>
      <w:marLeft w:val="0"/>
      <w:marRight w:val="0"/>
      <w:marTop w:val="0"/>
      <w:marBottom w:val="0"/>
      <w:divBdr>
        <w:top w:val="none" w:sz="0" w:space="0" w:color="auto"/>
        <w:left w:val="none" w:sz="0" w:space="0" w:color="auto"/>
        <w:bottom w:val="none" w:sz="0" w:space="0" w:color="auto"/>
        <w:right w:val="none" w:sz="0" w:space="0" w:color="auto"/>
      </w:divBdr>
    </w:div>
    <w:div w:id="2087796670">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 w:id="21065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ergyconsumers.net/wp-content/uploads/2023/04/oznam-OS_XXIV.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3"/>
    <f:field ref="objsubject" par="" edit="true" text=""/>
    <f:field ref="objcreatedby" par="" text="Drieniková, Kristína"/>
    <f:field ref="objcreatedat" par="" text="3.11.2020 15:31:28"/>
    <f:field ref="objchangedby" par="" text="Matúšek, Miloš, JUDr."/>
    <f:field ref="objmodifiedat" par="" text="4.11.2020 13:19:4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738B64-3BF3-4E0B-859B-C7D0920C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3638</Words>
  <Characters>20738</Characters>
  <Application>Microsoft Office Word</Application>
  <DocSecurity>4</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24328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Hajdu Ladislav</cp:lastModifiedBy>
  <cp:revision>2</cp:revision>
  <cp:lastPrinted>2023-08-01T06:45:00Z</cp:lastPrinted>
  <dcterms:created xsi:type="dcterms:W3CDTF">2024-01-09T07:52:00Z</dcterms:created>
  <dcterms:modified xsi:type="dcterms:W3CDTF">2024-01-09T07:52:00Z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COO.2145.1000.3.4079697</vt:lpwstr>
  </property>
  <property fmtid="{D5CDD505-2E9C-101B-9397-08002B2CF9AE}" pid="152" name="FSC#FSCFOLIO@1.1001:docpropproject">
    <vt:lpwstr/>
  </property>
</Properties>
</file>