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C8C72" w14:textId="77777777" w:rsidR="00B314C3" w:rsidRPr="00105DC9" w:rsidRDefault="00B314C3" w:rsidP="00B314C3">
      <w:pPr>
        <w:spacing w:after="0" w:line="240" w:lineRule="auto"/>
        <w:jc w:val="center"/>
        <w:rPr>
          <w:b/>
          <w:caps/>
          <w:spacing w:val="30"/>
        </w:rPr>
      </w:pPr>
      <w:bookmarkStart w:id="0" w:name="_GoBack"/>
      <w:bookmarkEnd w:id="0"/>
      <w:r>
        <w:rPr>
          <w:b/>
          <w:caps/>
          <w:spacing w:val="30"/>
        </w:rPr>
        <w:t>D</w:t>
      </w:r>
      <w:r w:rsidRPr="00105DC9">
        <w:rPr>
          <w:b/>
          <w:caps/>
          <w:spacing w:val="30"/>
        </w:rPr>
        <w:t>oložka zlučiteľnosti</w:t>
      </w:r>
    </w:p>
    <w:p w14:paraId="06A4C2B8" w14:textId="2E46EB2A" w:rsidR="00B314C3" w:rsidRDefault="00B314C3" w:rsidP="00B314C3">
      <w:pPr>
        <w:spacing w:after="0" w:line="240" w:lineRule="auto"/>
        <w:jc w:val="center"/>
        <w:rPr>
          <w:b/>
        </w:rPr>
      </w:pPr>
      <w:r w:rsidRPr="00105DC9">
        <w:rPr>
          <w:b/>
        </w:rPr>
        <w:t xml:space="preserve">návrhu </w:t>
      </w:r>
      <w:r>
        <w:rPr>
          <w:b/>
        </w:rPr>
        <w:t>zákona</w:t>
      </w:r>
      <w:r w:rsidRPr="00105DC9">
        <w:rPr>
          <w:b/>
        </w:rPr>
        <w:t xml:space="preserve"> s právom Európskej únie</w:t>
      </w:r>
    </w:p>
    <w:p w14:paraId="71B86AC5" w14:textId="77777777" w:rsidR="006B2343" w:rsidRPr="00105DC9" w:rsidRDefault="006B2343" w:rsidP="00B314C3">
      <w:pPr>
        <w:spacing w:after="0" w:line="240" w:lineRule="auto"/>
        <w:jc w:val="center"/>
        <w:rPr>
          <w:b/>
        </w:rPr>
      </w:pPr>
    </w:p>
    <w:tbl>
      <w:tblPr>
        <w:tblStyle w:val="Mriekatabuky"/>
        <w:tblW w:w="100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B314C3" w:rsidRPr="00105DC9" w14:paraId="0F384157" w14:textId="77777777" w:rsidTr="009A5361">
        <w:tc>
          <w:tcPr>
            <w:tcW w:w="404" w:type="dxa"/>
          </w:tcPr>
          <w:p w14:paraId="79CEB407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  <w:r w:rsidRPr="00105DC9">
              <w:rPr>
                <w:b/>
              </w:rPr>
              <w:t>1.</w:t>
            </w:r>
          </w:p>
        </w:tc>
        <w:tc>
          <w:tcPr>
            <w:tcW w:w="9627" w:type="dxa"/>
          </w:tcPr>
          <w:p w14:paraId="09DD70AD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  <w:r w:rsidRPr="00105DC9">
              <w:rPr>
                <w:b/>
              </w:rPr>
              <w:t>Navrhovateľ zákona:</w:t>
            </w:r>
            <w:r w:rsidRPr="00105DC9">
              <w:t xml:space="preserve"> Ministerstvo </w:t>
            </w:r>
            <w:r>
              <w:t xml:space="preserve">hospodárstva </w:t>
            </w:r>
            <w:r w:rsidRPr="00105DC9">
              <w:t xml:space="preserve">Slovenskej republiky </w:t>
            </w:r>
            <w:r w:rsidRPr="00105DC9">
              <w:fldChar w:fldCharType="begin"/>
            </w:r>
            <w:r w:rsidRPr="00105DC9">
              <w:instrText xml:space="preserve"> DOCPROPERTY  FSC#SKEDITIONSLOVLEX@103.510:zodpinstitucia  \* MERGEFORMAT </w:instrText>
            </w:r>
            <w:r w:rsidRPr="00105DC9">
              <w:fldChar w:fldCharType="end"/>
            </w:r>
          </w:p>
        </w:tc>
      </w:tr>
      <w:tr w:rsidR="00B314C3" w:rsidRPr="00105DC9" w14:paraId="25D1FCBF" w14:textId="77777777" w:rsidTr="009A5361">
        <w:tc>
          <w:tcPr>
            <w:tcW w:w="404" w:type="dxa"/>
          </w:tcPr>
          <w:p w14:paraId="7C2F6BB0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</w:p>
        </w:tc>
        <w:tc>
          <w:tcPr>
            <w:tcW w:w="9627" w:type="dxa"/>
          </w:tcPr>
          <w:p w14:paraId="42432AE9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</w:p>
        </w:tc>
      </w:tr>
      <w:tr w:rsidR="00B314C3" w:rsidRPr="00105DC9" w14:paraId="513A1FF6" w14:textId="77777777" w:rsidTr="009A5361">
        <w:trPr>
          <w:trHeight w:val="1093"/>
        </w:trPr>
        <w:tc>
          <w:tcPr>
            <w:tcW w:w="404" w:type="dxa"/>
          </w:tcPr>
          <w:p w14:paraId="03D9E589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  <w:r w:rsidRPr="00105DC9">
              <w:rPr>
                <w:b/>
              </w:rPr>
              <w:t>2</w:t>
            </w:r>
          </w:p>
        </w:tc>
        <w:tc>
          <w:tcPr>
            <w:tcW w:w="9627" w:type="dxa"/>
          </w:tcPr>
          <w:p w14:paraId="59476A72" w14:textId="77777777" w:rsidR="00B314C3" w:rsidRPr="00105DC9" w:rsidRDefault="00B314C3" w:rsidP="003F697D">
            <w:pPr>
              <w:spacing w:line="276" w:lineRule="auto"/>
              <w:jc w:val="both"/>
            </w:pPr>
            <w:r w:rsidRPr="00105DC9">
              <w:rPr>
                <w:b/>
              </w:rPr>
              <w:t>Názov návrhu zákona:</w:t>
            </w:r>
            <w:r w:rsidRPr="00105DC9">
              <w:t xml:space="preserve"> </w:t>
            </w:r>
          </w:p>
          <w:p w14:paraId="23CB81AA" w14:textId="77777777" w:rsidR="00B314C3" w:rsidRPr="00105DC9" w:rsidRDefault="00B314C3" w:rsidP="003F697D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120" w:after="0"/>
              <w:ind w:left="193"/>
              <w:jc w:val="both"/>
              <w:outlineLvl w:val="1"/>
            </w:pPr>
            <w:r w:rsidRPr="00472C6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Návrh zákona, ktorým sa menia a dopĺňajú niektoré zákony v súvislosti so zlepšovaním podnikateľského prostredia a znižovaním administratívnej záťaže</w:t>
            </w:r>
            <w:r w:rsidRPr="00105DC9">
              <w:fldChar w:fldCharType="begin"/>
            </w:r>
            <w:r w:rsidRPr="00105DC9">
              <w:instrText xml:space="preserve"> DOCPROPERTY  FSC#SKEDITIONSLOVLEX@103.510:plnynazovpredpis  \* MERGEFORMAT </w:instrText>
            </w:r>
            <w:r w:rsidRPr="00105DC9">
              <w:fldChar w:fldCharType="end"/>
            </w:r>
            <w:r w:rsidRPr="00105DC9">
              <w:fldChar w:fldCharType="begin"/>
            </w:r>
            <w:r w:rsidRPr="00105DC9">
              <w:instrText xml:space="preserve"> DOCPROPERTY  FSC#SKEDITIONSLOVLEX@103.510:plnynazovpredpis1  \* MERGEFORMAT </w:instrText>
            </w:r>
            <w:r w:rsidRPr="00105DC9">
              <w:fldChar w:fldCharType="end"/>
            </w:r>
            <w:r w:rsidRPr="00105DC9">
              <w:fldChar w:fldCharType="begin"/>
            </w:r>
            <w:r w:rsidRPr="00105DC9">
              <w:instrText xml:space="preserve"> DOCPROPERTY  FSC#SKEDITIONSLOVLEX@103.510:plnynazovpredpis2  \* MERGEFORMAT </w:instrText>
            </w:r>
            <w:r w:rsidRPr="00105DC9">
              <w:fldChar w:fldCharType="end"/>
            </w:r>
            <w:r w:rsidRPr="00105DC9">
              <w:fldChar w:fldCharType="begin"/>
            </w:r>
            <w:r w:rsidRPr="00105DC9">
              <w:instrText xml:space="preserve"> DOCPROPERTY  FSC#SKEDITIONSLOVLEX@103.510:plnynazovpredpis3  \* MERGEFORMAT </w:instrText>
            </w:r>
            <w:r w:rsidRPr="00105DC9">
              <w:fldChar w:fldCharType="end"/>
            </w:r>
          </w:p>
        </w:tc>
      </w:tr>
      <w:tr w:rsidR="00B314C3" w:rsidRPr="00105DC9" w14:paraId="40352993" w14:textId="77777777" w:rsidTr="009A5361">
        <w:tc>
          <w:tcPr>
            <w:tcW w:w="404" w:type="dxa"/>
          </w:tcPr>
          <w:p w14:paraId="3DE90BF7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</w:p>
        </w:tc>
        <w:tc>
          <w:tcPr>
            <w:tcW w:w="9627" w:type="dxa"/>
          </w:tcPr>
          <w:p w14:paraId="307CD647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</w:p>
        </w:tc>
      </w:tr>
      <w:tr w:rsidR="00B314C3" w:rsidRPr="00105DC9" w14:paraId="517C74E6" w14:textId="77777777" w:rsidTr="009A5361">
        <w:tc>
          <w:tcPr>
            <w:tcW w:w="404" w:type="dxa"/>
          </w:tcPr>
          <w:p w14:paraId="5288C6B1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  <w:r w:rsidRPr="00105DC9">
              <w:rPr>
                <w:b/>
              </w:rPr>
              <w:t>3.</w:t>
            </w:r>
          </w:p>
        </w:tc>
        <w:tc>
          <w:tcPr>
            <w:tcW w:w="9627" w:type="dxa"/>
          </w:tcPr>
          <w:p w14:paraId="643B496B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  <w:r w:rsidRPr="00105DC9">
              <w:rPr>
                <w:b/>
              </w:rPr>
              <w:t>Predmet návrhu zákona</w:t>
            </w:r>
            <w:r w:rsidRPr="00105DC9">
              <w:t xml:space="preserve"> </w:t>
            </w:r>
            <w:r w:rsidRPr="00105DC9">
              <w:rPr>
                <w:b/>
              </w:rPr>
              <w:t>je upravený v práve Európskej únie</w:t>
            </w:r>
            <w:r w:rsidRPr="00105DC9">
              <w:t xml:space="preserve"> </w:t>
            </w:r>
          </w:p>
        </w:tc>
      </w:tr>
      <w:tr w:rsidR="00B314C3" w:rsidRPr="00105DC9" w14:paraId="72EFC1B5" w14:textId="77777777" w:rsidTr="009A5361">
        <w:trPr>
          <w:trHeight w:val="2845"/>
        </w:trPr>
        <w:tc>
          <w:tcPr>
            <w:tcW w:w="404" w:type="dxa"/>
          </w:tcPr>
          <w:p w14:paraId="2E9D6C07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</w:pPr>
          </w:p>
        </w:tc>
        <w:tc>
          <w:tcPr>
            <w:tcW w:w="9627" w:type="dxa"/>
          </w:tcPr>
          <w:p w14:paraId="68462587" w14:textId="77777777" w:rsidR="00B314C3" w:rsidRDefault="00B314C3" w:rsidP="003F697D">
            <w:pPr>
              <w:pStyle w:val="Odsekzoznamu"/>
              <w:tabs>
                <w:tab w:val="left" w:pos="1068"/>
              </w:tabs>
              <w:autoSpaceDE w:val="0"/>
              <w:autoSpaceDN w:val="0"/>
              <w:spacing w:line="276" w:lineRule="auto"/>
              <w:ind w:left="1069"/>
              <w:jc w:val="both"/>
              <w:rPr>
                <w:i/>
              </w:rPr>
            </w:pPr>
          </w:p>
          <w:p w14:paraId="661A95D7" w14:textId="77777777" w:rsidR="00B314C3" w:rsidRPr="00727E7B" w:rsidRDefault="00B314C3" w:rsidP="00B314C3">
            <w:pPr>
              <w:pStyle w:val="Odsekzoznamu"/>
              <w:numPr>
                <w:ilvl w:val="0"/>
                <w:numId w:val="3"/>
              </w:numPr>
              <w:tabs>
                <w:tab w:val="left" w:pos="1068"/>
              </w:tabs>
              <w:autoSpaceDE w:val="0"/>
              <w:autoSpaceDN w:val="0"/>
              <w:spacing w:line="276" w:lineRule="auto"/>
              <w:jc w:val="both"/>
              <w:rPr>
                <w:i/>
              </w:rPr>
            </w:pPr>
            <w:r w:rsidRPr="00727E7B">
              <w:rPr>
                <w:i/>
              </w:rPr>
              <w:t xml:space="preserve">v primárnom práve </w:t>
            </w:r>
          </w:p>
          <w:p w14:paraId="24F3453B" w14:textId="77777777" w:rsidR="00B314C3" w:rsidRDefault="00B314C3" w:rsidP="003F697D">
            <w:pPr>
              <w:spacing w:line="276" w:lineRule="auto"/>
              <w:ind w:left="1117"/>
              <w:jc w:val="both"/>
            </w:pPr>
          </w:p>
          <w:p w14:paraId="23B3A008" w14:textId="58D67622" w:rsidR="00B314C3" w:rsidRDefault="00B314C3" w:rsidP="00B314C3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</w:pPr>
            <w:r w:rsidRPr="00E33D18">
              <w:t>čl. 4 ods. 2</w:t>
            </w:r>
            <w:r w:rsidR="00C717B0">
              <w:t xml:space="preserve"> písm. a) a i)</w:t>
            </w:r>
            <w:r>
              <w:t xml:space="preserve"> a čl. 16</w:t>
            </w:r>
            <w:r w:rsidRPr="00E33D18">
              <w:t xml:space="preserve">  Zml</w:t>
            </w:r>
            <w:r>
              <w:t xml:space="preserve">uvy o fungovaní Európskej únie </w:t>
            </w:r>
            <w:r w:rsidR="00315074">
              <w:t>(Ú.</w:t>
            </w:r>
            <w:r w:rsidR="008A1E8B">
              <w:t> </w:t>
            </w:r>
            <w:r w:rsidR="00315074">
              <w:t>v.</w:t>
            </w:r>
            <w:r w:rsidR="008A1E8B">
              <w:t> </w:t>
            </w:r>
            <w:r w:rsidR="00315074">
              <w:t>EÚ C 202, 7.</w:t>
            </w:r>
            <w:r w:rsidR="00824350">
              <w:t> </w:t>
            </w:r>
            <w:r w:rsidR="00315074">
              <w:t>6.</w:t>
            </w:r>
            <w:r w:rsidR="00824350">
              <w:t> </w:t>
            </w:r>
            <w:r w:rsidR="00315074">
              <w:t>2016</w:t>
            </w:r>
            <w:r w:rsidR="00315074" w:rsidRPr="00727E7B">
              <w:t>)</w:t>
            </w:r>
            <w:r w:rsidR="00824350">
              <w:t xml:space="preserve"> v platnom znení</w:t>
            </w:r>
          </w:p>
          <w:p w14:paraId="3D0F2434" w14:textId="77777777" w:rsidR="00B314C3" w:rsidRPr="00727E7B" w:rsidRDefault="00B314C3" w:rsidP="003F697D">
            <w:pPr>
              <w:pStyle w:val="Odsekzoznamu"/>
              <w:spacing w:line="276" w:lineRule="auto"/>
              <w:jc w:val="both"/>
            </w:pPr>
          </w:p>
          <w:p w14:paraId="08ECBBCE" w14:textId="77777777" w:rsidR="00B314C3" w:rsidRPr="00727E7B" w:rsidRDefault="00B314C3" w:rsidP="00B314C3">
            <w:pPr>
              <w:pStyle w:val="Odsekzoznamu"/>
              <w:numPr>
                <w:ilvl w:val="0"/>
                <w:numId w:val="3"/>
              </w:numPr>
              <w:autoSpaceDE w:val="0"/>
              <w:autoSpaceDN w:val="0"/>
              <w:spacing w:line="276" w:lineRule="auto"/>
              <w:jc w:val="both"/>
            </w:pPr>
            <w:r w:rsidRPr="00727E7B">
              <w:rPr>
                <w:i/>
              </w:rPr>
              <w:t xml:space="preserve">v sekundárnom práve </w:t>
            </w:r>
          </w:p>
          <w:p w14:paraId="7CED8A4D" w14:textId="77777777" w:rsidR="00B314C3" w:rsidRPr="00727E7B" w:rsidRDefault="00B314C3" w:rsidP="003F697D">
            <w:pPr>
              <w:spacing w:line="276" w:lineRule="auto"/>
              <w:jc w:val="both"/>
              <w:rPr>
                <w:i/>
                <w:iCs/>
              </w:rPr>
            </w:pPr>
          </w:p>
          <w:p w14:paraId="3EFAF5B5" w14:textId="60084C16" w:rsidR="00B27B81" w:rsidRDefault="00122F4F" w:rsidP="00B27B81">
            <w:pPr>
              <w:shd w:val="clear" w:color="auto" w:fill="FFFFFF"/>
              <w:spacing w:after="120"/>
              <w:jc w:val="both"/>
            </w:pPr>
            <w:r w:rsidRPr="00122F4F">
              <w:t>Smernica Európskeho parlamentu a Rady (EÚ) 2015/1535 z 9. septembra 2015, ktorou sa stanovuje postup pri poskytovaní informácií v oblasti technických predpisov a pravidiel vzťahujúcich sa na služby informačnej spoločnosti (Ú. v. EÚ L 241, 17.9.2015)</w:t>
            </w:r>
          </w:p>
          <w:p w14:paraId="395BE400" w14:textId="4279B840" w:rsidR="00122F4F" w:rsidRDefault="00122F4F" w:rsidP="00B27B81">
            <w:pPr>
              <w:shd w:val="clear" w:color="auto" w:fill="FFFFFF"/>
              <w:spacing w:after="120"/>
              <w:jc w:val="both"/>
            </w:pPr>
            <w:r>
              <w:t xml:space="preserve">gestor: Úrad pre normalizáciu, metrológiu a skúšobníctvo </w:t>
            </w:r>
            <w:r w:rsidR="00B656AA">
              <w:t>Slovenskej republiky</w:t>
            </w:r>
          </w:p>
          <w:p w14:paraId="5113A648" w14:textId="77777777" w:rsidR="00B27B81" w:rsidRDefault="00B27B81" w:rsidP="00B27B81">
            <w:pPr>
              <w:shd w:val="clear" w:color="auto" w:fill="FFFFFF"/>
              <w:spacing w:after="120"/>
              <w:jc w:val="both"/>
            </w:pPr>
            <w:r w:rsidRPr="00730C6E">
      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</w:t>
            </w:r>
            <w:r>
              <w:t>).</w:t>
            </w:r>
          </w:p>
          <w:p w14:paraId="79C58BFE" w14:textId="7CDEFF64" w:rsidR="00B27B81" w:rsidRDefault="00B27B81" w:rsidP="00C772AA">
            <w:pPr>
              <w:shd w:val="clear" w:color="auto" w:fill="FFFFFF"/>
              <w:jc w:val="both"/>
            </w:pPr>
            <w:r>
              <w:t xml:space="preserve">gestor: </w:t>
            </w:r>
            <w:r w:rsidRPr="004A1330">
              <w:t>Úrad na ochranu osobných údajov</w:t>
            </w:r>
            <w:r>
              <w:t xml:space="preserve"> Slovenskej republiky</w:t>
            </w:r>
          </w:p>
          <w:p w14:paraId="1C8B0422" w14:textId="5A614899" w:rsidR="00B314C3" w:rsidRPr="00727E7B" w:rsidRDefault="00B314C3" w:rsidP="003F697D">
            <w:pPr>
              <w:jc w:val="both"/>
            </w:pPr>
          </w:p>
          <w:p w14:paraId="1C2A5A0E" w14:textId="77777777" w:rsidR="00B314C3" w:rsidRPr="00727E7B" w:rsidRDefault="00B314C3" w:rsidP="0051012C">
            <w:pPr>
              <w:pStyle w:val="Odsekzoznamu"/>
              <w:spacing w:line="276" w:lineRule="auto"/>
              <w:ind w:left="1077" w:hanging="357"/>
              <w:jc w:val="both"/>
              <w:rPr>
                <w:i/>
                <w:iCs/>
              </w:rPr>
            </w:pPr>
            <w:r w:rsidRPr="00727E7B">
              <w:rPr>
                <w:i/>
              </w:rPr>
              <w:t xml:space="preserve"> c)</w:t>
            </w:r>
            <w:r w:rsidRPr="00727E7B">
              <w:rPr>
                <w:i/>
                <w:iCs/>
              </w:rPr>
              <w:t xml:space="preserve"> v judikatúre Súdneho dvora Európskej únie</w:t>
            </w:r>
          </w:p>
          <w:p w14:paraId="1FCD8C6D" w14:textId="77777777" w:rsidR="00B314C3" w:rsidRPr="00727E7B" w:rsidRDefault="00B314C3" w:rsidP="003F697D">
            <w:pPr>
              <w:pStyle w:val="Odsekzoznamu"/>
              <w:spacing w:line="276" w:lineRule="auto"/>
              <w:ind w:left="51" w:hanging="102"/>
              <w:jc w:val="both"/>
              <w:rPr>
                <w:i/>
                <w:iCs/>
              </w:rPr>
            </w:pPr>
          </w:p>
          <w:p w14:paraId="7BAD4216" w14:textId="20B2B6C2" w:rsidR="00B27B81" w:rsidRPr="0074114C" w:rsidRDefault="0074114C" w:rsidP="0074114C">
            <w:pPr>
              <w:pStyle w:val="Odsekzoznamu"/>
              <w:numPr>
                <w:ilvl w:val="0"/>
                <w:numId w:val="2"/>
              </w:numPr>
              <w:spacing w:line="276" w:lineRule="auto"/>
              <w:jc w:val="both"/>
              <w:rPr>
                <w:iCs/>
              </w:rPr>
            </w:pPr>
            <w:r w:rsidRPr="0074114C">
              <w:rPr>
                <w:iCs/>
              </w:rPr>
              <w:t>Uvedená problematika nie je obsiahnutá v judikatúre Súdneho dvora Európskej únie.</w:t>
            </w:r>
          </w:p>
          <w:p w14:paraId="2B90F410" w14:textId="0B4F48EC" w:rsidR="00C772AA" w:rsidRPr="00B27B81" w:rsidRDefault="00C772AA" w:rsidP="00B27B81">
            <w:pPr>
              <w:pStyle w:val="Odsekzoznamu"/>
              <w:spacing w:line="276" w:lineRule="auto"/>
              <w:ind w:left="51" w:hanging="102"/>
              <w:jc w:val="both"/>
              <w:rPr>
                <w:i/>
                <w:iCs/>
              </w:rPr>
            </w:pPr>
          </w:p>
        </w:tc>
      </w:tr>
      <w:tr w:rsidR="00B314C3" w:rsidRPr="00105DC9" w14:paraId="1F5519F5" w14:textId="77777777" w:rsidTr="009A5361">
        <w:trPr>
          <w:trHeight w:val="68"/>
        </w:trPr>
        <w:tc>
          <w:tcPr>
            <w:tcW w:w="404" w:type="dxa"/>
          </w:tcPr>
          <w:p w14:paraId="72E729EC" w14:textId="77777777" w:rsidR="00B314C3" w:rsidRPr="00105DC9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9627" w:type="dxa"/>
          </w:tcPr>
          <w:p w14:paraId="2940359A" w14:textId="77777777" w:rsidR="00B314C3" w:rsidRPr="002F2B1E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  <w:bCs/>
              </w:rPr>
            </w:pPr>
            <w:r w:rsidRPr="00105DC9">
              <w:rPr>
                <w:b/>
                <w:bCs/>
              </w:rPr>
              <w:t>Záväzky Slovenskej republiky vo vzťahu k Európskej únii:</w:t>
            </w:r>
          </w:p>
        </w:tc>
      </w:tr>
      <w:tr w:rsidR="00B314C3" w:rsidRPr="00105DC9" w14:paraId="1ABF2559" w14:textId="77777777" w:rsidTr="009A5361">
        <w:trPr>
          <w:trHeight w:val="68"/>
        </w:trPr>
        <w:tc>
          <w:tcPr>
            <w:tcW w:w="404" w:type="dxa"/>
          </w:tcPr>
          <w:p w14:paraId="1ED18AA5" w14:textId="77777777" w:rsidR="00B314C3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67C0B015" w14:textId="77777777" w:rsidR="00B314C3" w:rsidRDefault="00B314C3" w:rsidP="00B314C3">
            <w:pPr>
              <w:pStyle w:val="Odsekzoznamu"/>
              <w:numPr>
                <w:ilvl w:val="0"/>
                <w:numId w:val="5"/>
              </w:numPr>
              <w:ind w:left="344" w:hanging="376"/>
            </w:pPr>
            <w:r w:rsidRPr="00105DC9">
              <w:t>lehota na prebratie smernice alebo lehota na implementáciu nariadenia alebo rozhodnutia</w:t>
            </w:r>
          </w:p>
          <w:p w14:paraId="66301528" w14:textId="77777777" w:rsidR="00B314C3" w:rsidRDefault="00B314C3" w:rsidP="003F697D">
            <w:pPr>
              <w:pStyle w:val="Odsekzoznamu"/>
              <w:ind w:left="344"/>
            </w:pPr>
          </w:p>
          <w:p w14:paraId="5DA87F37" w14:textId="77777777" w:rsidR="00B314C3" w:rsidRPr="002F2B1E" w:rsidRDefault="00B314C3" w:rsidP="00B314C3">
            <w:pPr>
              <w:pStyle w:val="Odsekzoznamu"/>
              <w:numPr>
                <w:ilvl w:val="1"/>
                <w:numId w:val="5"/>
              </w:numPr>
              <w:ind w:left="769"/>
              <w:rPr>
                <w:i/>
              </w:rPr>
            </w:pPr>
            <w:r w:rsidRPr="002F2B1E">
              <w:rPr>
                <w:i/>
              </w:rPr>
              <w:t>predkladaným návrhom zákona nedochádza k transpozícii ani implementácii európskej legislatívy</w:t>
            </w:r>
          </w:p>
          <w:p w14:paraId="24253919" w14:textId="77777777" w:rsidR="00B314C3" w:rsidRDefault="00B314C3" w:rsidP="003F697D">
            <w:pPr>
              <w:ind w:left="344"/>
            </w:pPr>
          </w:p>
          <w:p w14:paraId="1589BF73" w14:textId="4E9002B6" w:rsidR="0074114C" w:rsidRDefault="00B314C3" w:rsidP="00AC37BF">
            <w:pPr>
              <w:pStyle w:val="Odsekzoznamu"/>
              <w:numPr>
                <w:ilvl w:val="0"/>
                <w:numId w:val="5"/>
              </w:numPr>
              <w:ind w:left="344"/>
              <w:jc w:val="both"/>
            </w:pPr>
            <w:r w:rsidRPr="002F2B1E">
      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</w:t>
            </w:r>
            <w:r>
              <w:t> </w:t>
            </w:r>
            <w:r w:rsidRPr="002F2B1E">
              <w:t>Komisie</w:t>
            </w:r>
          </w:p>
          <w:p w14:paraId="0CB2B86E" w14:textId="00FC20B0" w:rsidR="0074114C" w:rsidRPr="0074114C" w:rsidRDefault="0074114C" w:rsidP="0074114C">
            <w:pPr>
              <w:pStyle w:val="Odsekzoznamu"/>
              <w:numPr>
                <w:ilvl w:val="1"/>
                <w:numId w:val="5"/>
              </w:numPr>
              <w:ind w:left="765" w:hanging="357"/>
              <w:jc w:val="both"/>
              <w:rPr>
                <w:i/>
              </w:rPr>
            </w:pPr>
            <w:r>
              <w:rPr>
                <w:i/>
              </w:rPr>
              <w:t>p</w:t>
            </w:r>
            <w:r w:rsidRPr="0074114C">
              <w:rPr>
                <w:i/>
              </w:rPr>
              <w:t>roti Slovenskej republike nebolo začaté konanie v rámci „EÚ Pilot“, ani nebol začatý postup Európskej komisie, ako aj nebolo začaté konanie Súdneho dvora EÚ proti Slovenskej republike podľa čl. 258 až 260 Zmluvy o fungovaní Európskej únie.</w:t>
            </w:r>
          </w:p>
          <w:p w14:paraId="47D74245" w14:textId="77777777" w:rsidR="00B314C3" w:rsidRDefault="00B314C3" w:rsidP="003F697D">
            <w:pPr>
              <w:pStyle w:val="Odsekzoznamu"/>
              <w:ind w:left="344"/>
              <w:jc w:val="both"/>
            </w:pPr>
          </w:p>
          <w:p w14:paraId="76919E91" w14:textId="77777777" w:rsidR="00B314C3" w:rsidRDefault="00B314C3" w:rsidP="00B314C3">
            <w:pPr>
              <w:pStyle w:val="Odsekzoznamu"/>
              <w:numPr>
                <w:ilvl w:val="0"/>
                <w:numId w:val="5"/>
              </w:numPr>
              <w:ind w:left="344"/>
              <w:jc w:val="both"/>
            </w:pPr>
            <w:r w:rsidRPr="002F2B1E">
              <w:t xml:space="preserve">informácia o právnych predpisoch, v ktorých sú </w:t>
            </w:r>
            <w:r>
              <w:t xml:space="preserve">uvádzané právne akty Európskej únie už </w:t>
            </w:r>
            <w:r w:rsidRPr="002F2B1E">
              <w:t>preberané</w:t>
            </w:r>
            <w:r>
              <w:t>, spolu s uvedením rozsahu ich</w:t>
            </w:r>
            <w:r w:rsidRPr="002F2B1E">
              <w:t xml:space="preserve"> prebratia</w:t>
            </w:r>
            <w:r>
              <w:t>:</w:t>
            </w:r>
          </w:p>
          <w:p w14:paraId="4B7D2347" w14:textId="77777777" w:rsidR="00B314C3" w:rsidRPr="002F2B1E" w:rsidRDefault="00B314C3" w:rsidP="003F697D">
            <w:pPr>
              <w:tabs>
                <w:tab w:val="left" w:pos="449"/>
              </w:tabs>
              <w:jc w:val="both"/>
            </w:pPr>
          </w:p>
        </w:tc>
      </w:tr>
      <w:tr w:rsidR="00B314C3" w:rsidRPr="00105DC9" w14:paraId="75B54365" w14:textId="77777777" w:rsidTr="009A5361">
        <w:trPr>
          <w:trHeight w:val="68"/>
        </w:trPr>
        <w:tc>
          <w:tcPr>
            <w:tcW w:w="404" w:type="dxa"/>
          </w:tcPr>
          <w:p w14:paraId="320896E8" w14:textId="77777777" w:rsidR="00B314C3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3FA3EBF7" w14:textId="733E1820" w:rsidR="007B6002" w:rsidRDefault="007B6002" w:rsidP="007B6002">
            <w:pPr>
              <w:ind w:left="408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s</w:t>
            </w:r>
            <w:r w:rsidRPr="00727E7B">
              <w:rPr>
                <w:shd w:val="clear" w:color="auto" w:fill="FFFFFF"/>
              </w:rPr>
              <w:t>mernica Európs</w:t>
            </w:r>
            <w:r>
              <w:rPr>
                <w:shd w:val="clear" w:color="auto" w:fill="FFFFFF"/>
              </w:rPr>
              <w:t>keho parlamentu a Rady (EÚ) 2015/1535</w:t>
            </w:r>
            <w:r w:rsidRPr="00727E7B">
              <w:rPr>
                <w:shd w:val="clear" w:color="auto" w:fill="FFFFFF"/>
              </w:rPr>
              <w:t xml:space="preserve"> </w:t>
            </w:r>
          </w:p>
          <w:p w14:paraId="50B68F46" w14:textId="77777777" w:rsidR="00B314C3" w:rsidRDefault="007B6002" w:rsidP="000D77DF">
            <w:pPr>
              <w:pStyle w:val="Odsekzoznamu"/>
              <w:numPr>
                <w:ilvl w:val="0"/>
                <w:numId w:val="6"/>
              </w:numPr>
              <w:ind w:left="768"/>
              <w:jc w:val="both"/>
            </w:pPr>
            <w:r>
              <w:t xml:space="preserve">zákon č. 55/2018 Z. z. </w:t>
            </w:r>
            <w:r w:rsidRPr="007B6002">
              <w:t>o poskytovaní informácií o technickom predpise a o prekážkach voľného pohybu tovaru</w:t>
            </w:r>
            <w:r>
              <w:t>,</w:t>
            </w:r>
          </w:p>
          <w:p w14:paraId="29B73D3E" w14:textId="53391A66" w:rsidR="000D77DF" w:rsidRPr="00105DC9" w:rsidRDefault="000D77DF" w:rsidP="000D77DF">
            <w:pPr>
              <w:pStyle w:val="Odsekzoznamu"/>
              <w:ind w:left="768"/>
              <w:jc w:val="both"/>
            </w:pPr>
          </w:p>
        </w:tc>
      </w:tr>
      <w:tr w:rsidR="00B314C3" w:rsidRPr="00105DC9" w14:paraId="302C9B52" w14:textId="77777777" w:rsidTr="009A5361">
        <w:trPr>
          <w:trHeight w:val="68"/>
        </w:trPr>
        <w:tc>
          <w:tcPr>
            <w:tcW w:w="404" w:type="dxa"/>
          </w:tcPr>
          <w:p w14:paraId="45E76BA8" w14:textId="77777777" w:rsidR="00B314C3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627" w:type="dxa"/>
          </w:tcPr>
          <w:p w14:paraId="5A19F082" w14:textId="77777777" w:rsidR="00B314C3" w:rsidRPr="00A3580E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  <w:bCs/>
              </w:rPr>
            </w:pPr>
            <w:r w:rsidRPr="00A3580E">
              <w:rPr>
                <w:b/>
                <w:bCs/>
              </w:rPr>
              <w:t>Stupeň zlučiteľnosti návrhu právneho predpisu s právom Európskej únie:</w:t>
            </w:r>
          </w:p>
        </w:tc>
      </w:tr>
      <w:tr w:rsidR="00B314C3" w:rsidRPr="00105DC9" w14:paraId="5B8D2927" w14:textId="77777777" w:rsidTr="009A5361">
        <w:trPr>
          <w:trHeight w:val="68"/>
        </w:trPr>
        <w:tc>
          <w:tcPr>
            <w:tcW w:w="404" w:type="dxa"/>
          </w:tcPr>
          <w:p w14:paraId="3A4F6870" w14:textId="77777777" w:rsidR="00B314C3" w:rsidRDefault="00B314C3" w:rsidP="003F697D">
            <w:pPr>
              <w:tabs>
                <w:tab w:val="left" w:pos="360"/>
              </w:tabs>
              <w:spacing w:line="276" w:lineRule="auto"/>
              <w:jc w:val="both"/>
              <w:rPr>
                <w:b/>
              </w:rPr>
            </w:pPr>
          </w:p>
        </w:tc>
        <w:tc>
          <w:tcPr>
            <w:tcW w:w="9627" w:type="dxa"/>
          </w:tcPr>
          <w:p w14:paraId="13666DC0" w14:textId="77777777" w:rsidR="00B314C3" w:rsidRPr="00A3580E" w:rsidRDefault="00B314C3" w:rsidP="00B314C3">
            <w:pPr>
              <w:pStyle w:val="Odsekzoznamu"/>
              <w:numPr>
                <w:ilvl w:val="0"/>
                <w:numId w:val="16"/>
              </w:numPr>
              <w:spacing w:line="276" w:lineRule="auto"/>
              <w:ind w:left="478"/>
              <w:jc w:val="both"/>
              <w:rPr>
                <w:bCs/>
                <w:i/>
              </w:rPr>
            </w:pPr>
            <w:r w:rsidRPr="00A3580E">
              <w:rPr>
                <w:bCs/>
                <w:i/>
              </w:rPr>
              <w:t>úplný</w:t>
            </w:r>
          </w:p>
        </w:tc>
      </w:tr>
    </w:tbl>
    <w:p w14:paraId="697D40F4" w14:textId="78ABF8BF" w:rsidR="00472FC0" w:rsidRDefault="00472FC0"/>
    <w:sectPr w:rsidR="0047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6793"/>
    <w:multiLevelType w:val="hybridMultilevel"/>
    <w:tmpl w:val="626AF830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02FD64B1"/>
    <w:multiLevelType w:val="hybridMultilevel"/>
    <w:tmpl w:val="6392686C"/>
    <w:lvl w:ilvl="0" w:tplc="8F26490A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C1AA3"/>
    <w:multiLevelType w:val="hybridMultilevel"/>
    <w:tmpl w:val="927ADA5C"/>
    <w:lvl w:ilvl="0" w:tplc="5A12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2AAB"/>
    <w:multiLevelType w:val="hybridMultilevel"/>
    <w:tmpl w:val="385EF740"/>
    <w:lvl w:ilvl="0" w:tplc="6732801A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09826EA5"/>
    <w:multiLevelType w:val="hybridMultilevel"/>
    <w:tmpl w:val="19C2A3AC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11B468CD"/>
    <w:multiLevelType w:val="hybridMultilevel"/>
    <w:tmpl w:val="5BDA1238"/>
    <w:lvl w:ilvl="0" w:tplc="D1B6AC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1294"/>
    <w:multiLevelType w:val="hybridMultilevel"/>
    <w:tmpl w:val="BF26A2EE"/>
    <w:lvl w:ilvl="0" w:tplc="6732801A">
      <w:numFmt w:val="bullet"/>
      <w:lvlText w:val="-"/>
      <w:lvlJc w:val="left"/>
      <w:pPr>
        <w:ind w:left="11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7" w15:restartNumberingAfterBreak="0">
    <w:nsid w:val="186E7A0D"/>
    <w:multiLevelType w:val="hybridMultilevel"/>
    <w:tmpl w:val="E81287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32801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371"/>
        </w:tabs>
        <w:ind w:left="337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9" w15:restartNumberingAfterBreak="0">
    <w:nsid w:val="233566A0"/>
    <w:multiLevelType w:val="hybridMultilevel"/>
    <w:tmpl w:val="E316668C"/>
    <w:lvl w:ilvl="0" w:tplc="6732801A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3602BB2"/>
    <w:multiLevelType w:val="hybridMultilevel"/>
    <w:tmpl w:val="03EA685C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3976130D"/>
    <w:multiLevelType w:val="hybridMultilevel"/>
    <w:tmpl w:val="F82A1656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47984D91"/>
    <w:multiLevelType w:val="hybridMultilevel"/>
    <w:tmpl w:val="12FCD550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95D41C9"/>
    <w:multiLevelType w:val="hybridMultilevel"/>
    <w:tmpl w:val="3B7ED62A"/>
    <w:lvl w:ilvl="0" w:tplc="5A12E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8611E"/>
    <w:multiLevelType w:val="hybridMultilevel"/>
    <w:tmpl w:val="0FC42AB4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6A9E7C67"/>
    <w:multiLevelType w:val="hybridMultilevel"/>
    <w:tmpl w:val="97E6F63E"/>
    <w:lvl w:ilvl="0" w:tplc="5A12E57E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1"/>
  </w:num>
  <w:num w:numId="11">
    <w:abstractNumId w:val="15"/>
  </w:num>
  <w:num w:numId="12">
    <w:abstractNumId w:val="2"/>
  </w:num>
  <w:num w:numId="13">
    <w:abstractNumId w:val="14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C3"/>
    <w:rsid w:val="000554F7"/>
    <w:rsid w:val="000D77DF"/>
    <w:rsid w:val="00122F4F"/>
    <w:rsid w:val="00191D7E"/>
    <w:rsid w:val="00257B78"/>
    <w:rsid w:val="002E68B7"/>
    <w:rsid w:val="00315074"/>
    <w:rsid w:val="00332B30"/>
    <w:rsid w:val="003B3B4B"/>
    <w:rsid w:val="00472FC0"/>
    <w:rsid w:val="0051012C"/>
    <w:rsid w:val="005F5B3F"/>
    <w:rsid w:val="006B2343"/>
    <w:rsid w:val="0074114C"/>
    <w:rsid w:val="0078279F"/>
    <w:rsid w:val="007B6002"/>
    <w:rsid w:val="008016B5"/>
    <w:rsid w:val="00824350"/>
    <w:rsid w:val="008A1E8B"/>
    <w:rsid w:val="009A5361"/>
    <w:rsid w:val="00B27B81"/>
    <w:rsid w:val="00B314C3"/>
    <w:rsid w:val="00B656AA"/>
    <w:rsid w:val="00B963F9"/>
    <w:rsid w:val="00C717B0"/>
    <w:rsid w:val="00C772AA"/>
    <w:rsid w:val="00C8072F"/>
    <w:rsid w:val="00D00D0B"/>
    <w:rsid w:val="00E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2F43"/>
  <w15:chartTrackingRefBased/>
  <w15:docId w15:val="{3949A15B-939C-4178-85E4-24121AD1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14C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14C3"/>
    <w:pPr>
      <w:keepNext/>
      <w:numPr>
        <w:numId w:val="1"/>
      </w:numPr>
      <w:jc w:val="center"/>
      <w:outlineLvl w:val="0"/>
    </w:pPr>
    <w:rPr>
      <w:rFonts w:eastAsia="Arial Unicode MS"/>
      <w:b/>
      <w:sz w:val="28"/>
      <w:szCs w:val="20"/>
    </w:rPr>
  </w:style>
  <w:style w:type="paragraph" w:styleId="Nadpis2">
    <w:name w:val="heading 2"/>
    <w:aliases w:val="Úloha"/>
    <w:basedOn w:val="Normlny"/>
    <w:next w:val="Normlny"/>
    <w:link w:val="Nadpis2Char"/>
    <w:uiPriority w:val="9"/>
    <w:qFormat/>
    <w:rsid w:val="00B314C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14C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14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B314C3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B314C3"/>
    <w:pPr>
      <w:keepNext/>
      <w:numPr>
        <w:ilvl w:val="5"/>
        <w:numId w:val="1"/>
      </w:numPr>
      <w:jc w:val="both"/>
      <w:outlineLvl w:val="5"/>
    </w:pPr>
    <w:rPr>
      <w:b/>
      <w:bCs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314C3"/>
    <w:pPr>
      <w:keepNext/>
      <w:numPr>
        <w:ilvl w:val="6"/>
        <w:numId w:val="1"/>
      </w:numPr>
      <w:jc w:val="both"/>
      <w:outlineLvl w:val="6"/>
    </w:pPr>
    <w:rPr>
      <w:b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14C3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rsid w:val="00B314C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B314C3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B314C3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B314C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B314C3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B314C3"/>
    <w:rPr>
      <w:rFonts w:ascii="Times New Roman" w:eastAsia="Times New Roman" w:hAnsi="Times New Roman" w:cs="Times New Roman"/>
      <w:b/>
      <w:sz w:val="24"/>
      <w:szCs w:val="26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B314C3"/>
    <w:pPr>
      <w:ind w:left="720"/>
      <w:contextualSpacing/>
    </w:pPr>
  </w:style>
  <w:style w:type="table" w:styleId="Mriekatabuky">
    <w:name w:val="Table Grid"/>
    <w:basedOn w:val="Normlnatabuka"/>
    <w:uiPriority w:val="99"/>
    <w:rsid w:val="00B31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B314C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314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14C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14C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4C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Dubravova Barbora Regina</dc:creator>
  <cp:keywords/>
  <dc:description/>
  <cp:lastModifiedBy>Hajdu Ladislav</cp:lastModifiedBy>
  <cp:revision>2</cp:revision>
  <cp:lastPrinted>2024-01-09T07:56:00Z</cp:lastPrinted>
  <dcterms:created xsi:type="dcterms:W3CDTF">2024-01-09T07:56:00Z</dcterms:created>
  <dcterms:modified xsi:type="dcterms:W3CDTF">2024-01-09T07:56:00Z</dcterms:modified>
</cp:coreProperties>
</file>