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BC97" w14:textId="77777777" w:rsidR="00B65FC9" w:rsidRDefault="00B65FC9">
      <w:r>
        <w:t>Odôvodnenie:</w:t>
      </w:r>
    </w:p>
    <w:p w14:paraId="662CB53C" w14:textId="77777777" w:rsidR="00B65FC9" w:rsidRDefault="00B65FC9"/>
    <w:p w14:paraId="5C31AA78" w14:textId="77777777" w:rsidR="005411FD" w:rsidRDefault="00E5146E">
      <w:r>
        <w:t xml:space="preserve">Problém súdneho </w:t>
      </w:r>
      <w:proofErr w:type="spellStart"/>
      <w:r>
        <w:t>aktivizmu</w:t>
      </w:r>
      <w:proofErr w:type="spellEnd"/>
      <w:r>
        <w:t xml:space="preserve"> je široko pozorovaný jav pri súdnej interpretácii ústavných textov či </w:t>
      </w:r>
      <w:proofErr w:type="spellStart"/>
      <w:r>
        <w:t>ľudskoprávnych</w:t>
      </w:r>
      <w:proofErr w:type="spellEnd"/>
      <w:r>
        <w:t xml:space="preserve"> dohovorov v ostatných niekoľkých desaťročiach. Rôzne súdy „objavujú“ v právnych dokumentoch interpretácie, ktoré ich pisatelia nezamýšľali a parlamenty či Vysoké zmluvné strany ich neodsúhlasili. </w:t>
      </w:r>
    </w:p>
    <w:p w14:paraId="7865981B" w14:textId="05152018" w:rsidR="00E5146E" w:rsidRDefault="00E5146E">
      <w:r>
        <w:t xml:space="preserve">Príkladom takéhoto </w:t>
      </w:r>
      <w:proofErr w:type="spellStart"/>
      <w:r>
        <w:t>aktivizmu</w:t>
      </w:r>
      <w:proofErr w:type="spellEnd"/>
      <w:r>
        <w:t xml:space="preserve"> je čoraz viac aj Európsky s</w:t>
      </w:r>
      <w:r w:rsidR="00B65FC9">
        <w:t xml:space="preserve">úd pre ľudské práva. </w:t>
      </w:r>
      <w:r w:rsidR="001C436A">
        <w:br/>
      </w:r>
      <w:r w:rsidR="00B65FC9">
        <w:t>Vo veciach</w:t>
      </w:r>
      <w:r w:rsidRPr="00E5146E">
        <w:t xml:space="preserve"> </w:t>
      </w:r>
      <w:proofErr w:type="spellStart"/>
      <w:r w:rsidRPr="00E5146E">
        <w:t>Fedotova</w:t>
      </w:r>
      <w:proofErr w:type="spellEnd"/>
      <w:r w:rsidRPr="00E5146E">
        <w:t xml:space="preserve"> a ostatní proti Rusku (sťažnosti č. 40792/10, 30538/14 a 43439/14), </w:t>
      </w:r>
      <w:proofErr w:type="spellStart"/>
      <w:r w:rsidRPr="00E5146E">
        <w:t>Buhuceanu</w:t>
      </w:r>
      <w:proofErr w:type="spellEnd"/>
      <w:r w:rsidRPr="00E5146E">
        <w:t xml:space="preserve"> a ostatní proti Rumunsku (sťažnosť č. 20081/19 a 20 ďalších), </w:t>
      </w:r>
      <w:proofErr w:type="spellStart"/>
      <w:r w:rsidRPr="00E5146E">
        <w:t>Maymulakhin</w:t>
      </w:r>
      <w:proofErr w:type="spellEnd"/>
      <w:r w:rsidRPr="00E5146E">
        <w:t xml:space="preserve"> a </w:t>
      </w:r>
      <w:proofErr w:type="spellStart"/>
      <w:r w:rsidRPr="00E5146E">
        <w:t>Markiv</w:t>
      </w:r>
      <w:proofErr w:type="spellEnd"/>
      <w:r w:rsidRPr="00E5146E">
        <w:t xml:space="preserve"> proti Ukrajine (sťažnosť č. 75135/14), </w:t>
      </w:r>
      <w:proofErr w:type="spellStart"/>
      <w:r w:rsidRPr="00E5146E">
        <w:t>Koilova</w:t>
      </w:r>
      <w:proofErr w:type="spellEnd"/>
      <w:r w:rsidRPr="00E5146E">
        <w:t xml:space="preserve"> a </w:t>
      </w:r>
      <w:proofErr w:type="spellStart"/>
      <w:r w:rsidRPr="00E5146E">
        <w:t>Babulkova</w:t>
      </w:r>
      <w:proofErr w:type="spellEnd"/>
      <w:r w:rsidRPr="00E5146E">
        <w:t xml:space="preserve"> proti Bulharsku (sťažnosť č. 40209/20) a </w:t>
      </w:r>
      <w:proofErr w:type="spellStart"/>
      <w:r w:rsidRPr="00E5146E">
        <w:t>Przybyszewska</w:t>
      </w:r>
      <w:proofErr w:type="spellEnd"/>
      <w:r w:rsidRPr="00E5146E">
        <w:t xml:space="preserve"> a ostatní proti Poľsku (sťažnosť č. </w:t>
      </w:r>
      <w:r>
        <w:t>11454/17 a 9 ďalších)</w:t>
      </w:r>
      <w:r w:rsidRPr="00E5146E">
        <w:t xml:space="preserve"> Európsky súd pre ľudské práva konštatoval porušenie Európskeho dohovoru o ľudských právach z dôvodu, že dotknuté Vysoké zmluvné strany neposkytujú právne uznanie a ochranu zväzkov osôb rovnakého pohlavia,</w:t>
      </w:r>
      <w:r>
        <w:t xml:space="preserve"> pričom Európsky dohovor pre ľudské práva ani staršia rozhodovacia prax samotného Európskeho súdu pre ľudské práva</w:t>
      </w:r>
      <w:r w:rsidR="00B65FC9">
        <w:t xml:space="preserve"> nedáva</w:t>
      </w:r>
      <w:r>
        <w:t xml:space="preserve"> právny základ pre konštatovania takejto povinnosti Vysokej zmluvnej strany. </w:t>
      </w:r>
    </w:p>
    <w:p w14:paraId="6C892DD4" w14:textId="77777777" w:rsidR="00900A6E" w:rsidRDefault="00E5146E">
      <w:r>
        <w:t>Európsky súd pre ľudské práva bol ustanovený na ochranu práv a slobôd,</w:t>
      </w:r>
      <w:r w:rsidR="00900A6E">
        <w:t xml:space="preserve"> ktoré sú zakot</w:t>
      </w:r>
      <w:r>
        <w:t>vené v Európskom dohovore pre ľudské práva</w:t>
      </w:r>
      <w:r w:rsidR="00900A6E">
        <w:t>, nie na vytváranie „nových“ práv, ktoré samotný Dohovor neobsahuje. Úlohou súdov je aplikovať právo, nie vytvárať všeobecne záväzné právne normy.</w:t>
      </w:r>
    </w:p>
    <w:p w14:paraId="65B01F1D" w14:textId="575F999E" w:rsidR="00E5146E" w:rsidRDefault="00900A6E">
      <w:r>
        <w:t xml:space="preserve">Ochrana základných práv a slobôd je dôležitou úlohou Európskeho súdu pre ľudské práva. </w:t>
      </w:r>
      <w:r w:rsidR="001C436A">
        <w:br/>
      </w:r>
      <w:proofErr w:type="spellStart"/>
      <w:r>
        <w:t>Aktivistické</w:t>
      </w:r>
      <w:proofErr w:type="spellEnd"/>
      <w:r>
        <w:t xml:space="preserve"> používanie právomocí, ktoré mu boli zverené, môže byť zdrojom oslabovania právnej istoty ako aj postupnej erózie autority Európskeho súdu pre ľudské práva. </w:t>
      </w:r>
      <w:r w:rsidR="001C436A">
        <w:br/>
      </w:r>
      <w:r>
        <w:t>Je kľúčové, aby sa Vysoké zmluvné strany postavili tomuto procesu a vrátili Európskemu súdu pre ľudské práva jeho predchádzajúce smerovanie, ktoré bolo zdrojom jeho autority a</w:t>
      </w:r>
      <w:r w:rsidR="00B65FC9">
        <w:t> efektívnej ochrany ľudských práv a slobôd.</w:t>
      </w:r>
    </w:p>
    <w:sectPr w:rsidR="00E5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6E"/>
    <w:rsid w:val="001C436A"/>
    <w:rsid w:val="005411FD"/>
    <w:rsid w:val="00900A6E"/>
    <w:rsid w:val="00B65FC9"/>
    <w:rsid w:val="00E5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568"/>
  <w15:chartTrackingRefBased/>
  <w15:docId w15:val="{B542A70F-EEC1-4CFA-A2D8-F2E2429C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Michal</dc:creator>
  <cp:keywords/>
  <dc:description/>
  <cp:lastModifiedBy>Katarina Polacek</cp:lastModifiedBy>
  <cp:revision>2</cp:revision>
  <dcterms:created xsi:type="dcterms:W3CDTF">2024-01-11T09:52:00Z</dcterms:created>
  <dcterms:modified xsi:type="dcterms:W3CDTF">2024-01-11T10:30:00Z</dcterms:modified>
</cp:coreProperties>
</file>