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2"/>
        <w:gridCol w:w="4620"/>
        <w:gridCol w:w="850"/>
        <w:gridCol w:w="993"/>
        <w:gridCol w:w="850"/>
        <w:gridCol w:w="3544"/>
        <w:gridCol w:w="709"/>
        <w:gridCol w:w="1077"/>
        <w:gridCol w:w="1049"/>
        <w:gridCol w:w="1134"/>
      </w:tblGrid>
      <w:tr w:rsidR="00A56669" w:rsidRPr="005766AE" w:rsidTr="004E31F0">
        <w:tc>
          <w:tcPr>
            <w:tcW w:w="155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pStyle w:val="Nadpis1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TABUĽKA  ZHODY</w:t>
            </w:r>
          </w:p>
          <w:p w:rsidR="00A56669" w:rsidRPr="005766AE" w:rsidRDefault="00A56669" w:rsidP="00F1238A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5766AE">
              <w:rPr>
                <w:b/>
                <w:bCs/>
                <w:sz w:val="20"/>
                <w:szCs w:val="20"/>
              </w:rPr>
              <w:t>návrhu právneho predpisu s právom Európskej únie</w:t>
            </w:r>
          </w:p>
        </w:tc>
      </w:tr>
      <w:tr w:rsidR="00A56669" w:rsidRPr="005766AE" w:rsidTr="004E31F0">
        <w:trPr>
          <w:trHeight w:val="567"/>
        </w:trPr>
        <w:tc>
          <w:tcPr>
            <w:tcW w:w="6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Smernica EÚ</w:t>
            </w:r>
          </w:p>
          <w:p w:rsidR="00A56669" w:rsidRPr="005766AE" w:rsidRDefault="00A56669" w:rsidP="00F1238A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</w:p>
          <w:p w:rsidR="00A56669" w:rsidRPr="005766AE" w:rsidRDefault="00E0791C" w:rsidP="00F1238A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5766AE">
              <w:rPr>
                <w:b/>
                <w:bCs/>
                <w:color w:val="000000"/>
                <w:sz w:val="20"/>
                <w:szCs w:val="20"/>
              </w:rPr>
              <w:t xml:space="preserve">DELEGOVANÁ </w:t>
            </w:r>
            <w:r w:rsidR="00A56669" w:rsidRPr="005766AE">
              <w:rPr>
                <w:b/>
                <w:bCs/>
                <w:color w:val="000000"/>
                <w:sz w:val="20"/>
                <w:szCs w:val="20"/>
              </w:rPr>
              <w:t xml:space="preserve">SMERNICA </w:t>
            </w:r>
            <w:r w:rsidRPr="005766AE">
              <w:rPr>
                <w:b/>
                <w:bCs/>
                <w:color w:val="000000"/>
                <w:sz w:val="20"/>
                <w:szCs w:val="20"/>
              </w:rPr>
              <w:t>KOMISIE</w:t>
            </w:r>
            <w:r w:rsidR="00A56669" w:rsidRPr="005766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B33EE" w:rsidRPr="005766AE">
              <w:rPr>
                <w:b/>
                <w:bCs/>
                <w:color w:val="000000"/>
                <w:sz w:val="20"/>
                <w:szCs w:val="20"/>
              </w:rPr>
              <w:t xml:space="preserve">(EÚ) </w:t>
            </w:r>
            <w:r w:rsidR="00A56669" w:rsidRPr="005766AE">
              <w:rPr>
                <w:b/>
                <w:bCs/>
                <w:color w:val="000000"/>
                <w:sz w:val="20"/>
                <w:szCs w:val="20"/>
                <w:u w:val="single"/>
              </w:rPr>
              <w:t>20</w:t>
            </w:r>
            <w:r w:rsidRPr="005766AE">
              <w:rPr>
                <w:b/>
                <w:bCs/>
                <w:color w:val="000000"/>
                <w:sz w:val="20"/>
                <w:szCs w:val="20"/>
                <w:u w:val="single"/>
              </w:rPr>
              <w:t>23/</w:t>
            </w:r>
            <w:r w:rsidR="00EF56D9" w:rsidRPr="005766AE">
              <w:rPr>
                <w:b/>
                <w:bCs/>
                <w:color w:val="000000"/>
                <w:sz w:val="20"/>
                <w:szCs w:val="20"/>
                <w:u w:val="single"/>
              </w:rPr>
              <w:t>2775</w:t>
            </w:r>
            <w:r w:rsidR="00A56669" w:rsidRPr="005766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56669" w:rsidRPr="005766AE" w:rsidRDefault="00A56669" w:rsidP="00EF56D9">
            <w:pPr>
              <w:pStyle w:val="Zkladntext3"/>
              <w:spacing w:line="240" w:lineRule="exact"/>
              <w:rPr>
                <w:sz w:val="20"/>
                <w:szCs w:val="20"/>
              </w:rPr>
            </w:pPr>
            <w:r w:rsidRPr="005766AE">
              <w:rPr>
                <w:b/>
                <w:bCs/>
                <w:color w:val="000000"/>
                <w:sz w:val="20"/>
                <w:szCs w:val="20"/>
              </w:rPr>
              <w:t xml:space="preserve">z </w:t>
            </w:r>
            <w:r w:rsidR="00E0791C" w:rsidRPr="005766AE">
              <w:rPr>
                <w:b/>
                <w:bCs/>
                <w:color w:val="000000"/>
                <w:sz w:val="20"/>
                <w:szCs w:val="20"/>
              </w:rPr>
              <w:t>17</w:t>
            </w:r>
            <w:r w:rsidRPr="005766AE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E0791C" w:rsidRPr="005766AE">
              <w:rPr>
                <w:b/>
                <w:bCs/>
                <w:color w:val="000000"/>
                <w:sz w:val="20"/>
                <w:szCs w:val="20"/>
              </w:rPr>
              <w:t>októbra 202</w:t>
            </w:r>
            <w:r w:rsidRPr="005766AE">
              <w:rPr>
                <w:b/>
                <w:bCs/>
                <w:color w:val="000000"/>
                <w:sz w:val="20"/>
                <w:szCs w:val="20"/>
              </w:rPr>
              <w:t>3, ktorou sa mení smernica Európskeho parlamentu a Rady 20</w:t>
            </w:r>
            <w:r w:rsidR="00E0791C" w:rsidRPr="005766AE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Pr="005766AE">
              <w:rPr>
                <w:b/>
                <w:bCs/>
                <w:color w:val="000000"/>
                <w:sz w:val="20"/>
                <w:szCs w:val="20"/>
              </w:rPr>
              <w:t>/3</w:t>
            </w:r>
            <w:r w:rsidR="00E0791C" w:rsidRPr="005766A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5766AE">
              <w:rPr>
                <w:b/>
                <w:bCs/>
                <w:color w:val="000000"/>
                <w:sz w:val="20"/>
                <w:szCs w:val="20"/>
              </w:rPr>
              <w:t>/E</w:t>
            </w:r>
            <w:r w:rsidR="00E0791C" w:rsidRPr="005766AE">
              <w:rPr>
                <w:b/>
                <w:bCs/>
                <w:color w:val="000000"/>
                <w:sz w:val="20"/>
                <w:szCs w:val="20"/>
              </w:rPr>
              <w:t xml:space="preserve">Ú, </w:t>
            </w:r>
            <w:r w:rsidR="00C474B1" w:rsidRPr="005766AE">
              <w:rPr>
                <w:b/>
                <w:bCs/>
                <w:color w:val="000000"/>
                <w:sz w:val="20"/>
                <w:szCs w:val="20"/>
              </w:rPr>
              <w:t xml:space="preserve">pokiaľ ide o úpravy veľkostných kritérií pre mikropodniky, malé, stredné a veľké podniky alebo skupiny  </w:t>
            </w:r>
            <w:r w:rsidR="003C543D" w:rsidRPr="005766AE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3C543D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 xml:space="preserve">Ú. v. EÚ </w:t>
            </w:r>
            <w:r w:rsidR="00EF56D9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L</w:t>
            </w:r>
            <w:r w:rsidR="003C543D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3C543D" w:rsidRPr="005766AE">
              <w:rPr>
                <w:rStyle w:val="Zvraznenie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690BA9" w:rsidRPr="005766AE">
              <w:rPr>
                <w:b/>
                <w:iCs/>
                <w:color w:val="333333"/>
                <w:sz w:val="20"/>
                <w:szCs w:val="20"/>
                <w:shd w:val="clear" w:color="auto" w:fill="FFFFFF"/>
              </w:rPr>
              <w:t>2023/2775,</w:t>
            </w:r>
            <w:r w:rsidR="00690BA9" w:rsidRPr="005766AE">
              <w:rPr>
                <w:rFonts w:ascii="Segoe UI" w:hAnsi="Segoe UI" w:cs="Segoe UI"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3C543D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EF56D9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="003C543D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E0791C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12</w:t>
            </w:r>
            <w:r w:rsidR="003C543D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.20</w:t>
            </w:r>
            <w:r w:rsidR="00E0791C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3C543D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3)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Právne predpisy Slovenskej republiky</w:t>
            </w:r>
          </w:p>
          <w:p w:rsidR="00A56669" w:rsidRPr="005766AE" w:rsidRDefault="00A56669" w:rsidP="00F1238A">
            <w:pPr>
              <w:pStyle w:val="Zkladntext"/>
              <w:ind w:right="241"/>
              <w:jc w:val="both"/>
              <w:rPr>
                <w:b/>
                <w:sz w:val="20"/>
                <w:szCs w:val="20"/>
              </w:rPr>
            </w:pPr>
          </w:p>
          <w:p w:rsidR="00A56669" w:rsidRPr="005766AE" w:rsidRDefault="00A56669" w:rsidP="00F1238A">
            <w:pPr>
              <w:pStyle w:val="Zkladntext"/>
              <w:jc w:val="both"/>
              <w:rPr>
                <w:b/>
                <w:sz w:val="20"/>
                <w:szCs w:val="20"/>
              </w:rPr>
            </w:pPr>
            <w:r w:rsidRPr="005766AE">
              <w:rPr>
                <w:b/>
                <w:sz w:val="20"/>
                <w:szCs w:val="20"/>
              </w:rPr>
              <w:t>Návrh zákona, ktorým sa mení a dopĺňa zákon č. 431/2002 Z. z. o účtovníctve v znení neskorších predpisov a </w:t>
            </w:r>
            <w:r w:rsidR="002D39A5" w:rsidRPr="005766AE">
              <w:rPr>
                <w:b/>
                <w:sz w:val="20"/>
                <w:szCs w:val="20"/>
              </w:rPr>
              <w:t>ktorým sa menia a dopĺňajú niektoré zákony</w:t>
            </w:r>
            <w:r w:rsidR="009113E4" w:rsidRPr="005766AE">
              <w:rPr>
                <w:b/>
                <w:sz w:val="20"/>
                <w:szCs w:val="20"/>
              </w:rPr>
              <w:t xml:space="preserve"> </w:t>
            </w:r>
            <w:r w:rsidR="00000180" w:rsidRPr="005766AE">
              <w:rPr>
                <w:b/>
                <w:sz w:val="20"/>
                <w:szCs w:val="20"/>
              </w:rPr>
              <w:t>(ďalej „N</w:t>
            </w:r>
            <w:r w:rsidRPr="005766AE">
              <w:rPr>
                <w:b/>
                <w:sz w:val="20"/>
                <w:szCs w:val="20"/>
              </w:rPr>
              <w:t>ávrh“)</w:t>
            </w:r>
          </w:p>
          <w:p w:rsidR="00A56669" w:rsidRPr="005766AE" w:rsidRDefault="00A56669" w:rsidP="00F1238A">
            <w:pPr>
              <w:pStyle w:val="Zkladntext"/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Zákon č. 431/2002 Z. z. o účtovníctve v znení neskorších predpisov (ďalej „431/2002“).</w:t>
            </w:r>
          </w:p>
          <w:p w:rsidR="00A56669" w:rsidRPr="005766AE" w:rsidRDefault="00000180" w:rsidP="00E0791C">
            <w:pPr>
              <w:adjustRightInd w:val="0"/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Zákon č. 575/2001 Z. z. o organizácii činnosti vlády a organizácii ústrednej štátnej správy v znení neskorších predpisov (ďalej len „575/2001“).</w:t>
            </w:r>
          </w:p>
        </w:tc>
      </w:tr>
      <w:tr w:rsidR="00A56669" w:rsidRPr="005766AE" w:rsidTr="004E31F0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Zkladntext2"/>
              <w:spacing w:line="240" w:lineRule="exact"/>
            </w:pPr>
            <w:r w:rsidRPr="005766AE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Zkladntext2"/>
              <w:spacing w:line="240" w:lineRule="exact"/>
            </w:pPr>
            <w:r w:rsidRPr="005766A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10</w:t>
            </w:r>
          </w:p>
        </w:tc>
      </w:tr>
      <w:tr w:rsidR="00A56669" w:rsidRPr="005766AE" w:rsidTr="004E31F0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Článok</w:t>
            </w:r>
          </w:p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(Č, O,</w:t>
            </w:r>
          </w:p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V, P)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Spôsob transp.</w:t>
            </w:r>
          </w:p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(N, O, D, n.a.)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Číslo</w:t>
            </w:r>
          </w:p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Článok (Č, §, O, V, 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Normlny0"/>
              <w:ind w:left="-48" w:hanging="48"/>
              <w:jc w:val="center"/>
            </w:pPr>
            <w:r w:rsidRPr="005766AE">
              <w:t>Zhoda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Poznámky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A56669">
            <w:pPr>
              <w:pStyle w:val="Normlny0"/>
              <w:ind w:right="-42"/>
              <w:jc w:val="center"/>
            </w:pPr>
            <w:r w:rsidRPr="005766AE">
              <w:t>Identifikácia goldplatingu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6669" w:rsidRPr="005766AE" w:rsidRDefault="00A56669" w:rsidP="00F1238A">
            <w:pPr>
              <w:pStyle w:val="Normlny0"/>
              <w:jc w:val="center"/>
            </w:pPr>
            <w:r w:rsidRPr="005766AE">
              <w:t>Identifikácia oblasti goldplatingu a vyjadrenie k opodstatnenosti goldplatingu*</w:t>
            </w:r>
          </w:p>
        </w:tc>
      </w:tr>
      <w:tr w:rsidR="003B0FCB" w:rsidRPr="005766AE" w:rsidTr="00C474B1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623A" w:rsidRPr="005766AE" w:rsidRDefault="00C474B1" w:rsidP="003B0FC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Č. 1</w:t>
            </w:r>
          </w:p>
          <w:p w:rsidR="00C474B1" w:rsidRPr="005766AE" w:rsidRDefault="00C474B1" w:rsidP="003B0FC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O: 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b/>
                <w:sz w:val="20"/>
                <w:szCs w:val="20"/>
              </w:rPr>
            </w:pPr>
            <w:r w:rsidRPr="005766AE">
              <w:rPr>
                <w:b/>
                <w:sz w:val="20"/>
                <w:szCs w:val="20"/>
              </w:rPr>
              <w:t>Zmeny smernice 2013/34/EÚ</w:t>
            </w:r>
          </w:p>
          <w:p w:rsidR="00C474B1" w:rsidRPr="005766AE" w:rsidRDefault="00C474B1" w:rsidP="00C474B1">
            <w:pPr>
              <w:spacing w:before="75" w:after="75"/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Článok 3 smernice 2013/34/EÚ sa mení takto:</w:t>
            </w:r>
          </w:p>
          <w:p w:rsidR="00C474B1" w:rsidRPr="005766AE" w:rsidRDefault="00C474B1" w:rsidP="00C474B1">
            <w:pPr>
              <w:spacing w:before="75" w:after="75"/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1. V odseku 1 sa písmená a) a b) nahrádzajú takto:</w:t>
            </w:r>
          </w:p>
          <w:p w:rsidR="00C474B1" w:rsidRPr="005766AE" w:rsidRDefault="00C474B1" w:rsidP="00C474B1">
            <w:pPr>
              <w:spacing w:before="75" w:after="75"/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„a) celková bilančná suma: 450 000 EUR;</w:t>
            </w:r>
          </w:p>
          <w:p w:rsidR="003B0FCB" w:rsidRPr="005766AE" w:rsidRDefault="00C474B1" w:rsidP="00C474B1">
            <w:pPr>
              <w:spacing w:before="75" w:after="75"/>
              <w:jc w:val="both"/>
              <w:rPr>
                <w:b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b) čistý obrat: 900 000 EUR;“.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CB" w:rsidRPr="005766AE" w:rsidRDefault="008A3123" w:rsidP="008A312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91C" w:rsidRPr="005766AE" w:rsidRDefault="00E0791C" w:rsidP="00E0791C">
            <w:pPr>
              <w:jc w:val="center"/>
              <w:rPr>
                <w:bCs/>
                <w:sz w:val="20"/>
                <w:szCs w:val="20"/>
              </w:rPr>
            </w:pPr>
            <w:r w:rsidRPr="005766AE">
              <w:rPr>
                <w:bCs/>
                <w:sz w:val="20"/>
                <w:szCs w:val="20"/>
              </w:rPr>
              <w:t>431/2002</w:t>
            </w:r>
          </w:p>
          <w:p w:rsidR="00E0791C" w:rsidRPr="005766AE" w:rsidRDefault="00E0791C" w:rsidP="00E0791C">
            <w:pPr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a</w:t>
            </w:r>
          </w:p>
          <w:p w:rsidR="00E0791C" w:rsidRPr="005766AE" w:rsidRDefault="00E0791C" w:rsidP="00E0791C">
            <w:pPr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Návrh</w:t>
            </w:r>
          </w:p>
          <w:p w:rsidR="00E0791C" w:rsidRPr="005766AE" w:rsidRDefault="00E0791C" w:rsidP="00E0791C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Čl. I</w:t>
            </w:r>
          </w:p>
          <w:p w:rsidR="003B0FCB" w:rsidRPr="005766AE" w:rsidRDefault="003B0FCB" w:rsidP="003B0F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C" w:rsidRPr="005766AE" w:rsidRDefault="00E0791C" w:rsidP="00E0791C">
            <w:pPr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§ 2</w:t>
            </w:r>
          </w:p>
          <w:p w:rsidR="003B0FCB" w:rsidRPr="005766AE" w:rsidRDefault="00E0791C" w:rsidP="00E0791C">
            <w:pPr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O: 6</w:t>
            </w:r>
          </w:p>
          <w:p w:rsidR="001058BC" w:rsidRPr="005766AE" w:rsidRDefault="001058BC" w:rsidP="00E0791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58BC" w:rsidRPr="005766AE" w:rsidRDefault="001058BC" w:rsidP="00E0791C">
            <w:pPr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P:a</w:t>
            </w:r>
          </w:p>
          <w:p w:rsidR="001058BC" w:rsidRPr="005766AE" w:rsidRDefault="001058BC" w:rsidP="00E0791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58BC" w:rsidRPr="005766AE" w:rsidRDefault="001058BC" w:rsidP="00E0791C">
            <w:pPr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P:b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23" w:rsidRPr="005766AE" w:rsidRDefault="004E2623" w:rsidP="004E2623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Do veľkostnej skupiny mikro účtovnej jednotky sa zatriedi účtovná jednotka, ktorá spĺňa aspoň dve z týchto podmienok:</w:t>
            </w:r>
          </w:p>
          <w:p w:rsidR="004E2623" w:rsidRPr="005766AE" w:rsidRDefault="004E2623" w:rsidP="004E2623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a) celková suma majetku nepresiahla </w:t>
            </w:r>
            <w:r w:rsidR="00766A02" w:rsidRPr="005766AE">
              <w:rPr>
                <w:sz w:val="20"/>
                <w:szCs w:val="20"/>
              </w:rPr>
              <w:t xml:space="preserve"> </w:t>
            </w:r>
            <w:r w:rsidR="00766A02" w:rsidRPr="005766AE">
              <w:rPr>
                <w:b/>
                <w:sz w:val="20"/>
                <w:szCs w:val="20"/>
              </w:rPr>
              <w:t>450 000 eur,</w:t>
            </w:r>
          </w:p>
          <w:p w:rsidR="004E2623" w:rsidRPr="005766AE" w:rsidRDefault="004E2623" w:rsidP="004E2623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b) čistý obrat nepresiahol</w:t>
            </w:r>
            <w:r w:rsidR="00766A02" w:rsidRPr="005766AE">
              <w:rPr>
                <w:sz w:val="20"/>
                <w:szCs w:val="20"/>
              </w:rPr>
              <w:t> </w:t>
            </w:r>
            <w:r w:rsidR="00766A02" w:rsidRPr="005766AE">
              <w:rPr>
                <w:b/>
                <w:sz w:val="20"/>
                <w:szCs w:val="20"/>
              </w:rPr>
              <w:t>900 000</w:t>
            </w:r>
            <w:r w:rsidR="00766A02" w:rsidRPr="005766AE">
              <w:rPr>
                <w:sz w:val="20"/>
                <w:szCs w:val="20"/>
              </w:rPr>
              <w:t xml:space="preserve"> </w:t>
            </w:r>
            <w:r w:rsidRPr="005766AE">
              <w:rPr>
                <w:b/>
                <w:sz w:val="20"/>
                <w:szCs w:val="20"/>
              </w:rPr>
              <w:t>eur,</w:t>
            </w:r>
          </w:p>
          <w:p w:rsidR="003B0FCB" w:rsidRPr="005766AE" w:rsidRDefault="003B0FCB" w:rsidP="004E26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CB" w:rsidRPr="005766AE" w:rsidRDefault="00EE07C8" w:rsidP="003B0FCB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CB" w:rsidRPr="005766AE" w:rsidRDefault="003B0FCB" w:rsidP="003B0FCB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CB" w:rsidRPr="005766AE" w:rsidRDefault="00304033" w:rsidP="003B0FCB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CB" w:rsidRPr="005766AE" w:rsidRDefault="003B0FCB" w:rsidP="003B0FCB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C474B1" w:rsidRPr="005766AE" w:rsidTr="00C474B1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Č. 1</w:t>
            </w:r>
          </w:p>
          <w:p w:rsidR="00C474B1" w:rsidRPr="005766AE" w:rsidRDefault="00C474B1" w:rsidP="00C474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O: 2</w:t>
            </w:r>
          </w:p>
          <w:p w:rsidR="00C474B1" w:rsidRPr="005766AE" w:rsidRDefault="00C474B1" w:rsidP="00C474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P: 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spacing w:before="75"/>
              <w:rPr>
                <w:bCs/>
                <w:color w:val="000000"/>
                <w:sz w:val="20"/>
                <w:szCs w:val="20"/>
              </w:rPr>
            </w:pPr>
            <w:r w:rsidRPr="005766AE">
              <w:rPr>
                <w:bCs/>
                <w:color w:val="000000"/>
                <w:sz w:val="20"/>
                <w:szCs w:val="20"/>
              </w:rPr>
              <w:t>Odsek 2 sa mení takto:</w:t>
            </w:r>
          </w:p>
          <w:p w:rsidR="00C474B1" w:rsidRPr="005766AE" w:rsidRDefault="00EF56D9" w:rsidP="00C474B1">
            <w:pPr>
              <w:adjustRightInd w:val="0"/>
              <w:spacing w:before="75"/>
              <w:rPr>
                <w:bCs/>
                <w:color w:val="000000"/>
                <w:sz w:val="20"/>
                <w:szCs w:val="20"/>
              </w:rPr>
            </w:pPr>
            <w:r w:rsidRPr="005766AE">
              <w:rPr>
                <w:bCs/>
                <w:color w:val="000000"/>
                <w:sz w:val="20"/>
                <w:szCs w:val="20"/>
              </w:rPr>
              <w:t>a) p</w:t>
            </w:r>
            <w:r w:rsidR="00C474B1" w:rsidRPr="005766AE">
              <w:rPr>
                <w:bCs/>
                <w:color w:val="000000"/>
                <w:sz w:val="20"/>
                <w:szCs w:val="20"/>
              </w:rPr>
              <w:t>ísmená a) a b) sa nahrádzajú takto:</w:t>
            </w:r>
          </w:p>
          <w:p w:rsidR="00C474B1" w:rsidRPr="005766AE" w:rsidRDefault="00C474B1" w:rsidP="00C474B1">
            <w:pPr>
              <w:adjustRightInd w:val="0"/>
              <w:spacing w:before="75"/>
              <w:rPr>
                <w:bCs/>
                <w:color w:val="000000"/>
                <w:sz w:val="20"/>
                <w:szCs w:val="20"/>
              </w:rPr>
            </w:pPr>
            <w:r w:rsidRPr="005766AE">
              <w:rPr>
                <w:bCs/>
                <w:color w:val="000000"/>
                <w:sz w:val="20"/>
                <w:szCs w:val="20"/>
              </w:rPr>
              <w:t>„a) celková bilančná suma: 5 000 000 EUR;</w:t>
            </w:r>
          </w:p>
          <w:p w:rsidR="00C474B1" w:rsidRPr="005766AE" w:rsidRDefault="00C474B1" w:rsidP="00C474B1">
            <w:pPr>
              <w:adjustRightInd w:val="0"/>
              <w:spacing w:before="75"/>
              <w:rPr>
                <w:bCs/>
                <w:color w:val="000000"/>
                <w:sz w:val="20"/>
                <w:szCs w:val="20"/>
              </w:rPr>
            </w:pPr>
            <w:r w:rsidRPr="005766AE">
              <w:rPr>
                <w:bCs/>
                <w:color w:val="000000"/>
                <w:sz w:val="20"/>
                <w:szCs w:val="20"/>
              </w:rPr>
              <w:t xml:space="preserve">  b) čistý obrat: 10 000 000 EUR;“;</w:t>
            </w:r>
          </w:p>
          <w:p w:rsidR="00C474B1" w:rsidRPr="005766AE" w:rsidRDefault="00C474B1" w:rsidP="00C474B1">
            <w:pPr>
              <w:adjustRightInd w:val="0"/>
              <w:spacing w:before="75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4B1" w:rsidRPr="005766AE" w:rsidRDefault="008A3123" w:rsidP="008A312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jc w:val="center"/>
              <w:rPr>
                <w:bCs/>
                <w:sz w:val="20"/>
                <w:szCs w:val="20"/>
              </w:rPr>
            </w:pPr>
            <w:r w:rsidRPr="005766AE">
              <w:rPr>
                <w:bCs/>
                <w:sz w:val="20"/>
                <w:szCs w:val="20"/>
              </w:rPr>
              <w:t>431/2002</w:t>
            </w:r>
          </w:p>
          <w:p w:rsidR="00C474B1" w:rsidRPr="005766AE" w:rsidRDefault="00C474B1" w:rsidP="00C474B1">
            <w:pPr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a</w:t>
            </w:r>
          </w:p>
          <w:p w:rsidR="00C474B1" w:rsidRPr="005766AE" w:rsidRDefault="00C474B1" w:rsidP="00C474B1">
            <w:pPr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Návrh</w:t>
            </w:r>
          </w:p>
          <w:p w:rsidR="00C474B1" w:rsidRPr="005766AE" w:rsidRDefault="00C474B1" w:rsidP="00C474B1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Čl. I</w:t>
            </w:r>
          </w:p>
          <w:p w:rsidR="00C474B1" w:rsidRPr="005766AE" w:rsidRDefault="00C474B1" w:rsidP="00C47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§ 2</w:t>
            </w:r>
          </w:p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O: 7</w:t>
            </w:r>
          </w:p>
          <w:p w:rsidR="00FF5685" w:rsidRPr="005766AE" w:rsidRDefault="00FF5685" w:rsidP="00C474B1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FF5685" w:rsidRPr="005766AE" w:rsidRDefault="00FF5685" w:rsidP="00FF5685">
            <w:pPr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P:a</w:t>
            </w:r>
          </w:p>
          <w:p w:rsidR="00FF5685" w:rsidRPr="005766AE" w:rsidRDefault="00FF5685" w:rsidP="00FF56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5685" w:rsidRPr="005766AE" w:rsidRDefault="00FF5685" w:rsidP="00FF5685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 xml:space="preserve">     </w:t>
            </w:r>
          </w:p>
          <w:p w:rsidR="00FF5685" w:rsidRPr="005766AE" w:rsidRDefault="00FF5685" w:rsidP="00FF5685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 xml:space="preserve">     P:b</w:t>
            </w:r>
          </w:p>
          <w:p w:rsidR="00FF5685" w:rsidRPr="005766AE" w:rsidRDefault="00FF5685" w:rsidP="00C474B1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23" w:rsidRPr="005766AE" w:rsidRDefault="004E2623" w:rsidP="004E2623">
            <w:pPr>
              <w:adjustRightInd w:val="0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Do veľkostnej skupiny malej účtovnej jednotky sa zatriedi účtovná jednotka, ktorá spĺňa aspoň dve z týchto podmienok:</w:t>
            </w:r>
          </w:p>
          <w:p w:rsidR="004E2623" w:rsidRPr="005766AE" w:rsidRDefault="004E2623" w:rsidP="004E2623">
            <w:pPr>
              <w:adjustRightInd w:val="0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a) celková suma majetku presiahla sumu </w:t>
            </w:r>
            <w:r w:rsidR="00766A02" w:rsidRPr="005766AE">
              <w:rPr>
                <w:b/>
                <w:sz w:val="20"/>
                <w:szCs w:val="20"/>
              </w:rPr>
              <w:t>450 000</w:t>
            </w:r>
            <w:r w:rsidR="00766A02" w:rsidRPr="005766AE">
              <w:rPr>
                <w:sz w:val="20"/>
                <w:szCs w:val="20"/>
              </w:rPr>
              <w:t xml:space="preserve"> </w:t>
            </w:r>
            <w:r w:rsidRPr="005766AE">
              <w:rPr>
                <w:b/>
                <w:sz w:val="20"/>
                <w:szCs w:val="20"/>
              </w:rPr>
              <w:t>eur</w:t>
            </w:r>
            <w:r w:rsidRPr="005766AE">
              <w:rPr>
                <w:sz w:val="20"/>
                <w:szCs w:val="20"/>
              </w:rPr>
              <w:t xml:space="preserve">, ale nepresiahla sumu  </w:t>
            </w:r>
            <w:r w:rsidR="00766A02" w:rsidRPr="005766AE">
              <w:rPr>
                <w:b/>
                <w:sz w:val="20"/>
                <w:szCs w:val="20"/>
              </w:rPr>
              <w:t xml:space="preserve">5 000 000 </w:t>
            </w:r>
            <w:r w:rsidRPr="005766AE">
              <w:rPr>
                <w:b/>
                <w:sz w:val="20"/>
                <w:szCs w:val="20"/>
              </w:rPr>
              <w:t>eur</w:t>
            </w:r>
            <w:r w:rsidRPr="005766AE">
              <w:rPr>
                <w:sz w:val="20"/>
                <w:szCs w:val="20"/>
              </w:rPr>
              <w:t>,</w:t>
            </w:r>
          </w:p>
          <w:p w:rsidR="004E2623" w:rsidRPr="005766AE" w:rsidRDefault="004E2623" w:rsidP="004E2623">
            <w:pPr>
              <w:adjustRightInd w:val="0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b) čistý obrat presiahol sumu </w:t>
            </w:r>
            <w:r w:rsidR="00766A02" w:rsidRPr="005766AE">
              <w:rPr>
                <w:b/>
                <w:sz w:val="20"/>
                <w:szCs w:val="20"/>
              </w:rPr>
              <w:t xml:space="preserve">900 000 </w:t>
            </w:r>
            <w:r w:rsidRPr="005766AE">
              <w:rPr>
                <w:b/>
                <w:sz w:val="20"/>
                <w:szCs w:val="20"/>
              </w:rPr>
              <w:t>eur</w:t>
            </w:r>
            <w:r w:rsidRPr="005766AE">
              <w:rPr>
                <w:sz w:val="20"/>
                <w:szCs w:val="20"/>
              </w:rPr>
              <w:t xml:space="preserve">, ale nepresiahol sumu </w:t>
            </w:r>
            <w:r w:rsidR="00766A02" w:rsidRPr="005766AE">
              <w:rPr>
                <w:b/>
                <w:sz w:val="20"/>
                <w:szCs w:val="20"/>
              </w:rPr>
              <w:t xml:space="preserve">10 000 000 </w:t>
            </w:r>
            <w:r w:rsidRPr="005766AE">
              <w:rPr>
                <w:b/>
                <w:sz w:val="20"/>
                <w:szCs w:val="20"/>
              </w:rPr>
              <w:t>eur,</w:t>
            </w:r>
          </w:p>
          <w:p w:rsidR="00C474B1" w:rsidRPr="005766AE" w:rsidRDefault="00C474B1" w:rsidP="004E262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C474B1" w:rsidRPr="005766AE" w:rsidTr="00C474B1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Č. 1</w:t>
            </w:r>
          </w:p>
          <w:p w:rsidR="00C474B1" w:rsidRPr="005766AE" w:rsidRDefault="00C474B1" w:rsidP="00C474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O: 2</w:t>
            </w:r>
          </w:p>
          <w:p w:rsidR="00C474B1" w:rsidRPr="005766AE" w:rsidRDefault="00C474B1" w:rsidP="00C474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lastRenderedPageBreak/>
              <w:t>P: b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893447" w:rsidP="00C474B1">
            <w:pPr>
              <w:adjustRightInd w:val="0"/>
              <w:spacing w:before="75"/>
              <w:rPr>
                <w:bCs/>
                <w:color w:val="000000"/>
                <w:sz w:val="20"/>
                <w:szCs w:val="20"/>
              </w:rPr>
            </w:pPr>
            <w:r w:rsidRPr="005766AE">
              <w:rPr>
                <w:bCs/>
                <w:color w:val="000000"/>
                <w:sz w:val="20"/>
                <w:szCs w:val="20"/>
              </w:rPr>
              <w:lastRenderedPageBreak/>
              <w:t>b) d</w:t>
            </w:r>
            <w:r w:rsidR="00C474B1" w:rsidRPr="005766AE">
              <w:rPr>
                <w:bCs/>
                <w:color w:val="000000"/>
                <w:sz w:val="20"/>
                <w:szCs w:val="20"/>
              </w:rPr>
              <w:t>ruhý pododsek sa nahrádza takto:</w:t>
            </w:r>
          </w:p>
          <w:p w:rsidR="00C474B1" w:rsidRPr="005766AE" w:rsidRDefault="00C474B1" w:rsidP="00C474B1">
            <w:pPr>
              <w:adjustRightInd w:val="0"/>
              <w:spacing w:before="75"/>
              <w:rPr>
                <w:bCs/>
                <w:color w:val="000000"/>
                <w:sz w:val="20"/>
                <w:szCs w:val="20"/>
              </w:rPr>
            </w:pPr>
            <w:r w:rsidRPr="005766AE">
              <w:rPr>
                <w:bCs/>
                <w:color w:val="000000"/>
                <w:sz w:val="20"/>
                <w:szCs w:val="20"/>
              </w:rPr>
              <w:lastRenderedPageBreak/>
              <w:t>„Členské štáty môžu vymedziť limity presahujúce limity uvedené v písmenách a) a b) prvého pododseku. Tieto limity však nesmú byť vyššie ako 7 500 000 EUR pre celkovú bilančnú sumu a 15 000 000 EUR pre čistý obrat.“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766A02" w:rsidP="008A312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lastRenderedPageBreak/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74B1" w:rsidRPr="005766AE" w:rsidRDefault="00C474B1" w:rsidP="00F30CB9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F30CB9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n. a.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3B0FCB" w:rsidRPr="005766AE" w:rsidTr="004E31F0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1</w:t>
            </w:r>
          </w:p>
          <w:p w:rsidR="003B0FCB" w:rsidRPr="005766AE" w:rsidRDefault="00C474B1" w:rsidP="00C474B1">
            <w:pPr>
              <w:jc w:val="center"/>
              <w:rPr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V odseku 3 sa písmená a) a b) nahrádzajú takto:</w:t>
            </w:r>
          </w:p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„a) celková bilančná suma: 25 000 000 EUR;</w:t>
            </w:r>
          </w:p>
          <w:p w:rsidR="003B0FCB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b) čistý obrat: 50 000 000 EUR;“.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CB" w:rsidRPr="005766AE" w:rsidRDefault="009B7ED9" w:rsidP="008A3123">
            <w:pPr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n. 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FCB" w:rsidRPr="005766AE" w:rsidRDefault="003B0FCB" w:rsidP="009B7ED9">
            <w:pPr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CB" w:rsidRPr="005766AE" w:rsidRDefault="003B0FCB" w:rsidP="003B0FCB">
            <w:pPr>
              <w:pStyle w:val="Normlny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CB" w:rsidRPr="005766AE" w:rsidRDefault="003B0FCB" w:rsidP="000213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CB" w:rsidRPr="005766AE" w:rsidRDefault="009B7ED9" w:rsidP="003B0FCB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n. a.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CB" w:rsidRPr="005766AE" w:rsidRDefault="009B7ED9" w:rsidP="003B0FCB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SR neuplatňuje na základe recitálu č. 12</w:t>
            </w:r>
            <w:r w:rsidR="00694E40" w:rsidRPr="005766AE">
              <w:rPr>
                <w:sz w:val="20"/>
                <w:szCs w:val="20"/>
              </w:rPr>
              <w:t xml:space="preserve"> smernice 2013/34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CB" w:rsidRPr="005766AE" w:rsidRDefault="0002139E" w:rsidP="003B0FCB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CB" w:rsidRPr="005766AE" w:rsidRDefault="003B0FCB" w:rsidP="003B0FCB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C474B1" w:rsidRPr="005766AE" w:rsidTr="00335491">
        <w:trPr>
          <w:trHeight w:val="1125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1</w:t>
            </w:r>
          </w:p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V odseku 4 sa písmená a) a b) nahrádzajú takto:</w:t>
            </w:r>
          </w:p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„a) celková bilančná suma: 25 000 000 EUR;</w:t>
            </w:r>
          </w:p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b) čistý obrat: 50 000 000 EUR;“.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8A3123" w:rsidP="008A312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74B1" w:rsidRPr="005766AE" w:rsidRDefault="00C474B1" w:rsidP="00C474B1">
            <w:pPr>
              <w:jc w:val="center"/>
              <w:rPr>
                <w:bCs/>
                <w:sz w:val="20"/>
                <w:szCs w:val="20"/>
              </w:rPr>
            </w:pPr>
            <w:r w:rsidRPr="005766AE">
              <w:rPr>
                <w:bCs/>
                <w:sz w:val="20"/>
                <w:szCs w:val="20"/>
              </w:rPr>
              <w:t>431/2002</w:t>
            </w:r>
          </w:p>
          <w:p w:rsidR="00C474B1" w:rsidRPr="005766AE" w:rsidRDefault="00C474B1" w:rsidP="00C474B1">
            <w:pPr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a</w:t>
            </w:r>
          </w:p>
          <w:p w:rsidR="00C474B1" w:rsidRPr="005766AE" w:rsidRDefault="00C474B1" w:rsidP="00C474B1">
            <w:pPr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Návrh</w:t>
            </w:r>
          </w:p>
          <w:p w:rsidR="00C474B1" w:rsidRPr="005766AE" w:rsidRDefault="00C474B1" w:rsidP="00C474B1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Čl. I</w:t>
            </w:r>
          </w:p>
          <w:p w:rsidR="00C474B1" w:rsidRPr="005766AE" w:rsidRDefault="00C474B1" w:rsidP="00C474B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9B7ED9" w:rsidP="00C474B1">
            <w:pPr>
              <w:pStyle w:val="Normlny0"/>
              <w:jc w:val="center"/>
            </w:pPr>
            <w:r w:rsidRPr="005766AE">
              <w:t>§ 2</w:t>
            </w:r>
          </w:p>
          <w:p w:rsidR="009B7ED9" w:rsidRPr="005766AE" w:rsidRDefault="009B7ED9" w:rsidP="00C474B1">
            <w:pPr>
              <w:pStyle w:val="Normlny0"/>
              <w:jc w:val="center"/>
            </w:pPr>
            <w:r w:rsidRPr="005766AE">
              <w:t>O: 8</w:t>
            </w:r>
          </w:p>
          <w:p w:rsidR="00B128D6" w:rsidRPr="005766AE" w:rsidRDefault="00B128D6" w:rsidP="00C474B1">
            <w:pPr>
              <w:pStyle w:val="Normlny0"/>
              <w:jc w:val="center"/>
            </w:pPr>
          </w:p>
          <w:p w:rsidR="00B128D6" w:rsidRPr="005766AE" w:rsidRDefault="00B128D6" w:rsidP="00B128D6">
            <w:pPr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P:a</w:t>
            </w:r>
          </w:p>
          <w:p w:rsidR="00B128D6" w:rsidRPr="005766AE" w:rsidRDefault="00B128D6" w:rsidP="00B128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128D6" w:rsidRPr="005766AE" w:rsidRDefault="00B128D6" w:rsidP="00B128D6">
            <w:pPr>
              <w:pStyle w:val="Normlny0"/>
              <w:jc w:val="center"/>
            </w:pPr>
            <w:r w:rsidRPr="005766AE">
              <w:rPr>
                <w:color w:val="000000"/>
              </w:rPr>
              <w:t>P:b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ED9" w:rsidRPr="005766AE" w:rsidRDefault="009B7ED9" w:rsidP="009B7ED9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Do veľkostnej skupiny veľkej účtovnej jednotky sa zatriedi účtovná jednotka, ktorá spĺňa aspoň dve z týchto podmienok:</w:t>
            </w:r>
          </w:p>
          <w:p w:rsidR="009B7ED9" w:rsidRPr="005766AE" w:rsidRDefault="009B7ED9" w:rsidP="009B7ED9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a)</w:t>
            </w:r>
            <w:r w:rsidR="00766A02" w:rsidRPr="005766AE">
              <w:rPr>
                <w:sz w:val="20"/>
                <w:szCs w:val="20"/>
              </w:rPr>
              <w:t xml:space="preserve"> </w:t>
            </w:r>
            <w:r w:rsidRPr="005766AE">
              <w:rPr>
                <w:sz w:val="20"/>
                <w:szCs w:val="20"/>
              </w:rPr>
              <w:t xml:space="preserve">celková suma majetku presiahla  </w:t>
            </w:r>
            <w:r w:rsidR="00766A02" w:rsidRPr="005766AE">
              <w:rPr>
                <w:b/>
                <w:sz w:val="20"/>
                <w:szCs w:val="20"/>
              </w:rPr>
              <w:t xml:space="preserve">5 000 000 </w:t>
            </w:r>
            <w:r w:rsidRPr="005766AE">
              <w:rPr>
                <w:b/>
                <w:sz w:val="20"/>
                <w:szCs w:val="20"/>
              </w:rPr>
              <w:t>eur,</w:t>
            </w:r>
          </w:p>
          <w:p w:rsidR="009B7ED9" w:rsidRPr="005766AE" w:rsidRDefault="009B7ED9" w:rsidP="009B7ED9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b)</w:t>
            </w:r>
            <w:r w:rsidR="00766A02" w:rsidRPr="005766AE">
              <w:rPr>
                <w:sz w:val="20"/>
                <w:szCs w:val="20"/>
              </w:rPr>
              <w:t xml:space="preserve"> </w:t>
            </w:r>
            <w:r w:rsidRPr="005766AE">
              <w:rPr>
                <w:sz w:val="20"/>
                <w:szCs w:val="20"/>
              </w:rPr>
              <w:t xml:space="preserve">čistý obrat presiahol </w:t>
            </w:r>
            <w:r w:rsidR="00766A02" w:rsidRPr="005766AE">
              <w:rPr>
                <w:b/>
                <w:sz w:val="20"/>
                <w:szCs w:val="20"/>
              </w:rPr>
              <w:t>10 000 000</w:t>
            </w:r>
            <w:r w:rsidR="00766A02" w:rsidRPr="005766AE">
              <w:rPr>
                <w:sz w:val="20"/>
                <w:szCs w:val="20"/>
              </w:rPr>
              <w:t xml:space="preserve"> </w:t>
            </w:r>
            <w:r w:rsidRPr="005766AE">
              <w:rPr>
                <w:b/>
                <w:sz w:val="20"/>
                <w:szCs w:val="20"/>
              </w:rPr>
              <w:t>eur</w:t>
            </w:r>
            <w:r w:rsidRPr="005766AE">
              <w:rPr>
                <w:sz w:val="20"/>
                <w:szCs w:val="20"/>
              </w:rPr>
              <w:t>,</w:t>
            </w:r>
          </w:p>
          <w:p w:rsidR="00C474B1" w:rsidRPr="005766AE" w:rsidRDefault="00C474B1" w:rsidP="00766A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C474B1" w:rsidRPr="005766AE" w:rsidTr="00335491">
        <w:trPr>
          <w:trHeight w:val="1125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1</w:t>
            </w:r>
          </w:p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O:5</w:t>
            </w:r>
          </w:p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P: 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Odsek 5 sa mení takto:</w:t>
            </w:r>
          </w:p>
          <w:p w:rsidR="00C474B1" w:rsidRPr="005766AE" w:rsidRDefault="00EF56D9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a) p</w:t>
            </w:r>
            <w:r w:rsidR="00C474B1" w:rsidRPr="005766AE">
              <w:rPr>
                <w:color w:val="000000"/>
                <w:sz w:val="20"/>
                <w:szCs w:val="20"/>
              </w:rPr>
              <w:t>ísmená a) a b) sa nahrádzajú takto:</w:t>
            </w:r>
          </w:p>
          <w:p w:rsidR="00E01864" w:rsidRPr="005766AE" w:rsidRDefault="00E01864" w:rsidP="00C474B1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„a) celková bilančná suma: 5 000 000 EUR;</w:t>
            </w:r>
          </w:p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b) čistý obrat: 10 000 000 EUR;“;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9B7ED9" w:rsidP="008A312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n. 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74B1" w:rsidRPr="005766AE" w:rsidRDefault="00C474B1" w:rsidP="00C474B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pStyle w:val="Normlny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9B7ED9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n. a.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2D2D7D" w:rsidP="00C474B1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bCs/>
                <w:sz w:val="20"/>
                <w:szCs w:val="20"/>
              </w:rPr>
              <w:t>Uplatňuje sa nariadenie 1606/2002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C474B1" w:rsidRPr="005766AE" w:rsidTr="00335491">
        <w:trPr>
          <w:trHeight w:val="1125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1</w:t>
            </w:r>
          </w:p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O:5</w:t>
            </w:r>
          </w:p>
          <w:p w:rsidR="00C474B1" w:rsidRPr="005766AE" w:rsidRDefault="00C474B1" w:rsidP="00E01864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P: b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b) Druhý pododsek sa nahrádza takto:</w:t>
            </w:r>
          </w:p>
          <w:p w:rsidR="00C474B1" w:rsidRPr="005766AE" w:rsidRDefault="00C474B1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„Členské štáty môžu vymedziť limity presahujúce limity uvedené v písmenách a) a b) prvého pododseku. Tieto limity však nesmú byť vyššie ako 7 500 000 EUR pre celkovú bilančnú sumu a 15 000 000 EUR pre čistý obrat.“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9B7ED9" w:rsidP="008A312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n. 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74B1" w:rsidRPr="005766AE" w:rsidRDefault="00C474B1" w:rsidP="00C474B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pStyle w:val="Normlny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9B7ED9" w:rsidP="00C474B1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n. a.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4B1" w:rsidRPr="005766AE" w:rsidRDefault="00C474B1" w:rsidP="00C474B1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EA05D4" w:rsidRPr="005766AE" w:rsidTr="00335491">
        <w:trPr>
          <w:trHeight w:val="1125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1</w:t>
            </w:r>
          </w:p>
          <w:p w:rsidR="00EA05D4" w:rsidRPr="005766AE" w:rsidRDefault="00EA05D4" w:rsidP="00204287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V odseku 6 sa písmená a) a b) nahrádzajú takto:</w:t>
            </w:r>
          </w:p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„a) celková bilančná suma: 25 000 000 EUR;</w:t>
            </w:r>
          </w:p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b) čistý obrat: 50 000 000 EUR;“.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05D4" w:rsidRPr="005766AE" w:rsidRDefault="00EA05D4" w:rsidP="00204287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05D4" w:rsidRPr="005766AE" w:rsidRDefault="00EA05D4" w:rsidP="00EA05D4">
            <w:pPr>
              <w:jc w:val="center"/>
              <w:rPr>
                <w:bCs/>
                <w:sz w:val="20"/>
                <w:szCs w:val="20"/>
              </w:rPr>
            </w:pPr>
            <w:r w:rsidRPr="005766AE">
              <w:rPr>
                <w:bCs/>
                <w:sz w:val="20"/>
                <w:szCs w:val="20"/>
              </w:rPr>
              <w:t>431/2002</w:t>
            </w:r>
          </w:p>
          <w:p w:rsidR="00EA05D4" w:rsidRPr="005766AE" w:rsidRDefault="00EA05D4" w:rsidP="00EA05D4">
            <w:pPr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a</w:t>
            </w:r>
          </w:p>
          <w:p w:rsidR="00EA05D4" w:rsidRPr="005766AE" w:rsidRDefault="00EA05D4" w:rsidP="00EA05D4">
            <w:pPr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Návrh</w:t>
            </w:r>
          </w:p>
          <w:p w:rsidR="00EA05D4" w:rsidRPr="005766AE" w:rsidRDefault="00EA05D4" w:rsidP="00EA05D4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Čl. I</w:t>
            </w:r>
          </w:p>
          <w:p w:rsidR="00EA05D4" w:rsidRPr="005766AE" w:rsidRDefault="00EA05D4" w:rsidP="0020428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pStyle w:val="Normlny0"/>
              <w:jc w:val="center"/>
            </w:pPr>
            <w:r w:rsidRPr="005766AE">
              <w:t>§ 22</w:t>
            </w:r>
          </w:p>
          <w:p w:rsidR="00EA05D4" w:rsidRPr="005766AE" w:rsidRDefault="00EA05D4" w:rsidP="00204287">
            <w:pPr>
              <w:pStyle w:val="Normlny0"/>
              <w:jc w:val="center"/>
            </w:pPr>
            <w:r w:rsidRPr="005766AE">
              <w:t>O: 10</w:t>
            </w: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  <w:r w:rsidRPr="005766AE">
              <w:t>P: a</w:t>
            </w: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B128D6" w:rsidRPr="005766AE" w:rsidRDefault="00B128D6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  <w:r w:rsidRPr="005766AE">
              <w:t>B: 1</w:t>
            </w: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</w:p>
          <w:p w:rsidR="00EA05D4" w:rsidRPr="005766AE" w:rsidRDefault="00EA05D4" w:rsidP="00204287">
            <w:pPr>
              <w:pStyle w:val="Normlny0"/>
              <w:jc w:val="center"/>
            </w:pPr>
            <w:r w:rsidRPr="005766AE">
              <w:t>B: 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EA05D4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lastRenderedPageBreak/>
              <w:t>Materská účtovná jednotka nemá povinnosť zostaviť konsolidovanú účtovnú závierku, ak ku dňu, ku ktorému sa zostavuje konsolidovaná účtovná závierka</w:t>
            </w:r>
          </w:p>
          <w:p w:rsidR="00EA05D4" w:rsidRPr="005766AE" w:rsidRDefault="00EA05D4" w:rsidP="00EA05D4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a) na základe individuálnej účtovnej závierky materskej účtovnej jednotky a individuálnych účtovných závierok všetkých jej dcérskych účtovných </w:t>
            </w:r>
            <w:r w:rsidRPr="005766AE">
              <w:rPr>
                <w:sz w:val="20"/>
                <w:szCs w:val="20"/>
              </w:rPr>
              <w:lastRenderedPageBreak/>
              <w:t>jednotiek, nie sú splnené aspoň dve z týchto podmienok:</w:t>
            </w:r>
          </w:p>
          <w:p w:rsidR="00EA05D4" w:rsidRPr="005766AE" w:rsidRDefault="00EA05D4" w:rsidP="00EA05D4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1. celková suma majetku materskej účtovnej jednotky a všetkých jej dcérskych účtovných jednotiek je väčšia ako  </w:t>
            </w:r>
            <w:r w:rsidRPr="005766AE">
              <w:rPr>
                <w:b/>
                <w:sz w:val="20"/>
                <w:szCs w:val="20"/>
              </w:rPr>
              <w:t>30 000 000 eur</w:t>
            </w:r>
            <w:r w:rsidRPr="005766AE">
              <w:rPr>
                <w:sz w:val="20"/>
                <w:szCs w:val="20"/>
              </w:rPr>
              <w:t>, pričom sumou majetku sa na tento účel rozumie suma majetku zistená zo súvah v ocenení upravenom o položky podľa § 26 ods. 3,</w:t>
            </w:r>
          </w:p>
          <w:p w:rsidR="00EA05D4" w:rsidRPr="005766AE" w:rsidRDefault="00EA05D4" w:rsidP="00EA05D4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2. čistý obrat materskej účtovnej jednotky a všetkých jej dcérskych účtovných jednotiek je vyšší ako </w:t>
            </w:r>
            <w:r w:rsidRPr="005766AE">
              <w:rPr>
                <w:b/>
                <w:sz w:val="20"/>
                <w:szCs w:val="20"/>
              </w:rPr>
              <w:t>60 000 000 eur</w:t>
            </w:r>
            <w:r w:rsidRPr="005766AE">
              <w:rPr>
                <w:sz w:val="20"/>
                <w:szCs w:val="20"/>
              </w:rPr>
              <w:t>,</w:t>
            </w:r>
          </w:p>
          <w:p w:rsidR="00EA05D4" w:rsidRPr="005766AE" w:rsidRDefault="00EA05D4" w:rsidP="00EA05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D4" w:rsidRDefault="00EA05D4" w:rsidP="00204287">
            <w:pPr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Uplatňuje sa nariadenie 1606/2002</w:t>
            </w:r>
          </w:p>
          <w:p w:rsidR="00943BEF" w:rsidRDefault="00943BEF" w:rsidP="00204287">
            <w:pPr>
              <w:rPr>
                <w:sz w:val="20"/>
                <w:szCs w:val="20"/>
              </w:rPr>
            </w:pPr>
          </w:p>
          <w:p w:rsidR="00943BEF" w:rsidRDefault="00943BEF" w:rsidP="00204287">
            <w:pPr>
              <w:rPr>
                <w:sz w:val="20"/>
                <w:szCs w:val="20"/>
              </w:rPr>
            </w:pPr>
          </w:p>
          <w:p w:rsidR="00943BEF" w:rsidRDefault="00943BEF" w:rsidP="00204287">
            <w:pPr>
              <w:rPr>
                <w:sz w:val="20"/>
                <w:szCs w:val="20"/>
              </w:rPr>
            </w:pPr>
          </w:p>
          <w:p w:rsidR="00943BEF" w:rsidRDefault="00943BEF" w:rsidP="00204287">
            <w:pPr>
              <w:rPr>
                <w:sz w:val="20"/>
                <w:szCs w:val="20"/>
              </w:rPr>
            </w:pPr>
          </w:p>
          <w:p w:rsidR="00943BEF" w:rsidRDefault="00943BEF" w:rsidP="00204287">
            <w:pPr>
              <w:rPr>
                <w:sz w:val="20"/>
                <w:szCs w:val="20"/>
              </w:rPr>
            </w:pPr>
          </w:p>
          <w:p w:rsidR="00943BEF" w:rsidRDefault="00943BEF" w:rsidP="00204287">
            <w:pPr>
              <w:rPr>
                <w:sz w:val="20"/>
                <w:szCs w:val="20"/>
              </w:rPr>
            </w:pPr>
          </w:p>
          <w:p w:rsidR="00943BEF" w:rsidRDefault="00943BEF" w:rsidP="00204287">
            <w:pPr>
              <w:rPr>
                <w:sz w:val="20"/>
                <w:szCs w:val="20"/>
              </w:rPr>
            </w:pPr>
          </w:p>
          <w:p w:rsidR="00943BEF" w:rsidRDefault="00943BEF" w:rsidP="00204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súlade s čl. 3 ods. 8 smernice 2013/34/EÚ ide o navýšenie o 20%</w:t>
            </w:r>
            <w:bookmarkStart w:id="0" w:name="_GoBack"/>
            <w:bookmarkEnd w:id="0"/>
          </w:p>
          <w:p w:rsidR="00943BEF" w:rsidRPr="005766AE" w:rsidRDefault="00943BEF" w:rsidP="00204287"/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05D4" w:rsidRPr="005766AE" w:rsidRDefault="00EA05D4" w:rsidP="00204287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lastRenderedPageBreak/>
              <w:t>GP - 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05D4" w:rsidRPr="005766AE" w:rsidRDefault="00EA05D4" w:rsidP="00204287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EA05D4" w:rsidRPr="005766AE" w:rsidTr="00646F33">
        <w:trPr>
          <w:trHeight w:val="696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1</w:t>
            </w:r>
          </w:p>
          <w:p w:rsidR="00EA05D4" w:rsidRPr="005766AE" w:rsidRDefault="00EA05D4" w:rsidP="00204287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V odseku 7 sa písmená a) a b) nahrádzajú takto:</w:t>
            </w:r>
          </w:p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„a) celková bilančná suma: 25 000 000 EUR;</w:t>
            </w:r>
          </w:p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b) čistý obrat: 50 000 000 EUR;“.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05D4" w:rsidRPr="005766AE" w:rsidRDefault="00EA05D4" w:rsidP="00204287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EA05D4" w:rsidRPr="005766AE" w:rsidRDefault="00EA05D4" w:rsidP="00EA05D4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pStyle w:val="Normlny0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5D4" w:rsidRPr="005766AE" w:rsidRDefault="00EA05D4" w:rsidP="00204287"/>
        </w:tc>
        <w:tc>
          <w:tcPr>
            <w:tcW w:w="104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05D4" w:rsidRPr="005766AE" w:rsidRDefault="00EA05D4" w:rsidP="00204287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05D4" w:rsidRPr="005766AE" w:rsidRDefault="00EA05D4" w:rsidP="00204287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204287" w:rsidRPr="005766AE" w:rsidTr="00EA6FA9">
        <w:trPr>
          <w:trHeight w:val="112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04287" w:rsidRPr="005766AE" w:rsidRDefault="00204287" w:rsidP="00E01864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2</w:t>
            </w:r>
          </w:p>
          <w:p w:rsidR="00204287" w:rsidRPr="005766AE" w:rsidRDefault="00204287" w:rsidP="00E01864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E01864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Transpozícia</w:t>
            </w:r>
          </w:p>
          <w:p w:rsidR="00204287" w:rsidRPr="005766AE" w:rsidRDefault="00204287" w:rsidP="00E01864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Členské štáty uvedú do účinnosti zákony, iné právne predpisy a správne opatrenia potrebné na dosiahnutie súladu s touto smernicou najneskôr do 24. decembra 2024. Znenie týchto ustanovení bezodkladne oznámia Komisii.</w:t>
            </w:r>
          </w:p>
          <w:p w:rsidR="00204287" w:rsidRPr="005766AE" w:rsidRDefault="00204287" w:rsidP="00E01864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4287" w:rsidRPr="005766AE" w:rsidRDefault="00204287" w:rsidP="00E0186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E01864">
            <w:pPr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Návrh</w:t>
            </w:r>
          </w:p>
          <w:p w:rsidR="00204287" w:rsidRPr="005766AE" w:rsidRDefault="00204287" w:rsidP="00E01864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 xml:space="preserve">Čl. </w:t>
            </w:r>
            <w:r w:rsidR="00766A02" w:rsidRPr="005766AE">
              <w:rPr>
                <w:b/>
                <w:color w:val="000000"/>
                <w:sz w:val="20"/>
                <w:szCs w:val="20"/>
              </w:rPr>
              <w:t>V</w:t>
            </w:r>
            <w:r w:rsidRPr="005766AE">
              <w:rPr>
                <w:b/>
                <w:color w:val="000000"/>
                <w:sz w:val="20"/>
                <w:szCs w:val="20"/>
              </w:rPr>
              <w:t>I</w:t>
            </w:r>
          </w:p>
          <w:p w:rsidR="00204287" w:rsidRPr="005766AE" w:rsidRDefault="00204287" w:rsidP="00E0186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5611B5">
            <w:pPr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E01864">
            <w:pPr>
              <w:jc w:val="both"/>
              <w:rPr>
                <w:b/>
                <w:sz w:val="20"/>
                <w:szCs w:val="20"/>
              </w:rPr>
            </w:pPr>
            <w:r w:rsidRPr="005766AE">
              <w:rPr>
                <w:b/>
                <w:sz w:val="20"/>
                <w:szCs w:val="20"/>
              </w:rPr>
              <w:t>Tento zákon nadobúda účinnosť</w:t>
            </w:r>
            <w:r w:rsidR="00766A02" w:rsidRPr="005766AE">
              <w:rPr>
                <w:b/>
                <w:sz w:val="20"/>
                <w:szCs w:val="20"/>
              </w:rPr>
              <w:t xml:space="preserve"> 1. júna 2024</w:t>
            </w:r>
            <w:r w:rsidR="005611B5" w:rsidRPr="005766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E01864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E01864">
            <w:pPr>
              <w:spacing w:before="75" w:after="75"/>
              <w:rPr>
                <w:sz w:val="20"/>
                <w:szCs w:val="20"/>
              </w:rPr>
            </w:pPr>
          </w:p>
          <w:p w:rsidR="00204287" w:rsidRPr="005766AE" w:rsidRDefault="00204287" w:rsidP="00E01864">
            <w:pPr>
              <w:spacing w:before="75" w:after="75"/>
              <w:rPr>
                <w:sz w:val="20"/>
                <w:szCs w:val="20"/>
              </w:rPr>
            </w:pPr>
          </w:p>
          <w:p w:rsidR="00204287" w:rsidRPr="005766AE" w:rsidRDefault="00204287" w:rsidP="00E01864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4287" w:rsidRDefault="00204287" w:rsidP="00641BCC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GP </w:t>
            </w:r>
            <w:r w:rsidR="00641BCC">
              <w:rPr>
                <w:sz w:val="20"/>
                <w:szCs w:val="20"/>
              </w:rPr>
              <w:t>–</w:t>
            </w:r>
            <w:r w:rsidRPr="005766AE">
              <w:rPr>
                <w:sz w:val="20"/>
                <w:szCs w:val="20"/>
              </w:rPr>
              <w:t xml:space="preserve"> </w:t>
            </w:r>
            <w:r w:rsidR="00641BCC">
              <w:rPr>
                <w:sz w:val="20"/>
                <w:szCs w:val="20"/>
              </w:rPr>
              <w:t>A</w:t>
            </w:r>
          </w:p>
          <w:p w:rsidR="00641BCC" w:rsidRPr="005766AE" w:rsidRDefault="00641BCC" w:rsidP="00641BCC">
            <w:pPr>
              <w:spacing w:before="75" w:after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skoršia transpozícia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4287" w:rsidRPr="005766AE" w:rsidRDefault="00641BCC" w:rsidP="00E01864">
            <w:pPr>
              <w:spacing w:before="75" w:after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Oblasť s vplyvom na podnikateľké prostredie</w:t>
            </w:r>
          </w:p>
        </w:tc>
      </w:tr>
      <w:tr w:rsidR="00204287" w:rsidRPr="005766AE" w:rsidTr="004B0F18">
        <w:trPr>
          <w:trHeight w:val="699"/>
        </w:trPr>
        <w:tc>
          <w:tcPr>
            <w:tcW w:w="6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04287" w:rsidRPr="005766AE" w:rsidRDefault="00204287" w:rsidP="00204287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204287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204287" w:rsidRPr="005766AE" w:rsidRDefault="00204287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Uplatňujú tieto ustanovenia v účtovných rokoch začínajúcich sa 1. januára 2024 alebo neskôr.</w:t>
            </w:r>
          </w:p>
          <w:p w:rsidR="00204287" w:rsidRPr="005766AE" w:rsidRDefault="00204287" w:rsidP="00204287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204287" w:rsidRPr="005766AE" w:rsidRDefault="00204287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Odchylne od druhého pododseku môžu členské štáty umožniť podnikom, aby uplatňovali uvedené ustanovenia v účtovnom roku začínajúcom sa 1. januára 2023 alebo neskôr.</w:t>
            </w:r>
          </w:p>
          <w:p w:rsidR="00204287" w:rsidRPr="005766AE" w:rsidRDefault="00204287" w:rsidP="00204287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204287" w:rsidRPr="005766AE" w:rsidRDefault="00204287" w:rsidP="00204287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4287" w:rsidRPr="005766AE" w:rsidRDefault="00204287" w:rsidP="00204287">
            <w:pPr>
              <w:adjustRightInd w:val="0"/>
              <w:jc w:val="center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</w:t>
            </w:r>
          </w:p>
          <w:p w:rsidR="00694E40" w:rsidRPr="005766AE" w:rsidRDefault="00694E40" w:rsidP="00204287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694E40" w:rsidRPr="005766AE" w:rsidRDefault="00694E40" w:rsidP="00204287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694E40" w:rsidRPr="005766AE" w:rsidRDefault="00694E40" w:rsidP="00204287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694E40" w:rsidRPr="005766AE" w:rsidRDefault="00694E40" w:rsidP="00204287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694E40" w:rsidRPr="005766AE" w:rsidRDefault="00694E40" w:rsidP="00204287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204287">
            <w:pPr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Návrh</w:t>
            </w:r>
          </w:p>
          <w:p w:rsidR="00204287" w:rsidRPr="005766AE" w:rsidRDefault="00204287" w:rsidP="00204287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Čl. I</w:t>
            </w:r>
          </w:p>
          <w:p w:rsidR="00204287" w:rsidRPr="005766AE" w:rsidRDefault="00204287" w:rsidP="005611B5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766A02" w:rsidP="00766A02">
            <w:pPr>
              <w:pStyle w:val="Normlny0"/>
              <w:jc w:val="center"/>
            </w:pPr>
            <w:r w:rsidRPr="005766AE">
              <w:t>§ 39zc</w:t>
            </w:r>
          </w:p>
          <w:p w:rsidR="004B0F18" w:rsidRPr="005766AE" w:rsidRDefault="004B0F18" w:rsidP="00766A02">
            <w:pPr>
              <w:pStyle w:val="Normlny0"/>
              <w:jc w:val="center"/>
            </w:pPr>
          </w:p>
          <w:p w:rsidR="004B0F18" w:rsidRPr="005766AE" w:rsidRDefault="004B0F18" w:rsidP="00766A02">
            <w:pPr>
              <w:pStyle w:val="Normlny0"/>
              <w:jc w:val="center"/>
            </w:pPr>
          </w:p>
          <w:p w:rsidR="00766A02" w:rsidRPr="005766AE" w:rsidRDefault="00766A02" w:rsidP="00766A02">
            <w:pPr>
              <w:pStyle w:val="Normlny0"/>
              <w:jc w:val="center"/>
            </w:pPr>
            <w:r w:rsidRPr="005766AE">
              <w:t>O: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02" w:rsidRPr="005766AE" w:rsidRDefault="00766A02" w:rsidP="00766A02">
            <w:pPr>
              <w:jc w:val="both"/>
              <w:rPr>
                <w:b/>
                <w:sz w:val="20"/>
                <w:szCs w:val="20"/>
              </w:rPr>
            </w:pPr>
            <w:r w:rsidRPr="005766AE">
              <w:rPr>
                <w:b/>
                <w:sz w:val="20"/>
                <w:szCs w:val="20"/>
              </w:rPr>
              <w:t>Prechodné ustanovenia k úpravám účinným od 1. júna 2024</w:t>
            </w:r>
          </w:p>
          <w:p w:rsidR="00766A02" w:rsidRPr="005766AE" w:rsidRDefault="00766A02" w:rsidP="00766A02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ab/>
            </w:r>
          </w:p>
          <w:p w:rsidR="00204287" w:rsidRPr="005766AE" w:rsidRDefault="00766A02" w:rsidP="00B00770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 xml:space="preserve">Ustanovenia § 2 ods. 6 písm. a) a b), ods. 7 písm. a) a b), ods. 8 písm. a) a b), § 20 ods. 10 písm. a) a b),  § 21c ods.  1, ods. 2 písm. a) a ods. 4, § 22 ods. 10 písm. a) prvého bodu a druhého bodu a § 22 ods. 10 písm. b) prvého bodu a druhého bodu v znení účinnom od 1. júna 2024 sa prvýkrát použijú na posudzovanie veľkostných </w:t>
            </w:r>
            <w:r w:rsidR="00B00770">
              <w:rPr>
                <w:sz w:val="20"/>
                <w:szCs w:val="20"/>
              </w:rPr>
              <w:t>podmienok</w:t>
            </w:r>
            <w:r w:rsidRPr="005766AE">
              <w:rPr>
                <w:sz w:val="20"/>
                <w:szCs w:val="20"/>
              </w:rPr>
              <w:t xml:space="preserve"> za bezprostredne predchádzajúce účtovné obdobie končiace 31. decembra 2023.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204287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87" w:rsidRPr="005766AE" w:rsidRDefault="00204287" w:rsidP="00204287">
            <w:pPr>
              <w:spacing w:before="75" w:after="75"/>
              <w:rPr>
                <w:sz w:val="20"/>
                <w:szCs w:val="20"/>
              </w:rPr>
            </w:pPr>
          </w:p>
          <w:p w:rsidR="00204287" w:rsidRPr="005766AE" w:rsidRDefault="00204287" w:rsidP="00204287">
            <w:pPr>
              <w:spacing w:before="75" w:after="75"/>
              <w:rPr>
                <w:sz w:val="20"/>
                <w:szCs w:val="20"/>
              </w:rPr>
            </w:pPr>
          </w:p>
          <w:p w:rsidR="00204287" w:rsidRPr="005766AE" w:rsidRDefault="00204287" w:rsidP="0020428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4287" w:rsidRPr="005766AE" w:rsidRDefault="00204287" w:rsidP="00204287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4287" w:rsidRPr="005766AE" w:rsidRDefault="00204287" w:rsidP="00204287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B678F9" w:rsidRPr="005766AE" w:rsidTr="000A2B6B">
        <w:trPr>
          <w:trHeight w:val="1125"/>
        </w:trPr>
        <w:tc>
          <w:tcPr>
            <w:tcW w:w="6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Členské štáty uvedú priamo v prijatých ustanoveniach alebo pri ich úradnom uverejnení odkaz na túto smernicu. Podrobnosti o odkaze upravia členské štáty.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jc w:val="center"/>
              <w:rPr>
                <w:bCs/>
                <w:sz w:val="20"/>
                <w:szCs w:val="20"/>
              </w:rPr>
            </w:pPr>
            <w:r w:rsidRPr="005766AE">
              <w:rPr>
                <w:bCs/>
                <w:sz w:val="20"/>
                <w:szCs w:val="20"/>
              </w:rPr>
              <w:t>431/2002</w:t>
            </w:r>
          </w:p>
          <w:p w:rsidR="00D05FDE" w:rsidRPr="005766AE" w:rsidRDefault="00D05FDE" w:rsidP="00B678F9">
            <w:pPr>
              <w:rPr>
                <w:color w:val="000000"/>
                <w:sz w:val="20"/>
                <w:szCs w:val="20"/>
              </w:rPr>
            </w:pPr>
          </w:p>
          <w:p w:rsidR="00D05FDE" w:rsidRPr="005766AE" w:rsidRDefault="00D05FDE" w:rsidP="00B678F9">
            <w:pPr>
              <w:rPr>
                <w:color w:val="000000"/>
                <w:sz w:val="20"/>
                <w:szCs w:val="20"/>
              </w:rPr>
            </w:pPr>
          </w:p>
          <w:p w:rsidR="00D05FDE" w:rsidRPr="005766AE" w:rsidRDefault="00D05FDE" w:rsidP="00D05FDE">
            <w:pPr>
              <w:jc w:val="center"/>
              <w:rPr>
                <w:bCs/>
                <w:sz w:val="20"/>
                <w:szCs w:val="20"/>
              </w:rPr>
            </w:pPr>
            <w:r w:rsidRPr="005766AE">
              <w:rPr>
                <w:bCs/>
                <w:sz w:val="20"/>
                <w:szCs w:val="20"/>
              </w:rPr>
              <w:t>431/2002</w:t>
            </w:r>
          </w:p>
          <w:p w:rsidR="00B678F9" w:rsidRPr="005766AE" w:rsidRDefault="00B678F9" w:rsidP="00B678F9">
            <w:pPr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a</w:t>
            </w:r>
          </w:p>
          <w:p w:rsidR="00B678F9" w:rsidRPr="005766AE" w:rsidRDefault="00B678F9" w:rsidP="00B678F9">
            <w:pPr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lastRenderedPageBreak/>
              <w:t>Návrh</w:t>
            </w:r>
          </w:p>
          <w:p w:rsidR="00B678F9" w:rsidRPr="005766AE" w:rsidRDefault="00B678F9" w:rsidP="00B678F9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Čl. I</w:t>
            </w:r>
          </w:p>
          <w:p w:rsidR="00B678F9" w:rsidRPr="005766AE" w:rsidRDefault="00B678F9" w:rsidP="00D05FDE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pStyle w:val="Normlny0"/>
              <w:jc w:val="center"/>
            </w:pPr>
            <w:r w:rsidRPr="005766AE">
              <w:lastRenderedPageBreak/>
              <w:t>§ 39c</w:t>
            </w:r>
          </w:p>
          <w:p w:rsidR="00B678F9" w:rsidRPr="005766AE" w:rsidRDefault="00B678F9" w:rsidP="00B678F9">
            <w:pPr>
              <w:pStyle w:val="Normlny0"/>
              <w:jc w:val="center"/>
            </w:pPr>
          </w:p>
          <w:p w:rsidR="00B678F9" w:rsidRPr="005766AE" w:rsidRDefault="00B678F9" w:rsidP="00B678F9">
            <w:pPr>
              <w:pStyle w:val="Normlny0"/>
              <w:jc w:val="center"/>
            </w:pPr>
          </w:p>
          <w:p w:rsidR="00B678F9" w:rsidRPr="005766AE" w:rsidRDefault="00B678F9" w:rsidP="00B678F9">
            <w:pPr>
              <w:pStyle w:val="Normlny0"/>
              <w:jc w:val="center"/>
            </w:pPr>
            <w:r w:rsidRPr="005766AE">
              <w:t>Príloha</w:t>
            </w:r>
          </w:p>
          <w:p w:rsidR="00B678F9" w:rsidRPr="005766AE" w:rsidRDefault="00B678F9" w:rsidP="00B678F9">
            <w:pPr>
              <w:pStyle w:val="Normlny0"/>
              <w:jc w:val="center"/>
            </w:pPr>
          </w:p>
          <w:p w:rsidR="00B678F9" w:rsidRPr="005766AE" w:rsidRDefault="00B678F9" w:rsidP="00B678F9">
            <w:pPr>
              <w:pStyle w:val="Normlny0"/>
              <w:jc w:val="center"/>
            </w:pPr>
          </w:p>
          <w:p w:rsidR="00B678F9" w:rsidRPr="005766AE" w:rsidRDefault="00B678F9" w:rsidP="00B678F9">
            <w:pPr>
              <w:pStyle w:val="Normlny0"/>
              <w:jc w:val="center"/>
            </w:pPr>
            <w:r w:rsidRPr="005766AE">
              <w:t>Bod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lastRenderedPageBreak/>
              <w:t>Týmto zákonom sa preberajú právne záväzné akty Európskej únie uvedené v prílohe.</w:t>
            </w:r>
          </w:p>
          <w:p w:rsidR="00B678F9" w:rsidRPr="005766AE" w:rsidRDefault="00B678F9" w:rsidP="00B678F9">
            <w:pPr>
              <w:jc w:val="both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Zoznam preberaných právne záväzných aktov Európskej únie</w:t>
            </w:r>
          </w:p>
          <w:p w:rsidR="00B678F9" w:rsidRPr="005766AE" w:rsidRDefault="00B678F9" w:rsidP="00B678F9">
            <w:pPr>
              <w:jc w:val="both"/>
              <w:rPr>
                <w:sz w:val="20"/>
                <w:szCs w:val="20"/>
              </w:rPr>
            </w:pPr>
          </w:p>
          <w:p w:rsidR="00B678F9" w:rsidRPr="005766AE" w:rsidRDefault="00B678F9" w:rsidP="00B678F9">
            <w:pPr>
              <w:jc w:val="both"/>
              <w:rPr>
                <w:sz w:val="20"/>
                <w:szCs w:val="20"/>
              </w:rPr>
            </w:pPr>
            <w:r w:rsidRPr="005766AE">
              <w:rPr>
                <w:b/>
                <w:sz w:val="20"/>
                <w:szCs w:val="20"/>
              </w:rPr>
              <w:t xml:space="preserve">13. Delegovaná smernica Komisie </w:t>
            </w:r>
            <w:r w:rsidR="00D05FDE" w:rsidRPr="005766AE">
              <w:rPr>
                <w:b/>
                <w:sz w:val="20"/>
                <w:szCs w:val="20"/>
              </w:rPr>
              <w:t xml:space="preserve">(EÚ) </w:t>
            </w:r>
            <w:r w:rsidRPr="005766AE">
              <w:rPr>
                <w:b/>
                <w:sz w:val="20"/>
                <w:szCs w:val="20"/>
              </w:rPr>
              <w:t>2023/2775  z 17. októbra 2023, ktorou sa mení smernica Európskeho parlamentu a Rady 2013/34/EÚ, pokiaľ ide o úpravy veľkostných kritérií pre mikropodniky</w:t>
            </w:r>
            <w:r w:rsidRPr="005766AE">
              <w:rPr>
                <w:sz w:val="20"/>
                <w:szCs w:val="20"/>
              </w:rPr>
              <w:t xml:space="preserve">, </w:t>
            </w:r>
            <w:r w:rsidRPr="005766AE">
              <w:rPr>
                <w:b/>
                <w:sz w:val="20"/>
                <w:szCs w:val="20"/>
              </w:rPr>
              <w:t>malé, stredné a veľké podniky alebo skupiny (Ú. v. EÚ L,</w:t>
            </w:r>
            <w:r w:rsidR="00D05FDE" w:rsidRPr="005766AE">
              <w:rPr>
                <w:b/>
                <w:sz w:val="20"/>
                <w:szCs w:val="20"/>
              </w:rPr>
              <w:t xml:space="preserve"> </w:t>
            </w:r>
            <w:r w:rsidR="00D05FDE" w:rsidRPr="005766AE">
              <w:rPr>
                <w:rStyle w:val="Zvraznenie"/>
                <w:b/>
                <w:i w:val="0"/>
                <w:color w:val="333333"/>
                <w:sz w:val="20"/>
                <w:szCs w:val="20"/>
                <w:shd w:val="clear" w:color="auto" w:fill="FFFFFF"/>
              </w:rPr>
              <w:t>2023/2775</w:t>
            </w:r>
            <w:r w:rsidR="00D05FDE" w:rsidRPr="005766AE">
              <w:rPr>
                <w:rStyle w:val="Zvraznenie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5766AE">
              <w:rPr>
                <w:b/>
                <w:sz w:val="20"/>
                <w:szCs w:val="20"/>
              </w:rPr>
              <w:t xml:space="preserve"> 21.12.2023).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  <w:p w:rsidR="00B678F9" w:rsidRPr="005766AE" w:rsidRDefault="00B678F9" w:rsidP="00B678F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B678F9" w:rsidRPr="005766AE" w:rsidTr="00CC028D">
        <w:trPr>
          <w:trHeight w:val="1125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2</w:t>
            </w:r>
          </w:p>
          <w:p w:rsidR="00B678F9" w:rsidRPr="005766AE" w:rsidRDefault="00B678F9" w:rsidP="00B678F9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O:2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Členské štáty oznámia Komisii znenie hlavných ustanovení vnútroštátneho práva, ktoré prijmú v oblasti pôsobnosti tejto smernice.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575/2001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8F9" w:rsidRPr="005766AE" w:rsidRDefault="00B678F9" w:rsidP="00B678F9">
            <w:pPr>
              <w:pStyle w:val="Normlny0"/>
              <w:jc w:val="center"/>
            </w:pPr>
            <w:r w:rsidRPr="005766AE">
              <w:t xml:space="preserve">§ 35 </w:t>
            </w:r>
          </w:p>
          <w:p w:rsidR="00B678F9" w:rsidRPr="005766AE" w:rsidRDefault="00B678F9" w:rsidP="00B678F9">
            <w:pPr>
              <w:pStyle w:val="Normlny0"/>
              <w:jc w:val="center"/>
            </w:pPr>
            <w:r w:rsidRPr="005766AE">
              <w:t>O:7</w:t>
            </w:r>
          </w:p>
          <w:p w:rsidR="00B678F9" w:rsidRPr="005766AE" w:rsidRDefault="00B678F9" w:rsidP="00B678F9">
            <w:pPr>
              <w:pStyle w:val="Normlny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8F9" w:rsidRPr="005766AE" w:rsidRDefault="00B678F9" w:rsidP="00B678F9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  <w:r w:rsidRPr="005766AE">
              <w:rPr>
                <w:sz w:val="20"/>
                <w:szCs w:val="20"/>
              </w:rPr>
              <w:t>GP -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B678F9" w:rsidRPr="005766AE" w:rsidTr="00C474B1">
        <w:trPr>
          <w:trHeight w:val="1125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3</w:t>
            </w:r>
          </w:p>
          <w:p w:rsidR="00B678F9" w:rsidRPr="005766AE" w:rsidRDefault="00B678F9" w:rsidP="00B678F9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Nadobudnutie účinnosti</w:t>
            </w:r>
          </w:p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Táto smernica nadobúda účinnosť tretím dňom po jej uverejnení v Úradnom vestníku Európskej únie.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n. 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000180">
            <w:pPr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pStyle w:val="Normlny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 xml:space="preserve">n. a.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B678F9" w:rsidRPr="00C34C47" w:rsidTr="00335491">
        <w:trPr>
          <w:trHeight w:val="1125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766AE">
              <w:rPr>
                <w:b/>
                <w:color w:val="000000"/>
                <w:sz w:val="20"/>
                <w:szCs w:val="20"/>
              </w:rPr>
              <w:t>Č: 4</w:t>
            </w:r>
          </w:p>
          <w:p w:rsidR="00B678F9" w:rsidRPr="005766AE" w:rsidRDefault="00B678F9" w:rsidP="00B678F9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Adresáti</w:t>
            </w:r>
          </w:p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Táto smernica je určená členským štátom.</w:t>
            </w:r>
          </w:p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V Bruseli 17. 10. 2023</w:t>
            </w:r>
          </w:p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Za Komisiu</w:t>
            </w:r>
          </w:p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predsedníčka Ursula VON DER LEYEN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678F9" w:rsidRPr="005766AE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n. 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678F9" w:rsidRPr="005766AE" w:rsidRDefault="00B678F9" w:rsidP="00B678F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pStyle w:val="Normlny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F9" w:rsidRPr="005766AE" w:rsidRDefault="00B678F9" w:rsidP="00B678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F9" w:rsidRPr="00C34C47" w:rsidRDefault="00B678F9" w:rsidP="00B678F9">
            <w:pPr>
              <w:adjustRightInd w:val="0"/>
              <w:rPr>
                <w:color w:val="000000"/>
                <w:sz w:val="20"/>
                <w:szCs w:val="20"/>
              </w:rPr>
            </w:pPr>
            <w:r w:rsidRPr="005766AE">
              <w:rPr>
                <w:color w:val="000000"/>
                <w:sz w:val="20"/>
                <w:szCs w:val="20"/>
              </w:rPr>
              <w:t>n. a.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8F9" w:rsidRPr="00C34C47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678F9" w:rsidRPr="00C34C47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678F9" w:rsidRPr="00C34C47" w:rsidRDefault="00B678F9" w:rsidP="00B678F9">
            <w:pPr>
              <w:spacing w:before="75" w:after="75"/>
              <w:rPr>
                <w:sz w:val="20"/>
                <w:szCs w:val="20"/>
              </w:rPr>
            </w:pPr>
          </w:p>
        </w:tc>
      </w:tr>
    </w:tbl>
    <w:p w:rsidR="00943BEF" w:rsidRDefault="00943BEF" w:rsidP="00943BEF">
      <w:pPr>
        <w:pStyle w:val="Hlavika"/>
        <w:tabs>
          <w:tab w:val="clear" w:pos="4536"/>
          <w:tab w:val="clear" w:pos="9072"/>
        </w:tabs>
        <w:rPr>
          <w:b/>
          <w:sz w:val="20"/>
          <w:szCs w:val="20"/>
          <w:lang w:eastAsia="ar-SA"/>
        </w:rPr>
      </w:pPr>
    </w:p>
    <w:p w:rsidR="00943BEF" w:rsidRPr="00E825B9" w:rsidRDefault="00943BEF" w:rsidP="00943BEF">
      <w:pPr>
        <w:pStyle w:val="Hlavika"/>
        <w:tabs>
          <w:tab w:val="clear" w:pos="4536"/>
          <w:tab w:val="clear" w:pos="9072"/>
        </w:tabs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Článok 2  ods. 1 prvej a tretej vety</w:t>
      </w:r>
      <w:r w:rsidRPr="00E825B9">
        <w:rPr>
          <w:b/>
          <w:sz w:val="20"/>
          <w:szCs w:val="20"/>
          <w:lang w:eastAsia="ar-SA"/>
        </w:rPr>
        <w:t xml:space="preserve"> 1 smernice (EÚ) 202</w:t>
      </w:r>
      <w:r>
        <w:rPr>
          <w:b/>
          <w:sz w:val="20"/>
          <w:szCs w:val="20"/>
          <w:lang w:eastAsia="ar-SA"/>
        </w:rPr>
        <w:t>3</w:t>
      </w:r>
      <w:r w:rsidRPr="00E825B9">
        <w:rPr>
          <w:b/>
          <w:sz w:val="20"/>
          <w:szCs w:val="20"/>
          <w:lang w:eastAsia="ar-SA"/>
        </w:rPr>
        <w:t>/2</w:t>
      </w:r>
      <w:r>
        <w:rPr>
          <w:b/>
          <w:sz w:val="20"/>
          <w:szCs w:val="20"/>
          <w:lang w:eastAsia="ar-SA"/>
        </w:rPr>
        <w:t>775</w:t>
      </w:r>
      <w:r w:rsidRPr="00E825B9">
        <w:rPr>
          <w:b/>
          <w:sz w:val="20"/>
          <w:szCs w:val="20"/>
          <w:lang w:eastAsia="ar-SA"/>
        </w:rPr>
        <w:t xml:space="preserve"> - goldplating typu e)</w:t>
      </w:r>
    </w:p>
    <w:p w:rsidR="00943BEF" w:rsidRPr="00C75885" w:rsidRDefault="00943BEF" w:rsidP="00943BEF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Z dôvodu zabezpečenia právnej istoty sa n</w:t>
      </w:r>
      <w:r w:rsidRPr="00E825B9">
        <w:rPr>
          <w:sz w:val="20"/>
          <w:szCs w:val="20"/>
          <w:lang w:eastAsia="ar-SA"/>
        </w:rPr>
        <w:t>avrhuje skoršia účinno</w:t>
      </w:r>
      <w:r>
        <w:rPr>
          <w:sz w:val="20"/>
          <w:szCs w:val="20"/>
          <w:lang w:eastAsia="ar-SA"/>
        </w:rPr>
        <w:t>sť ako je transpozičná lehota (24</w:t>
      </w:r>
      <w:r w:rsidRPr="00E825B9">
        <w:rPr>
          <w:sz w:val="20"/>
          <w:szCs w:val="20"/>
          <w:lang w:eastAsia="ar-SA"/>
        </w:rPr>
        <w:t xml:space="preserve">. </w:t>
      </w:r>
      <w:r>
        <w:rPr>
          <w:sz w:val="20"/>
          <w:szCs w:val="20"/>
          <w:lang w:eastAsia="ar-SA"/>
        </w:rPr>
        <w:t>december</w:t>
      </w:r>
      <w:r w:rsidRPr="00E825B9">
        <w:rPr>
          <w:sz w:val="20"/>
          <w:szCs w:val="20"/>
          <w:lang w:eastAsia="ar-SA"/>
        </w:rPr>
        <w:t xml:space="preserve"> 2024), a to od 1. júna 2024, v nadväznosti na smernicou ustanovenú </w:t>
      </w:r>
      <w:r>
        <w:rPr>
          <w:sz w:val="20"/>
          <w:szCs w:val="20"/>
          <w:lang w:eastAsia="ar-SA"/>
        </w:rPr>
        <w:t>povinnosť</w:t>
      </w:r>
      <w:r w:rsidRPr="00E825B9">
        <w:rPr>
          <w:sz w:val="20"/>
          <w:szCs w:val="20"/>
          <w:lang w:eastAsia="ar-SA"/>
        </w:rPr>
        <w:t xml:space="preserve"> (čl. </w:t>
      </w:r>
      <w:r>
        <w:rPr>
          <w:sz w:val="20"/>
          <w:szCs w:val="20"/>
          <w:lang w:eastAsia="ar-SA"/>
        </w:rPr>
        <w:t>2</w:t>
      </w:r>
      <w:r w:rsidRPr="00E825B9">
        <w:rPr>
          <w:sz w:val="20"/>
          <w:szCs w:val="20"/>
          <w:lang w:eastAsia="ar-SA"/>
        </w:rPr>
        <w:t xml:space="preserve"> ods. </w:t>
      </w:r>
      <w:r>
        <w:rPr>
          <w:sz w:val="20"/>
          <w:szCs w:val="20"/>
          <w:lang w:eastAsia="ar-SA"/>
        </w:rPr>
        <w:t>1</w:t>
      </w:r>
      <w:r w:rsidRPr="00E825B9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druhá veta delegovanej </w:t>
      </w:r>
      <w:r w:rsidRPr="00E825B9">
        <w:rPr>
          <w:sz w:val="20"/>
          <w:szCs w:val="20"/>
          <w:lang w:eastAsia="ar-SA"/>
        </w:rPr>
        <w:t>smernice (EÚ) 202</w:t>
      </w:r>
      <w:r>
        <w:rPr>
          <w:sz w:val="20"/>
          <w:szCs w:val="20"/>
          <w:lang w:eastAsia="ar-SA"/>
        </w:rPr>
        <w:t>3</w:t>
      </w:r>
      <w:r w:rsidRPr="00E825B9">
        <w:rPr>
          <w:sz w:val="20"/>
          <w:szCs w:val="20"/>
          <w:lang w:eastAsia="ar-SA"/>
        </w:rPr>
        <w:t>/2</w:t>
      </w:r>
      <w:r>
        <w:rPr>
          <w:sz w:val="20"/>
          <w:szCs w:val="20"/>
          <w:lang w:eastAsia="ar-SA"/>
        </w:rPr>
        <w:t>775</w:t>
      </w:r>
      <w:r w:rsidRPr="00E825B9">
        <w:rPr>
          <w:sz w:val="20"/>
          <w:szCs w:val="20"/>
          <w:lang w:eastAsia="ar-SA"/>
        </w:rPr>
        <w:t xml:space="preserve">) </w:t>
      </w:r>
      <w:r>
        <w:rPr>
          <w:sz w:val="20"/>
          <w:szCs w:val="20"/>
          <w:lang w:eastAsia="ar-SA"/>
        </w:rPr>
        <w:t xml:space="preserve">uplatňovania zvýšených veľkostných podmienok od účtovného obdobia začínajúceho 1. januára 2024 a možnosť (čl. 2 ods. 1 tretia veta delegovanej smernice (EÚ) 2023/2775) uplatňovania zvýšených veľkostných podmienok od účtovného obdobia začínajúceho od 1. januára 2023. </w:t>
      </w:r>
      <w:r w:rsidRPr="00C75885">
        <w:rPr>
          <w:sz w:val="20"/>
          <w:szCs w:val="20"/>
          <w:lang w:eastAsia="ar-SA"/>
        </w:rPr>
        <w:t xml:space="preserve">Goldplating má pozitívny vplyv na </w:t>
      </w:r>
      <w:r>
        <w:rPr>
          <w:sz w:val="20"/>
          <w:szCs w:val="20"/>
          <w:lang w:eastAsia="ar-SA"/>
        </w:rPr>
        <w:t xml:space="preserve">podnikateľské prostredie a to, na účtovné jednotky, ktoré sú obchodnými spoločnosťami, </w:t>
      </w:r>
      <w:r w:rsidRPr="00C75885">
        <w:rPr>
          <w:sz w:val="20"/>
          <w:szCs w:val="20"/>
          <w:lang w:eastAsia="ar-SA"/>
        </w:rPr>
        <w:t>keďže im umožňuje benefitovať zo zvýšených veľkostných podmienok už za bezprostredne predchádzajúce účtovné obdobie končiace 31. decembra 2023</w:t>
      </w:r>
      <w:r>
        <w:rPr>
          <w:sz w:val="20"/>
          <w:szCs w:val="20"/>
          <w:lang w:eastAsia="ar-SA"/>
        </w:rPr>
        <w:t xml:space="preserve">, čím účtovné jednotky nebudú </w:t>
      </w:r>
      <w:r w:rsidRPr="00C75885">
        <w:rPr>
          <w:sz w:val="20"/>
          <w:szCs w:val="20"/>
          <w:lang w:eastAsia="ar-SA"/>
        </w:rPr>
        <w:t xml:space="preserve">podliehať  prísnejším požiadavkám, ktoré sa vzťahujú na väčšie účtovné jednotky, z dôvodu </w:t>
      </w:r>
      <w:r>
        <w:rPr>
          <w:sz w:val="20"/>
          <w:szCs w:val="20"/>
          <w:lang w:eastAsia="ar-SA"/>
        </w:rPr>
        <w:t>svojej veľkosti (suma majetku, čistý obrat) ovplyvnenej</w:t>
      </w:r>
      <w:r w:rsidRPr="00C75885">
        <w:rPr>
          <w:sz w:val="20"/>
          <w:szCs w:val="20"/>
          <w:lang w:eastAsia="ar-SA"/>
        </w:rPr>
        <w:t xml:space="preserve"> infláci</w:t>
      </w:r>
      <w:r>
        <w:rPr>
          <w:sz w:val="20"/>
          <w:szCs w:val="20"/>
          <w:lang w:eastAsia="ar-SA"/>
        </w:rPr>
        <w:t>ou</w:t>
      </w:r>
      <w:r w:rsidRPr="00C75885">
        <w:rPr>
          <w:sz w:val="20"/>
          <w:szCs w:val="20"/>
          <w:lang w:eastAsia="ar-SA"/>
        </w:rPr>
        <w:t>.</w:t>
      </w:r>
    </w:p>
    <w:p w:rsidR="00662E99" w:rsidRPr="00C34C47" w:rsidRDefault="00662E99">
      <w:pPr>
        <w:rPr>
          <w:sz w:val="20"/>
          <w:szCs w:val="20"/>
        </w:rPr>
      </w:pPr>
    </w:p>
    <w:sectPr w:rsidR="00662E99" w:rsidRPr="00C34C47" w:rsidSect="00A5666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E4" w:rsidRDefault="000159E4" w:rsidP="00315D6B">
      <w:r>
        <w:separator/>
      </w:r>
    </w:p>
  </w:endnote>
  <w:endnote w:type="continuationSeparator" w:id="0">
    <w:p w:rsidR="000159E4" w:rsidRDefault="000159E4" w:rsidP="0031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120735"/>
      <w:docPartObj>
        <w:docPartGallery w:val="Page Numbers (Bottom of Page)"/>
        <w:docPartUnique/>
      </w:docPartObj>
    </w:sdtPr>
    <w:sdtEndPr/>
    <w:sdtContent>
      <w:p w:rsidR="00F4037E" w:rsidRDefault="00F403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EF">
          <w:rPr>
            <w:noProof/>
          </w:rPr>
          <w:t>3</w:t>
        </w:r>
        <w:r>
          <w:fldChar w:fldCharType="end"/>
        </w:r>
      </w:p>
    </w:sdtContent>
  </w:sdt>
  <w:p w:rsidR="00F4037E" w:rsidRDefault="00F403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E4" w:rsidRDefault="000159E4" w:rsidP="00315D6B">
      <w:r>
        <w:separator/>
      </w:r>
    </w:p>
  </w:footnote>
  <w:footnote w:type="continuationSeparator" w:id="0">
    <w:p w:rsidR="000159E4" w:rsidRDefault="000159E4" w:rsidP="0031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59ED"/>
    <w:multiLevelType w:val="hybridMultilevel"/>
    <w:tmpl w:val="BC466B3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D0DD3"/>
    <w:multiLevelType w:val="singleLevel"/>
    <w:tmpl w:val="C7DE1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05C7B92"/>
    <w:multiLevelType w:val="hybridMultilevel"/>
    <w:tmpl w:val="A9FA5DEA"/>
    <w:lvl w:ilvl="0" w:tplc="86D8A4F2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5212BE"/>
    <w:multiLevelType w:val="hybridMultilevel"/>
    <w:tmpl w:val="BC466B3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146F62"/>
    <w:multiLevelType w:val="singleLevel"/>
    <w:tmpl w:val="C7DE1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95412D3"/>
    <w:multiLevelType w:val="hybridMultilevel"/>
    <w:tmpl w:val="FEE4FF18"/>
    <w:lvl w:ilvl="0" w:tplc="E37C8AF4">
      <w:start w:val="3"/>
      <w:numFmt w:val="lowerLetter"/>
      <w:lvlText w:val="%1)"/>
      <w:lvlJc w:val="left"/>
      <w:pPr>
        <w:ind w:left="1121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412FBA"/>
    <w:multiLevelType w:val="hybridMultilevel"/>
    <w:tmpl w:val="1C6EFE04"/>
    <w:lvl w:ilvl="0" w:tplc="67F0DD6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A47232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4B05"/>
    <w:multiLevelType w:val="singleLevel"/>
    <w:tmpl w:val="C7DE1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99A6B6D"/>
    <w:multiLevelType w:val="singleLevel"/>
    <w:tmpl w:val="C7DE1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69"/>
    <w:rsid w:val="00000180"/>
    <w:rsid w:val="000021D2"/>
    <w:rsid w:val="000159E4"/>
    <w:rsid w:val="0002139E"/>
    <w:rsid w:val="00023717"/>
    <w:rsid w:val="00037818"/>
    <w:rsid w:val="00041623"/>
    <w:rsid w:val="00081A97"/>
    <w:rsid w:val="00094CA9"/>
    <w:rsid w:val="000A0225"/>
    <w:rsid w:val="000D2AA0"/>
    <w:rsid w:val="001058BC"/>
    <w:rsid w:val="0012053F"/>
    <w:rsid w:val="00132191"/>
    <w:rsid w:val="0014637C"/>
    <w:rsid w:val="0018229D"/>
    <w:rsid w:val="001A069A"/>
    <w:rsid w:val="001B33EE"/>
    <w:rsid w:val="001B4882"/>
    <w:rsid w:val="001D7CCE"/>
    <w:rsid w:val="00204287"/>
    <w:rsid w:val="00282C4D"/>
    <w:rsid w:val="00285BAC"/>
    <w:rsid w:val="00294D03"/>
    <w:rsid w:val="002B7CD3"/>
    <w:rsid w:val="002D2D7D"/>
    <w:rsid w:val="002D39A5"/>
    <w:rsid w:val="002F71DA"/>
    <w:rsid w:val="00304033"/>
    <w:rsid w:val="00315D6B"/>
    <w:rsid w:val="00335491"/>
    <w:rsid w:val="00355E27"/>
    <w:rsid w:val="00396FB1"/>
    <w:rsid w:val="003B0FCB"/>
    <w:rsid w:val="003B1CE0"/>
    <w:rsid w:val="003C1247"/>
    <w:rsid w:val="003C543D"/>
    <w:rsid w:val="004027C7"/>
    <w:rsid w:val="00420191"/>
    <w:rsid w:val="00422C62"/>
    <w:rsid w:val="00443B90"/>
    <w:rsid w:val="00455BD8"/>
    <w:rsid w:val="0046345F"/>
    <w:rsid w:val="0048518F"/>
    <w:rsid w:val="00490CFC"/>
    <w:rsid w:val="004B0F18"/>
    <w:rsid w:val="004D6949"/>
    <w:rsid w:val="004D76B5"/>
    <w:rsid w:val="004E2623"/>
    <w:rsid w:val="004E31F0"/>
    <w:rsid w:val="00502D61"/>
    <w:rsid w:val="005038C8"/>
    <w:rsid w:val="0051546C"/>
    <w:rsid w:val="005611B5"/>
    <w:rsid w:val="005674CE"/>
    <w:rsid w:val="005766AE"/>
    <w:rsid w:val="0059771A"/>
    <w:rsid w:val="005A31DA"/>
    <w:rsid w:val="005C16A5"/>
    <w:rsid w:val="005C7CA9"/>
    <w:rsid w:val="005D1300"/>
    <w:rsid w:val="00641BCC"/>
    <w:rsid w:val="00662E99"/>
    <w:rsid w:val="00684064"/>
    <w:rsid w:val="00690BA9"/>
    <w:rsid w:val="00694E40"/>
    <w:rsid w:val="006A73B0"/>
    <w:rsid w:val="006A770C"/>
    <w:rsid w:val="006C6D2D"/>
    <w:rsid w:val="006D3139"/>
    <w:rsid w:val="00702FA4"/>
    <w:rsid w:val="00707EC6"/>
    <w:rsid w:val="0072768E"/>
    <w:rsid w:val="00766A02"/>
    <w:rsid w:val="007768BB"/>
    <w:rsid w:val="007A2CCF"/>
    <w:rsid w:val="007A3A92"/>
    <w:rsid w:val="007C0570"/>
    <w:rsid w:val="007C38E5"/>
    <w:rsid w:val="007F1B2B"/>
    <w:rsid w:val="00823D12"/>
    <w:rsid w:val="00830A99"/>
    <w:rsid w:val="00833A08"/>
    <w:rsid w:val="00886251"/>
    <w:rsid w:val="00893447"/>
    <w:rsid w:val="008A3123"/>
    <w:rsid w:val="008C678B"/>
    <w:rsid w:val="008C7BA6"/>
    <w:rsid w:val="009113E4"/>
    <w:rsid w:val="00943BEF"/>
    <w:rsid w:val="00947226"/>
    <w:rsid w:val="00981488"/>
    <w:rsid w:val="0099453D"/>
    <w:rsid w:val="009B7ED9"/>
    <w:rsid w:val="00A21435"/>
    <w:rsid w:val="00A24C33"/>
    <w:rsid w:val="00A516F4"/>
    <w:rsid w:val="00A556A2"/>
    <w:rsid w:val="00A56669"/>
    <w:rsid w:val="00AB41AB"/>
    <w:rsid w:val="00AD30B2"/>
    <w:rsid w:val="00AE2787"/>
    <w:rsid w:val="00AF07F5"/>
    <w:rsid w:val="00B00770"/>
    <w:rsid w:val="00B128D6"/>
    <w:rsid w:val="00B446E4"/>
    <w:rsid w:val="00B5775A"/>
    <w:rsid w:val="00B678F9"/>
    <w:rsid w:val="00BA6649"/>
    <w:rsid w:val="00C258DA"/>
    <w:rsid w:val="00C34C47"/>
    <w:rsid w:val="00C474B1"/>
    <w:rsid w:val="00C5568D"/>
    <w:rsid w:val="00C601EF"/>
    <w:rsid w:val="00CC2CCF"/>
    <w:rsid w:val="00D05FDE"/>
    <w:rsid w:val="00D422A4"/>
    <w:rsid w:val="00D43A61"/>
    <w:rsid w:val="00D909F8"/>
    <w:rsid w:val="00DA1CB6"/>
    <w:rsid w:val="00DB494E"/>
    <w:rsid w:val="00DD1903"/>
    <w:rsid w:val="00E01864"/>
    <w:rsid w:val="00E0791C"/>
    <w:rsid w:val="00E1703B"/>
    <w:rsid w:val="00E21B7E"/>
    <w:rsid w:val="00E30B19"/>
    <w:rsid w:val="00E31097"/>
    <w:rsid w:val="00E3623A"/>
    <w:rsid w:val="00E45FCC"/>
    <w:rsid w:val="00E86C84"/>
    <w:rsid w:val="00E92CA0"/>
    <w:rsid w:val="00EA05D4"/>
    <w:rsid w:val="00EE07C8"/>
    <w:rsid w:val="00EF56D9"/>
    <w:rsid w:val="00F1238A"/>
    <w:rsid w:val="00F24D33"/>
    <w:rsid w:val="00F30CB9"/>
    <w:rsid w:val="00F4037E"/>
    <w:rsid w:val="00F43910"/>
    <w:rsid w:val="00F84632"/>
    <w:rsid w:val="00FB2694"/>
    <w:rsid w:val="00FE0096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91E0"/>
  <w15:chartTrackingRefBased/>
  <w15:docId w15:val="{B235FEEE-7DBB-4585-94EC-E4147331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56669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A56669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5666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A56669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A5666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A5666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A5666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56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A56669"/>
    <w:rPr>
      <w:sz w:val="20"/>
      <w:szCs w:val="20"/>
      <w:lang w:eastAsia="en-US"/>
    </w:rPr>
  </w:style>
  <w:style w:type="paragraph" w:customStyle="1" w:styleId="Zkladntext">
    <w:name w:val="Základní text"/>
    <w:aliases w:val="Základný text Char Char"/>
    <w:uiPriority w:val="99"/>
    <w:rsid w:val="00A56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B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B90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A516F4"/>
    <w:pPr>
      <w:autoSpaceDE/>
      <w:autoSpaceDN/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A516F4"/>
    <w:rPr>
      <w:rFonts w:ascii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315D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5D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5D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5D6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C5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83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7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2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3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4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4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3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4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7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7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1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3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9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6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8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6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2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6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5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0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6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7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95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0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7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7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05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441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6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469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0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22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80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5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649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5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1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853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75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014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0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4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07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76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96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146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68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469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772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95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7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6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9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0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995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9_2_TZ_2013_34_MPK"/>
    <f:field ref="objsubject" par="" edit="true" text=""/>
    <f:field ref="objcreatedby" par="" text="Matulová, Silvia, Ing."/>
    <f:field ref="objcreatedat" par="" text="13.10.2023 10:31:54"/>
    <f:field ref="objchangedby" par="" text="Administrator, System"/>
    <f:field ref="objmodifiedat" par="" text="13.10.2023 10:31:5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Salkovicova Ingrid</dc:creator>
  <cp:keywords/>
  <dc:description/>
  <cp:lastModifiedBy>Salkovicova Ingrid</cp:lastModifiedBy>
  <cp:revision>2</cp:revision>
  <cp:lastPrinted>2023-07-26T08:16:00Z</cp:lastPrinted>
  <dcterms:created xsi:type="dcterms:W3CDTF">2024-01-09T08:37:00Z</dcterms:created>
  <dcterms:modified xsi:type="dcterms:W3CDTF">2024-01-09T08:37:00Z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Účtovníctvo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Silvia Matulová</vt:lpwstr>
  </property>
  <property fmtid="{D5CDD505-2E9C-101B-9397-08002B2CF9AE}" pid="12" name="FSC#SKEDITIONSLOVLEX@103.510:zodppredkladatel">
    <vt:lpwstr>Mgr. Michal Horváth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431/2002 Z. z. o účtovníctve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Transpozícia smernice Európskeho parlamentu a Rady (EÚ) 2022/2464 zo 14. decembra 2022, ktorou sa mení nariadenie (EÚ) č. 537/2014, smernica 2004/109/ES, smernica 2006/43/ES a smernica 2013/34/EÚ, pokiaľ ide o vykazovanie informácií o udržateľnosti</vt:lpwstr>
  </property>
  <property fmtid="{D5CDD505-2E9C-101B-9397-08002B2CF9AE}" pid="23" name="FSC#SKEDITIONSLOVLEX@103.510:plnynazovpredpis">
    <vt:lpwstr> Zákon, ktorým sa mení a dopĺňa zákon č. 431/2002 Z. z. o účtovníctve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MF/006450/2023-74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LP/2023/621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financií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Michal Horváth_x000d_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do pripomienkového konania návrh zákona, ktorým sa mení a dopĺňa zákon č. 431/2002 Z. z. o&amp;nbsp;účtovníctve v&amp;nbsp;znení neskorších predpisov a&amp;nbsp;ktorým sa menia a&amp;nbs</vt:lpwstr>
  </property>
  <property fmtid="{D5CDD505-2E9C-101B-9397-08002B2CF9AE}" pid="150" name="FSC#SKEDITIONSLOVLEX@103.510:vytvorenedna">
    <vt:lpwstr>13. 10. 2023</vt:lpwstr>
  </property>
  <property fmtid="{D5CDD505-2E9C-101B-9397-08002B2CF9AE}" pid="151" name="FSC#COOSYSTEM@1.1:Container">
    <vt:lpwstr>COO.2145.1000.3.5895694</vt:lpwstr>
  </property>
  <property fmtid="{D5CDD505-2E9C-101B-9397-08002B2CF9AE}" pid="152" name="FSC#FSCFOLIO@1.1001:docpropproject">
    <vt:lpwstr/>
  </property>
</Properties>
</file>