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24"/>
        <w:gridCol w:w="5954"/>
        <w:gridCol w:w="425"/>
        <w:gridCol w:w="850"/>
        <w:gridCol w:w="567"/>
        <w:gridCol w:w="5529"/>
        <w:gridCol w:w="283"/>
        <w:gridCol w:w="567"/>
        <w:gridCol w:w="709"/>
        <w:gridCol w:w="708"/>
      </w:tblGrid>
      <w:tr w:rsidR="00D86111" w:rsidRPr="009D7E59" w:rsidTr="00D86111">
        <w:tc>
          <w:tcPr>
            <w:tcW w:w="162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9D7E59">
              <w:rPr>
                <w:b/>
                <w:lang w:val="en-US" w:eastAsia="en-US"/>
              </w:rPr>
              <w:t>TABUĽKA ZHODY</w:t>
            </w:r>
          </w:p>
          <w:p w:rsidR="00D86111" w:rsidRPr="009D7E59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9D7E59">
              <w:rPr>
                <w:b/>
                <w:sz w:val="22"/>
              </w:rPr>
              <w:t>návrhu právneho predpisu s právom Európskej únie</w:t>
            </w:r>
          </w:p>
        </w:tc>
      </w:tr>
      <w:tr w:rsidR="00D86111" w:rsidRPr="009D7E59" w:rsidTr="00451FC4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>
            <w:pPr>
              <w:pStyle w:val="Nadpis4"/>
              <w:spacing w:before="120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 xml:space="preserve">Smernica </w:t>
            </w:r>
          </w:p>
          <w:p w:rsidR="00D86111" w:rsidRPr="009D7E59" w:rsidRDefault="007C07F1" w:rsidP="00217BF4">
            <w:pPr>
              <w:pStyle w:val="Zkladntext3"/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b/>
                <w:bCs/>
                <w:color w:val="000000"/>
                <w:sz w:val="20"/>
                <w:szCs w:val="20"/>
              </w:rPr>
              <w:t>SMERNICA EURÓPSKEHO PARLAMENTU A RADY (EÚ) 2019/1160 z 20. júna 2019, ktorou sa mení smernica 2009/65/ES a smernica 2011/61/EÚ, pokiaľ ide o cezhraničnú distribúciu podnikov kolektívneho investovania (Ú. v. EÚ L 188, 12.7.2019)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 w:rsidP="00D86111">
            <w:pPr>
              <w:pStyle w:val="Nadpis4"/>
              <w:spacing w:before="120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Právne predpisy Slovenskej republiky</w:t>
            </w:r>
          </w:p>
          <w:p w:rsidR="0060191B" w:rsidRPr="009D7E59" w:rsidRDefault="0060191B" w:rsidP="0060191B">
            <w:pPr>
              <w:jc w:val="both"/>
              <w:rPr>
                <w:b/>
                <w:sz w:val="20"/>
                <w:szCs w:val="20"/>
              </w:rPr>
            </w:pPr>
            <w:r w:rsidRPr="009D7E59">
              <w:rPr>
                <w:b/>
                <w:sz w:val="20"/>
                <w:szCs w:val="20"/>
              </w:rPr>
              <w:t>Návrh zákona, ktorým sa mení a dopĺňa zákon č. 566/2001 Z. z. o cenných papieroch a investičných službách a o zmene a doplnení niektorých zákonov (zákon o cenných papieroch) v znení neskorších predpisov a ktorým sa menia a dopĺňajú niektoré zákony (ďalej len „návrh zákona“)</w:t>
            </w:r>
          </w:p>
          <w:p w:rsidR="0060191B" w:rsidRPr="009D7E59" w:rsidRDefault="0060191B" w:rsidP="0060191B">
            <w:pPr>
              <w:jc w:val="both"/>
              <w:rPr>
                <w:b/>
                <w:sz w:val="20"/>
                <w:szCs w:val="20"/>
              </w:rPr>
            </w:pPr>
          </w:p>
          <w:p w:rsidR="00610DD2" w:rsidRPr="009D7E59" w:rsidRDefault="007C07F1" w:rsidP="0060191B">
            <w:pPr>
              <w:jc w:val="both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Zákon č. 203/2011 Z. z. o kolektívnom investovaní v znení neskorších predpisov (ďalej „203/2011“)</w:t>
            </w:r>
          </w:p>
        </w:tc>
      </w:tr>
      <w:tr w:rsidR="00CE00BD" w:rsidRPr="009D7E59" w:rsidTr="00D01022"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9D7E59">
              <w:rPr>
                <w:rFonts w:ascii="Arial Narrow" w:hAnsi="Arial Narrow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9D7E59">
              <w:rPr>
                <w:rFonts w:ascii="Arial Narrow" w:hAnsi="Arial Narrow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7E59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CE00BD" w:rsidRPr="009D7E59" w:rsidTr="00D01022"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Článok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>(Č, O,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>V, P)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Spôsob transp.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>(N, O, D, n.a.)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Číslo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>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Článok (Č, §, O, V, P)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Z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>h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 xml:space="preserve">o 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 xml:space="preserve">d </w:t>
            </w:r>
          </w:p>
          <w:p w:rsidR="00D86111" w:rsidRPr="009D7E59" w:rsidRDefault="00D86111">
            <w:pPr>
              <w:pStyle w:val="Normlny0"/>
              <w:jc w:val="center"/>
            </w:pPr>
            <w:r w:rsidRPr="009D7E59">
              <w:t xml:space="preserve">a </w:t>
            </w:r>
          </w:p>
          <w:p w:rsidR="00D86111" w:rsidRPr="009D7E59" w:rsidRDefault="00D86111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>
            <w:pPr>
              <w:pStyle w:val="Normlny0"/>
              <w:jc w:val="center"/>
            </w:pPr>
            <w:r w:rsidRPr="009D7E59">
              <w:t>Poznámky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451FC4">
            <w:pPr>
              <w:pStyle w:val="Normlny0"/>
              <w:jc w:val="center"/>
            </w:pPr>
            <w:r w:rsidRPr="009D7E59">
              <w:t>Identifikácia goldplatingu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451FC4">
            <w:pPr>
              <w:pStyle w:val="Normlny0"/>
              <w:jc w:val="center"/>
            </w:pPr>
            <w:r w:rsidRPr="009D7E59">
              <w:t>Identifikácia oblasti goldplatingu a vyjadrenie k opodstatnenosti goldplatingu</w:t>
            </w:r>
          </w:p>
        </w:tc>
      </w:tr>
      <w:tr w:rsidR="00CE00BD" w:rsidRPr="009D7E59" w:rsidTr="00D01022"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 w:rsidP="00945A88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 xml:space="preserve">Čl. </w:t>
            </w:r>
            <w:r w:rsidR="00610DD2" w:rsidRPr="009D7E59">
              <w:rPr>
                <w:sz w:val="20"/>
                <w:szCs w:val="20"/>
              </w:rPr>
              <w:t>1</w:t>
            </w:r>
          </w:p>
          <w:p w:rsidR="00D86111" w:rsidRPr="009D7E59" w:rsidRDefault="007C07F1" w:rsidP="00945A88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Bod 1</w:t>
            </w:r>
            <w:r w:rsidR="00B449A6" w:rsidRPr="009D7E59">
              <w:rPr>
                <w:sz w:val="20"/>
                <w:szCs w:val="20"/>
              </w:rPr>
              <w:t xml:space="preserve"> (čl. 17 ods.8 smer. 2009/65/ES)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Smernica 2009/65/ES sa mení takto: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1. Do článku 17 ods. 8 sa dopĺňajú tieto pododseky: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„Ak by v dôsledku zmeny uvedenej v prvom pododseku správcovská spoločnosť prestala byť v súlade s touto smernicou, príslušné orgány domovského členského štátu správcovskej spoločnosti do 15 pracovných dní od doručenia všetkých informácií uvedených v prvom pododseku oznámia správcovskej spoločnosti, že danú zmenu nesmie vykonať. V takom prípade príslušné orgány domovského členského štátu správcovskej spoločnosti o tom informujú príslušné orgány hostiteľského členského štátu správcovskej spoločnosti.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Ak sa zmena uvedená v prvom pododseku vykoná potom, ako došlo k zaslaniu informácií v súlade s druhým pododsekom, a ak v dôsledku tejto zmeny správcovská spoločnosť prestala byť v súlade s touto smernicou, príslušné orgány domovského členského štátu správcovskej spoločnosti prijmú všetky primerané opatrenia v súlade s článkom 98 a bez zbytočného odkladu informujú o prijatých opatreniach príslušné orgány hostiteľského členského štátu správcovskej spoločnosti.“</w:t>
            </w:r>
          </w:p>
          <w:p w:rsidR="00D86111" w:rsidRPr="009D7E59" w:rsidRDefault="00D86111" w:rsidP="00610DD2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N</w:t>
            </w: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01022" w:rsidP="00DC14F7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203/2011</w:t>
            </w: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D01022" w:rsidRPr="009D7E59" w:rsidRDefault="00D01022" w:rsidP="00DC14F7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7C07F1" w:rsidP="001B145C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203/2011</w:t>
            </w:r>
            <w:r w:rsidR="0060191B" w:rsidRPr="009D7E59">
              <w:rPr>
                <w:sz w:val="20"/>
                <w:szCs w:val="20"/>
              </w:rPr>
              <w:t xml:space="preserve"> a</w:t>
            </w:r>
          </w:p>
          <w:p w:rsidR="00D86111" w:rsidRPr="009D7E59" w:rsidRDefault="00D86111" w:rsidP="001B145C">
            <w:pPr>
              <w:jc w:val="center"/>
              <w:rPr>
                <w:b/>
                <w:sz w:val="20"/>
                <w:szCs w:val="20"/>
              </w:rPr>
            </w:pPr>
            <w:r w:rsidRPr="009D7E59">
              <w:rPr>
                <w:b/>
                <w:sz w:val="20"/>
                <w:szCs w:val="20"/>
              </w:rPr>
              <w:t>návrh zákona</w:t>
            </w:r>
            <w:r w:rsidR="0060191B" w:rsidRPr="009D7E59">
              <w:rPr>
                <w:b/>
                <w:sz w:val="20"/>
                <w:szCs w:val="20"/>
              </w:rPr>
              <w:t xml:space="preserve"> čl. I</w:t>
            </w:r>
            <w:r w:rsidR="007C07F1" w:rsidRPr="009D7E59">
              <w:rPr>
                <w:b/>
                <w:sz w:val="20"/>
                <w:szCs w:val="20"/>
              </w:rPr>
              <w:t>II</w:t>
            </w:r>
          </w:p>
          <w:p w:rsidR="00D86111" w:rsidRPr="009D7E59" w:rsidRDefault="00D86111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22" w:rsidRPr="009D7E59" w:rsidRDefault="00D01022" w:rsidP="007C07F1">
            <w:pPr>
              <w:pStyle w:val="Normlny0"/>
              <w:jc w:val="center"/>
            </w:pPr>
          </w:p>
          <w:p w:rsidR="00D01022" w:rsidRPr="009D7E59" w:rsidRDefault="00610DD2" w:rsidP="007C07F1">
            <w:pPr>
              <w:pStyle w:val="Normlny0"/>
              <w:jc w:val="center"/>
            </w:pPr>
            <w:r w:rsidRPr="009D7E59">
              <w:t xml:space="preserve">§ </w:t>
            </w:r>
            <w:r w:rsidR="007C07F1" w:rsidRPr="009D7E59">
              <w:t>61 ods.</w:t>
            </w:r>
            <w:r w:rsidR="00D01022" w:rsidRPr="009D7E59">
              <w:t xml:space="preserve">8 </w:t>
            </w:r>
          </w:p>
          <w:p w:rsidR="00D01022" w:rsidRPr="009D7E59" w:rsidRDefault="00D01022" w:rsidP="007C07F1">
            <w:pPr>
              <w:pStyle w:val="Normlny0"/>
              <w:jc w:val="center"/>
            </w:pPr>
          </w:p>
          <w:p w:rsidR="00D01022" w:rsidRPr="009D7E59" w:rsidRDefault="00D01022" w:rsidP="007C07F1">
            <w:pPr>
              <w:pStyle w:val="Normlny0"/>
              <w:jc w:val="center"/>
            </w:pPr>
          </w:p>
          <w:p w:rsidR="00D01022" w:rsidRPr="009D7E59" w:rsidRDefault="00D01022" w:rsidP="007C07F1">
            <w:pPr>
              <w:pStyle w:val="Normlny0"/>
              <w:jc w:val="center"/>
            </w:pPr>
          </w:p>
          <w:p w:rsidR="00D01022" w:rsidRPr="009D7E59" w:rsidRDefault="00D01022" w:rsidP="007C07F1">
            <w:pPr>
              <w:pStyle w:val="Normlny0"/>
              <w:jc w:val="center"/>
            </w:pPr>
          </w:p>
          <w:p w:rsidR="00D01022" w:rsidRPr="009D7E59" w:rsidRDefault="00D01022" w:rsidP="007C07F1">
            <w:pPr>
              <w:pStyle w:val="Normlny0"/>
              <w:jc w:val="center"/>
            </w:pPr>
          </w:p>
          <w:p w:rsidR="00D01022" w:rsidRPr="009D7E59" w:rsidRDefault="00D01022" w:rsidP="007C07F1">
            <w:pPr>
              <w:pStyle w:val="Normlny0"/>
              <w:jc w:val="center"/>
            </w:pPr>
          </w:p>
          <w:p w:rsidR="00D01022" w:rsidRPr="009D7E59" w:rsidRDefault="00D01022" w:rsidP="007C07F1">
            <w:pPr>
              <w:pStyle w:val="Normlny0"/>
              <w:jc w:val="center"/>
            </w:pPr>
          </w:p>
          <w:p w:rsidR="00D86111" w:rsidRPr="009D7E59" w:rsidRDefault="00D01022" w:rsidP="00D01022">
            <w:pPr>
              <w:pStyle w:val="Normlny0"/>
              <w:jc w:val="center"/>
            </w:pPr>
            <w:r w:rsidRPr="009D7E59">
              <w:t xml:space="preserve">§ 61 ods. </w:t>
            </w:r>
            <w:r w:rsidR="007C07F1" w:rsidRPr="009D7E59"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22" w:rsidRPr="009D7E59" w:rsidRDefault="00D01022" w:rsidP="007C07F1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01022" w:rsidRPr="009D7E59" w:rsidRDefault="00FC63C6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shd w:val="clear" w:color="auto" w:fill="FFFFFF"/>
              </w:rPr>
              <w:t xml:space="preserve">(8) </w:t>
            </w:r>
            <w:r w:rsidR="00D01022" w:rsidRPr="009D7E59">
              <w:rPr>
                <w:sz w:val="20"/>
                <w:szCs w:val="20"/>
                <w:shd w:val="clear" w:color="auto" w:fill="FFFFFF"/>
              </w:rPr>
              <w:t>Ak by v dôsledku plánovanej zmeny podľa odseku 7 správcovská spoločnosť prestala spĺňať podmienky podľa tohto zákona, Národná banka Slovenska do pätnástich pracovných dní od doručenia všetkých informácií uvedených v odseku 7 oznámi správcovskej spoločnosti, že takúto zmenu nesmie vykonať, pričom Národná banka Slovenska informuje o takejto skutočnosti príslušný orgán dohľadu hostiteľského členského štátu správcovskej spoločnosti.</w:t>
            </w:r>
          </w:p>
          <w:p w:rsidR="00D01022" w:rsidRPr="009D7E59" w:rsidRDefault="00D01022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D01022" w:rsidRPr="009D7E59" w:rsidRDefault="00D01022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 xml:space="preserve">(9) Ak sa zmena uvedená v odseku 7 vykoná po zaslaní informácií v súlade s </w:t>
            </w:r>
            <w:r w:rsidRPr="009D7E59">
              <w:rPr>
                <w:b/>
                <w:sz w:val="20"/>
                <w:szCs w:val="20"/>
                <w:lang w:eastAsia="en-US"/>
              </w:rPr>
              <w:t>odsekom 8</w:t>
            </w:r>
            <w:r w:rsidRPr="009D7E59">
              <w:rPr>
                <w:sz w:val="20"/>
                <w:szCs w:val="20"/>
                <w:lang w:eastAsia="en-US"/>
              </w:rPr>
              <w:t>, a ak v dôsledku tejto zmeny správcovská spoločnosť prestala spĺňať podmienky podľa tohto zákona, Národná banka Slovenska prijme všetky primerané opatrenia v súlade s § 195, 202 a 207 a bez zbytočného odkladu informuje o prijatých opatreniach príslušný orgán dohľadu hostiteľského členského štátu správcovskej spoločnosti.</w:t>
            </w: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0191B" w:rsidRPr="009D7E59" w:rsidRDefault="0060191B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22" w:rsidRPr="009D7E59" w:rsidRDefault="00D01022" w:rsidP="00A3627A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A3627A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Ú</w:t>
            </w:r>
          </w:p>
          <w:p w:rsidR="00D86111" w:rsidRPr="009D7E59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Pr="009D7E59" w:rsidRDefault="00D86111" w:rsidP="00A3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9D7E59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22" w:rsidRPr="009D7E59" w:rsidRDefault="00D01022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GP-N</w:t>
            </w: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9D7E59" w:rsidRDefault="0064697B" w:rsidP="0064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9D7E59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10DD2" w:rsidRPr="009D7E59" w:rsidTr="00D01022"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610DD2" w:rsidP="00610DD2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 xml:space="preserve">Č: 1 </w:t>
            </w:r>
          </w:p>
          <w:p w:rsidR="00610DD2" w:rsidRPr="009D7E59" w:rsidRDefault="007C07F1" w:rsidP="006F32CE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Bod 4</w:t>
            </w:r>
            <w:r w:rsidR="006F32CE" w:rsidRPr="009D7E59">
              <w:rPr>
                <w:sz w:val="20"/>
                <w:szCs w:val="20"/>
              </w:rPr>
              <w:t xml:space="preserve"> (čl. 92 ods.3 smer. 2009/65/ES)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4.</w:t>
            </w:r>
            <w:r w:rsidRPr="009D7E59">
              <w:rPr>
                <w:rFonts w:ascii="Times New Roman" w:hAnsi="Times New Roman"/>
                <w:sz w:val="20"/>
                <w:szCs w:val="20"/>
              </w:rPr>
              <w:tab/>
              <w:t>Článok 92 sa nahrádza takto: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„Článok 92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3. PKIPCP zabezpečí, aby boli k dispozícii zariadenia na vykonávanie úloh, a to aj elektronicky, uvedených v odseku 1: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a) v úradnom jazyku alebo v jednom z úradných jazykov členského štátu, v ktorom sa PKIPCP uvádzajú na trh, alebo v jazyku schválenom príslušnými orgánmi uvedeného členského štátu;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b) prostredníctvom samotného PKIPCP, tretej strany, ktorá podlieha predpisom a dohľadu, ktoré upravujú úlohy, ktoré sa majú vykonávať, alebo oboch týchto subjektov;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DD2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Na účely písmena b) v prípade, že úlohy má vykonávať tretia strana, musí byť jej vymenovanie doložené písomnou zmluvou, v ktorej sa stanovuje, ktoré z úloh uvedených v odseku 1 nemá vykonávať PKIPCP, a že tretia strana dostane od PKIPCP všetky relevantné informácie a dokumenty.“</w:t>
            </w:r>
          </w:p>
          <w:p w:rsidR="00610DD2" w:rsidRPr="009D7E59" w:rsidRDefault="00610DD2" w:rsidP="00610DD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DD2" w:rsidRPr="009D7E59" w:rsidRDefault="00610DD2" w:rsidP="00610DD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DD2" w:rsidRPr="009D7E59" w:rsidRDefault="00610DD2" w:rsidP="00DC14F7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C87" w:rsidRPr="009D7E59" w:rsidRDefault="00111C87" w:rsidP="00DC14F7">
            <w:pPr>
              <w:jc w:val="center"/>
              <w:rPr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sz w:val="20"/>
                <w:szCs w:val="20"/>
              </w:rPr>
            </w:pPr>
          </w:p>
          <w:p w:rsidR="00610DD2" w:rsidRPr="009D7E59" w:rsidRDefault="007C07F1" w:rsidP="00DC14F7">
            <w:pPr>
              <w:jc w:val="center"/>
              <w:rPr>
                <w:b/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203/2011</w:t>
            </w:r>
            <w:r w:rsidR="00610DD2" w:rsidRPr="009D7E59">
              <w:rPr>
                <w:sz w:val="20"/>
                <w:szCs w:val="20"/>
              </w:rPr>
              <w:t xml:space="preserve"> </w:t>
            </w:r>
            <w:r w:rsidR="00610DD2" w:rsidRPr="009D7E59">
              <w:rPr>
                <w:b/>
                <w:sz w:val="20"/>
                <w:szCs w:val="20"/>
              </w:rPr>
              <w:t>a návrh zákona čl. II</w:t>
            </w:r>
            <w:r w:rsidRPr="009D7E59">
              <w:rPr>
                <w:b/>
                <w:sz w:val="20"/>
                <w:szCs w:val="20"/>
              </w:rPr>
              <w:t>I</w:t>
            </w:r>
          </w:p>
          <w:p w:rsidR="00111C87" w:rsidRPr="009D7E59" w:rsidRDefault="00111C87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111C87" w:rsidRPr="009D7E59" w:rsidRDefault="00111C87" w:rsidP="00DC14F7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203/2011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610DD2" w:rsidRPr="009D7E59" w:rsidRDefault="001F6655" w:rsidP="007C07F1">
            <w:pPr>
              <w:pStyle w:val="Normlny0"/>
              <w:jc w:val="center"/>
            </w:pPr>
            <w:r w:rsidRPr="009D7E59">
              <w:t xml:space="preserve">§ </w:t>
            </w:r>
            <w:r w:rsidR="007C07F1" w:rsidRPr="009D7E59">
              <w:t>141 ods. 6</w:t>
            </w: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</w:p>
          <w:p w:rsidR="00111C87" w:rsidRPr="009D7E59" w:rsidRDefault="00111C87" w:rsidP="007C07F1">
            <w:pPr>
              <w:pStyle w:val="Normlny0"/>
              <w:jc w:val="center"/>
            </w:pPr>
            <w:r w:rsidRPr="009D7E59">
              <w:t>ods.7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87" w:rsidRPr="009D7E59" w:rsidRDefault="00111C87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11C87" w:rsidRPr="009D7E59" w:rsidRDefault="00111C87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 xml:space="preserve">(6) Správcovská spoločnosť je povinná sprístupniť, </w:t>
            </w:r>
            <w:r w:rsidRPr="009D7E59">
              <w:rPr>
                <w:b/>
                <w:sz w:val="20"/>
                <w:szCs w:val="20"/>
                <w:lang w:eastAsia="en-US"/>
              </w:rPr>
              <w:t>a to aj elektronicky,</w:t>
            </w:r>
            <w:r w:rsidRPr="009D7E59">
              <w:rPr>
                <w:sz w:val="20"/>
                <w:szCs w:val="20"/>
                <w:lang w:eastAsia="en-US"/>
              </w:rPr>
              <w:t xml:space="preserve"> informácie o opatreniach na zabezpečenie plnenia povinností podľa odseku 5</w:t>
            </w: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 xml:space="preserve">a) v úradnom jazyku alebo v jednom z úradných jazykov hostiteľského členského štátu, v ktorom sa cenné papiere štandardného fondu distribuujú, alebo v jazyku schválenom príslušným orgánom dohľadu tohto hostiteľského členského štátu, </w:t>
            </w:r>
          </w:p>
          <w:p w:rsidR="00610DD2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>b) samostatne alebo prostredníctvom tretej osoby, na ktorú sa vzťahuje dohľad a právne predpisy, ktoré upravujú činnosti, ktoré sa majú vykonávať, alebo obidvoma spôsobmi.</w:t>
            </w:r>
          </w:p>
          <w:p w:rsidR="00111C87" w:rsidRPr="009D7E59" w:rsidRDefault="00111C87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11C87" w:rsidRPr="009D7E59" w:rsidRDefault="00111C87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shd w:val="clear" w:color="auto" w:fill="FFFFFF"/>
              </w:rPr>
              <w:t>Ak sa činnosti podľa odseku 5 vykonávajú prostredníctvom tretej osoby, musí byť jej určenie zabezpečené písomnou zmluvou, v ktorej sa uvedie, ktoré z činností uvedených v odseku 5 nemá vykonávať štandardný fond, a uvedie sa povinnosť štandardného fondu poskytnúť tretej osobe všetky potrebné informácie a dokumenty.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1F6655" w:rsidP="00A3627A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610DD2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1F6655" w:rsidP="0064697B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DD2" w:rsidRPr="009D7E59" w:rsidRDefault="00610DD2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10DD2" w:rsidRPr="009D7E59" w:rsidTr="00D01022"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655" w:rsidRPr="009D7E59" w:rsidRDefault="001F6655" w:rsidP="001F6655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 xml:space="preserve">Č: 1 </w:t>
            </w:r>
          </w:p>
          <w:p w:rsidR="00610DD2" w:rsidRPr="009D7E59" w:rsidRDefault="007C07F1" w:rsidP="007C07F1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Bod 5</w:t>
            </w:r>
            <w:r w:rsidR="00B40E12" w:rsidRPr="009D7E59">
              <w:rPr>
                <w:sz w:val="20"/>
                <w:szCs w:val="20"/>
              </w:rPr>
              <w:t xml:space="preserve"> pís.b)</w:t>
            </w:r>
          </w:p>
          <w:p w:rsidR="00B40E12" w:rsidRPr="009D7E59" w:rsidRDefault="00B40E12" w:rsidP="00B40E12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(čl. 93 ods.8 smer. 2009/65/ES)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Článok 93 sa mení takto: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b)</w:t>
            </w:r>
            <w:r w:rsidRPr="009D7E59">
              <w:rPr>
                <w:rFonts w:ascii="Times New Roman" w:hAnsi="Times New Roman"/>
                <w:sz w:val="20"/>
                <w:szCs w:val="20"/>
              </w:rPr>
              <w:tab/>
              <w:t>odsek 8 sa nahrádza takto: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„8.   V prípade zmeny v informáciách obsiahnutých v oznámení predloženom v súlade s odsekom 1 alebo zmeny týkajúcej sa triedy akcií, ktoré sa majú uviesť na trh, PKIPCP o tom podajú písomné oznámenie príslušným orgánom tak domovského členského štátu PKIPCP, ako aj hostiteľského členského štátu PKIPCP najmenej jeden mesiac pred vykonaním uvedenej zmeny.</w:t>
            </w:r>
          </w:p>
          <w:p w:rsidR="007C07F1" w:rsidRPr="009D7E59" w:rsidRDefault="00B40E12" w:rsidP="007C07F1">
            <w:pPr>
              <w:pStyle w:val="CM4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D7E5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Ak v dôsledku zmeny uvedenej v prvom pododseku prestane PKIPCP dodržiavať túto smernicu, príslušné orgány domovského štátu PKIPCP do 15 pracovných dní od doručenia všetkých informácií uvedených v prvom pododseku informujú PKIPCP, že danú zmenu nesmie vykonať. V uvedenom prípade príslušné orgány domovského členského štátu PKIPCP o tom informujú príslušné orgány hostiteľského členského štátu PKIPCP.</w:t>
            </w:r>
          </w:p>
          <w:p w:rsidR="00B40E12" w:rsidRPr="009D7E59" w:rsidRDefault="00B40E12" w:rsidP="00B40E12">
            <w:pPr>
              <w:pStyle w:val="Default"/>
            </w:pPr>
          </w:p>
          <w:p w:rsidR="007717A4" w:rsidRPr="009D7E59" w:rsidRDefault="007717A4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DD2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 xml:space="preserve">Ak sa zmena uvedená v prvom pododseku vykoná potom, ako došlo k zaslaniu informácií v súlade s druhým pododsekom, a PKIPCP prestane v dôsledku tejto zmeny dodržiavať túto smernicu, príslušné orgány domovského členského štátu PKIPCP prijmú všetky nevyhnutné </w:t>
            </w:r>
            <w:r w:rsidRPr="009D7E59">
              <w:rPr>
                <w:rFonts w:ascii="Times New Roman" w:hAnsi="Times New Roman"/>
                <w:sz w:val="20"/>
                <w:szCs w:val="20"/>
              </w:rPr>
              <w:lastRenderedPageBreak/>
              <w:t>opatrenia v súlade s článkom 98, v prípade potreby aj vrátane výslovného zákazu uvádzania PKIPCP na trh a bez zbytočného odkladu oznámia príslušným orgánom hostiteľského členského štátu PKIPCP prijaté opatrenia.“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610DD2" w:rsidRPr="009D7E59" w:rsidRDefault="001F6655" w:rsidP="00DC14F7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610DD2" w:rsidRPr="009D7E59" w:rsidRDefault="007C07F1" w:rsidP="00DC14F7">
            <w:pPr>
              <w:jc w:val="center"/>
              <w:rPr>
                <w:b/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203/2011</w:t>
            </w:r>
            <w:r w:rsidR="001F6655" w:rsidRPr="009D7E59">
              <w:rPr>
                <w:sz w:val="20"/>
                <w:szCs w:val="20"/>
              </w:rPr>
              <w:t xml:space="preserve"> </w:t>
            </w:r>
            <w:r w:rsidR="001F6655" w:rsidRPr="009D7E59">
              <w:rPr>
                <w:b/>
                <w:sz w:val="20"/>
                <w:szCs w:val="20"/>
              </w:rPr>
              <w:t>a návrh zákona čl. II</w:t>
            </w:r>
            <w:r w:rsidRPr="009D7E59">
              <w:rPr>
                <w:b/>
                <w:sz w:val="20"/>
                <w:szCs w:val="20"/>
              </w:rPr>
              <w:t>I</w:t>
            </w:r>
          </w:p>
          <w:p w:rsidR="007717A4" w:rsidRPr="009D7E59" w:rsidRDefault="007717A4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b/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203/2011</w:t>
            </w: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  <w:p w:rsidR="007717A4" w:rsidRPr="009D7E59" w:rsidRDefault="007717A4" w:rsidP="007717A4">
            <w:pPr>
              <w:jc w:val="center"/>
              <w:rPr>
                <w:b/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 xml:space="preserve">203/2011 </w:t>
            </w:r>
            <w:r w:rsidRPr="009D7E59">
              <w:rPr>
                <w:b/>
                <w:sz w:val="20"/>
                <w:szCs w:val="20"/>
              </w:rPr>
              <w:t>a návrh zákona čl. III</w:t>
            </w:r>
          </w:p>
          <w:p w:rsidR="007717A4" w:rsidRPr="009D7E59" w:rsidRDefault="007717A4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4" w:rsidRPr="009D7E59" w:rsidRDefault="007717A4" w:rsidP="007C07F1">
            <w:pPr>
              <w:pStyle w:val="Normlny0"/>
              <w:jc w:val="center"/>
            </w:pPr>
          </w:p>
          <w:p w:rsidR="00610DD2" w:rsidRPr="009D7E59" w:rsidRDefault="001F6655" w:rsidP="007C07F1">
            <w:pPr>
              <w:pStyle w:val="Normlny0"/>
              <w:jc w:val="center"/>
            </w:pPr>
            <w:r w:rsidRPr="009D7E59">
              <w:t xml:space="preserve">§ </w:t>
            </w:r>
            <w:r w:rsidR="007C07F1" w:rsidRPr="009D7E59">
              <w:t>140 ods. 4</w:t>
            </w: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  <w:r w:rsidRPr="009D7E59">
              <w:t>ods.5</w:t>
            </w:r>
          </w:p>
          <w:p w:rsidR="007C07F1" w:rsidRPr="009D7E59" w:rsidRDefault="007C07F1" w:rsidP="007C07F1">
            <w:pPr>
              <w:pStyle w:val="Normlny0"/>
              <w:jc w:val="center"/>
            </w:pPr>
          </w:p>
          <w:p w:rsidR="007C07F1" w:rsidRPr="009D7E59" w:rsidRDefault="007C07F1" w:rsidP="007C07F1">
            <w:pPr>
              <w:pStyle w:val="Normlny0"/>
              <w:jc w:val="center"/>
            </w:pPr>
          </w:p>
          <w:p w:rsidR="007C07F1" w:rsidRPr="009D7E59" w:rsidRDefault="007C07F1" w:rsidP="007C07F1">
            <w:pPr>
              <w:pStyle w:val="Normlny0"/>
              <w:jc w:val="center"/>
            </w:pPr>
          </w:p>
          <w:p w:rsidR="007C07F1" w:rsidRPr="009D7E59" w:rsidRDefault="007C07F1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717A4" w:rsidRPr="009D7E59" w:rsidRDefault="007717A4" w:rsidP="007C07F1">
            <w:pPr>
              <w:pStyle w:val="Normlny0"/>
              <w:jc w:val="center"/>
            </w:pPr>
          </w:p>
          <w:p w:rsidR="007C07F1" w:rsidRPr="009D7E59" w:rsidRDefault="007C07F1" w:rsidP="007C07F1">
            <w:pPr>
              <w:pStyle w:val="Normlny0"/>
              <w:jc w:val="center"/>
            </w:pPr>
            <w:r w:rsidRPr="009D7E59">
              <w:t>ods. 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4" w:rsidRPr="009D7E59" w:rsidRDefault="007717A4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 xml:space="preserve">(4) Správcovská spoločnosť je povinná písomne informovať Národnú banku Slovenska a príslušný orgán dohľadu hostiteľského členského štátu štandardného fondu o </w:t>
            </w:r>
            <w:r w:rsidRPr="009D7E59">
              <w:rPr>
                <w:b/>
                <w:sz w:val="20"/>
                <w:szCs w:val="20"/>
                <w:lang w:eastAsia="en-US"/>
              </w:rPr>
              <w:t>zmene v informáciách</w:t>
            </w:r>
            <w:r w:rsidRPr="009D7E59">
              <w:rPr>
                <w:sz w:val="20"/>
                <w:szCs w:val="20"/>
                <w:lang w:eastAsia="en-US"/>
              </w:rPr>
              <w:t xml:space="preserve"> uvedených v oznámení podľa § 139 ods. 1 alebo o zmene týkajúcej sa </w:t>
            </w:r>
            <w:r w:rsidRPr="009D7E59">
              <w:rPr>
                <w:b/>
                <w:sz w:val="20"/>
                <w:szCs w:val="20"/>
                <w:lang w:eastAsia="en-US"/>
              </w:rPr>
              <w:t>emisie akcií, ktoré sa majú uviesť na trh,</w:t>
            </w:r>
            <w:r w:rsidRPr="009D7E59">
              <w:rPr>
                <w:sz w:val="20"/>
                <w:szCs w:val="20"/>
                <w:lang w:eastAsia="en-US"/>
              </w:rPr>
              <w:t xml:space="preserve"> najmenej jeden mesiac pred ich uskutočnením.</w:t>
            </w: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C07F1" w:rsidRPr="009D7E59" w:rsidRDefault="007717A4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color w:val="494949"/>
                <w:sz w:val="20"/>
                <w:szCs w:val="20"/>
                <w:shd w:val="clear" w:color="auto" w:fill="FFFFFF"/>
              </w:rPr>
              <w:t>(</w:t>
            </w:r>
            <w:r w:rsidRPr="009D7E59">
              <w:rPr>
                <w:sz w:val="20"/>
                <w:szCs w:val="20"/>
                <w:shd w:val="clear" w:color="auto" w:fill="FFFFFF"/>
              </w:rPr>
              <w:t>5) Ak by v dôsledku plánovanej zmeny podľa odseku 4 prestalo byť spravovanie štandardného fondu správcovskou spoločnosťou v súlade s týmto zákonom, Národná banka Slovenska do 15 pracovných dní od doručenia všetkých informácií uvedených v odseku 4 oznámi správcovskej spoločnosti, že takúto zmenu nesmie vykonať. Národná banka Slovenska informuje o tejto skutočnosti príslušný orgán dohľadu hostiteľského členského štátu štandardného fondu.</w:t>
            </w:r>
          </w:p>
          <w:p w:rsidR="00610DD2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 xml:space="preserve"> (6) Ak sa zmena uvedená v odseku 4 vykoná po doručení informácií v súlade s </w:t>
            </w:r>
            <w:r w:rsidRPr="009D7E59">
              <w:rPr>
                <w:b/>
                <w:sz w:val="20"/>
                <w:szCs w:val="20"/>
                <w:lang w:eastAsia="en-US"/>
              </w:rPr>
              <w:t>odsekom 5</w:t>
            </w:r>
            <w:r w:rsidRPr="009D7E59">
              <w:rPr>
                <w:sz w:val="20"/>
                <w:szCs w:val="20"/>
                <w:lang w:eastAsia="en-US"/>
              </w:rPr>
              <w:t xml:space="preserve"> a ak v dôsledku tejto zmeny prestane byť spravovanie štandardného fondu správcovskou spoločnosťou v súlade s týmto zákonom, Národná banka Slovenska prijme všetky </w:t>
            </w:r>
            <w:r w:rsidRPr="009D7E59">
              <w:rPr>
                <w:sz w:val="20"/>
                <w:szCs w:val="20"/>
                <w:lang w:eastAsia="en-US"/>
              </w:rPr>
              <w:lastRenderedPageBreak/>
              <w:t xml:space="preserve">potrebné opatrenia podľa § 193 až 197 a 202, a ak je to nevyhnutné, aj zákaz distribúcie cenných papierov štandardného fondu a bez zbytočného odkladu o tom informuje príslušný orgán dohľadu hostiteľského členského štátu štandardného fondu.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4" w:rsidRPr="009D7E59" w:rsidRDefault="007717A4" w:rsidP="00A3627A">
            <w:pPr>
              <w:jc w:val="center"/>
              <w:rPr>
                <w:sz w:val="20"/>
                <w:szCs w:val="20"/>
              </w:rPr>
            </w:pPr>
          </w:p>
          <w:p w:rsidR="00610DD2" w:rsidRPr="009D7E59" w:rsidRDefault="001F6655" w:rsidP="00A3627A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Ú</w:t>
            </w: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  <w:p w:rsidR="007C07F1" w:rsidRPr="009D7E59" w:rsidRDefault="007C07F1" w:rsidP="00A3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610DD2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4" w:rsidRPr="009D7E59" w:rsidRDefault="007717A4" w:rsidP="0064697B">
            <w:pPr>
              <w:jc w:val="center"/>
              <w:rPr>
                <w:sz w:val="20"/>
                <w:szCs w:val="20"/>
              </w:rPr>
            </w:pPr>
          </w:p>
          <w:p w:rsidR="00610DD2" w:rsidRPr="009D7E59" w:rsidRDefault="001F6655" w:rsidP="0064697B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GP-N</w:t>
            </w: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DD2" w:rsidRPr="009D7E59" w:rsidRDefault="00610DD2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10DD2" w:rsidRPr="009D7E59" w:rsidTr="00D01022"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7C07F1" w:rsidP="001F6655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Č. 2 bod 2</w:t>
            </w:r>
            <w:r w:rsidR="0095169A" w:rsidRPr="009D7E59">
              <w:rPr>
                <w:sz w:val="20"/>
                <w:szCs w:val="20"/>
              </w:rPr>
              <w:t xml:space="preserve"> (čl. 30a ods.3 smer. 2011/61/EÚ)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9A" w:rsidRPr="009D7E59" w:rsidRDefault="0095169A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Smernica 2011/61/EÚ sa mení takto: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2. Na začiatku Kapitoly VI sa vkladá tento článok: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„Článok 30a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Podmienky uskutočňovania predmarketingu v Únii správcom AIF z EÚ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9">
              <w:rPr>
                <w:rFonts w:ascii="Times New Roman" w:hAnsi="Times New Roman"/>
                <w:sz w:val="20"/>
                <w:szCs w:val="20"/>
              </w:rPr>
              <w:t>3. Tretia strana smie vykonávať predmarketing v mene správcu AIF z EÚ, ktorému bolo udelené povolenie, iba ak jej bolo udelené povolenie ako investičnej spoločnosti v súlade so smernicou Európskeho parlamentu a Rady 2014/65/EÚ (*2), ako úverová inštitúcia v súlade so smernicou Európskeho parlamentu a Rady 2013/36/EÚ (*3), ako správcovská spoločnosť PKIPCP v súlade so smernicou 2009/65/ES, ako správca AIF v súlade s touto smernicou, alebo ak koná ako viazaný sprostredkovateľ v súlade so smernicou 2014/65/EÚ. Na takúto tretiu stranu sa vzťahujú podmienky stanovené v tomto článku.</w:t>
            </w: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07F1" w:rsidRPr="009D7E59" w:rsidRDefault="007C07F1" w:rsidP="007C07F1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0DD2" w:rsidRPr="009D7E59" w:rsidRDefault="00610DD2" w:rsidP="001F6655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DD2" w:rsidRPr="009D7E59" w:rsidRDefault="001F6655" w:rsidP="00DC14F7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655" w:rsidRPr="009D7E59" w:rsidRDefault="001F6655" w:rsidP="001F6655">
            <w:pPr>
              <w:jc w:val="center"/>
              <w:rPr>
                <w:sz w:val="20"/>
                <w:szCs w:val="20"/>
              </w:rPr>
            </w:pPr>
          </w:p>
          <w:p w:rsidR="001F6655" w:rsidRPr="009D7E59" w:rsidRDefault="007C07F1" w:rsidP="001F6655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203/2011</w:t>
            </w:r>
            <w:r w:rsidR="001F6655" w:rsidRPr="009D7E59">
              <w:rPr>
                <w:sz w:val="20"/>
                <w:szCs w:val="20"/>
              </w:rPr>
              <w:t xml:space="preserve"> a</w:t>
            </w:r>
          </w:p>
          <w:p w:rsidR="00610DD2" w:rsidRPr="009D7E59" w:rsidRDefault="001F6655" w:rsidP="001F6655">
            <w:pPr>
              <w:jc w:val="center"/>
              <w:rPr>
                <w:b/>
                <w:sz w:val="20"/>
                <w:szCs w:val="20"/>
              </w:rPr>
            </w:pPr>
            <w:r w:rsidRPr="009D7E59">
              <w:rPr>
                <w:b/>
                <w:sz w:val="20"/>
                <w:szCs w:val="20"/>
              </w:rPr>
              <w:t>návrh zákona čl. I</w:t>
            </w:r>
            <w:r w:rsidR="007C07F1" w:rsidRPr="009D7E5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1F6655" w:rsidP="007C07F1">
            <w:pPr>
              <w:pStyle w:val="Normlny0"/>
              <w:jc w:val="center"/>
            </w:pPr>
            <w:r w:rsidRPr="009D7E59">
              <w:t>§ 14</w:t>
            </w:r>
            <w:r w:rsidR="007C07F1" w:rsidRPr="009D7E59">
              <w:t xml:space="preserve">7a </w:t>
            </w:r>
            <w:r w:rsidRPr="009D7E59">
              <w:t xml:space="preserve">ods. </w:t>
            </w:r>
            <w:r w:rsidR="007C07F1" w:rsidRPr="009D7E59">
              <w:t>7</w:t>
            </w: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95169A" w:rsidRPr="009D7E59" w:rsidRDefault="0095169A" w:rsidP="007C07F1">
            <w:pPr>
              <w:pStyle w:val="Normlny0"/>
              <w:jc w:val="center"/>
            </w:pPr>
          </w:p>
          <w:p w:rsidR="0095169A" w:rsidRPr="009D7E59" w:rsidRDefault="0095169A" w:rsidP="007C07F1">
            <w:pPr>
              <w:pStyle w:val="Normlny0"/>
              <w:jc w:val="center"/>
            </w:pPr>
          </w:p>
          <w:p w:rsidR="0095169A" w:rsidRPr="009D7E59" w:rsidRDefault="0095169A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</w:p>
          <w:p w:rsidR="00312349" w:rsidRPr="009D7E59" w:rsidRDefault="00312349" w:rsidP="007C07F1">
            <w:pPr>
              <w:pStyle w:val="Normlny0"/>
              <w:jc w:val="center"/>
            </w:pPr>
            <w:r w:rsidRPr="009D7E59">
              <w:t>ods. 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 xml:space="preserve"> (7)   Iná osoba môže vykonávať predmarketing v mene správcovskej spoločnosti s povolením podľa § 28a alebo zahraničnej správcovskej spoločnosti s povolením vydaným v súlade s právne záväzným aktom Európskej únie upravujúcim správcov alternatívnych investičných fondov, iba ak jej bolo udelené povolenie ako obchodníkovi s cennými papiermi alebo ako zahraničnému obchodníkovi s cennými papiermi, ako banke alebo ako zahraničnej banke v súlade s osobitnými predpismi,21a) ako správcovskej spoločnosti podľa </w:t>
            </w:r>
            <w:r w:rsidRPr="009D7E59">
              <w:rPr>
                <w:b/>
                <w:sz w:val="20"/>
                <w:szCs w:val="20"/>
                <w:lang w:eastAsia="en-US"/>
              </w:rPr>
              <w:t>§ 28 alebo</w:t>
            </w:r>
            <w:r w:rsidRPr="009D7E59">
              <w:rPr>
                <w:sz w:val="20"/>
                <w:szCs w:val="20"/>
                <w:lang w:eastAsia="en-US"/>
              </w:rPr>
              <w:t xml:space="preserve"> § 28a, ako zahraničnej správcovskej spoločnosti so sídlom v členskom štáte v súlade s právne záväzným aktom Európskej únie upravujúcim správcov alternatívnych investičných fondov </w:t>
            </w:r>
            <w:r w:rsidRPr="009D7E59">
              <w:rPr>
                <w:b/>
                <w:sz w:val="20"/>
                <w:szCs w:val="20"/>
                <w:lang w:eastAsia="en-US"/>
              </w:rPr>
              <w:t>alebo štandardných fondov alebo európskych štandardných fondov</w:t>
            </w:r>
            <w:r w:rsidRPr="009D7E59">
              <w:rPr>
                <w:sz w:val="20"/>
                <w:szCs w:val="20"/>
                <w:lang w:eastAsia="en-US"/>
              </w:rPr>
              <w:t>, alebo ak koná ako viazaný agent v súlade s osobitným predpisom.7)</w:t>
            </w:r>
          </w:p>
          <w:p w:rsidR="007C07F1" w:rsidRPr="009D7E59" w:rsidRDefault="007C07F1" w:rsidP="007C07F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10DD2" w:rsidRPr="009D7E59" w:rsidRDefault="007C07F1" w:rsidP="002B3641">
            <w:pPr>
              <w:jc w:val="both"/>
              <w:rPr>
                <w:sz w:val="20"/>
                <w:szCs w:val="20"/>
                <w:lang w:eastAsia="en-US"/>
              </w:rPr>
            </w:pPr>
            <w:r w:rsidRPr="009D7E59">
              <w:rPr>
                <w:sz w:val="20"/>
                <w:szCs w:val="20"/>
                <w:lang w:eastAsia="en-US"/>
              </w:rPr>
              <w:t xml:space="preserve">(8) Správcovská spoločnosť s povolením podľa </w:t>
            </w:r>
            <w:r w:rsidRPr="009D7E59">
              <w:rPr>
                <w:b/>
                <w:sz w:val="20"/>
                <w:szCs w:val="20"/>
                <w:lang w:eastAsia="en-US"/>
              </w:rPr>
              <w:t>§ 28 alebo</w:t>
            </w:r>
            <w:r w:rsidRPr="009D7E59">
              <w:rPr>
                <w:sz w:val="20"/>
                <w:szCs w:val="20"/>
                <w:lang w:eastAsia="en-US"/>
              </w:rPr>
              <w:t xml:space="preserve"> § 28a  alebo zahraničná správcovská spoločnosť s povolením vydaným v súlade </w:t>
            </w:r>
            <w:r w:rsidRPr="009D7E59">
              <w:rPr>
                <w:b/>
                <w:sz w:val="20"/>
                <w:szCs w:val="20"/>
                <w:lang w:eastAsia="en-US"/>
              </w:rPr>
              <w:t xml:space="preserve">s právne záväzným aktom Európskej únie upravujúcim </w:t>
            </w:r>
            <w:bookmarkStart w:id="0" w:name="_GoBack"/>
            <w:bookmarkEnd w:id="0"/>
            <w:r w:rsidRPr="009D7E59">
              <w:rPr>
                <w:b/>
                <w:sz w:val="20"/>
                <w:szCs w:val="20"/>
                <w:lang w:eastAsia="en-US"/>
              </w:rPr>
              <w:t>kolektívne investovanie do prevoditeľných cenných papierov</w:t>
            </w:r>
            <w:r w:rsidR="0095169A" w:rsidRPr="009D7E59">
              <w:rPr>
                <w:b/>
                <w:sz w:val="20"/>
                <w:szCs w:val="20"/>
                <w:lang w:eastAsia="en-US"/>
              </w:rPr>
              <w:t xml:space="preserve"> a</w:t>
            </w:r>
            <w:r w:rsidRPr="009D7E5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D7E59">
              <w:rPr>
                <w:sz w:val="20"/>
                <w:szCs w:val="20"/>
                <w:lang w:eastAsia="en-US"/>
              </w:rPr>
              <w:t>s právne záväzným aktom Európskej únie upravujúcim správcov alternatívnych investičných fondov je povinná viesť záznamy o všetkých činnostiach vykonávaných v rámci predmarketingu.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1F6655" w:rsidP="00A3627A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Ú</w:t>
            </w: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  <w:p w:rsidR="00312349" w:rsidRPr="009D7E59" w:rsidRDefault="00312349" w:rsidP="00A3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610DD2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2" w:rsidRPr="009D7E59" w:rsidRDefault="001F6655" w:rsidP="0064697B">
            <w:pPr>
              <w:jc w:val="center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GP-N</w:t>
            </w: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  <w:p w:rsidR="005C5764" w:rsidRPr="009D7E59" w:rsidRDefault="005C5764" w:rsidP="0064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DD2" w:rsidRPr="009D7E59" w:rsidRDefault="00610DD2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954D3D" w:rsidRPr="009D7E59" w:rsidRDefault="00954D3D">
      <w:pPr>
        <w:autoSpaceDE/>
        <w:autoSpaceDN/>
        <w:rPr>
          <w:sz w:val="20"/>
          <w:szCs w:val="20"/>
        </w:rPr>
      </w:pPr>
    </w:p>
    <w:p w:rsidR="008C54C3" w:rsidRPr="009D7E59" w:rsidRDefault="008C54C3">
      <w:pPr>
        <w:autoSpaceDE/>
        <w:autoSpaceDN/>
        <w:rPr>
          <w:sz w:val="20"/>
          <w:szCs w:val="20"/>
        </w:rPr>
      </w:pPr>
      <w:r w:rsidRPr="009D7E59">
        <w:rPr>
          <w:sz w:val="20"/>
          <w:szCs w:val="20"/>
        </w:rPr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8C54C3" w:rsidRPr="009D7E59" w:rsidTr="007B1E67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D7E5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D7E59">
              <w:rPr>
                <w:lang w:eastAsia="sk-SK"/>
              </w:rPr>
              <w:t>V stĺpci (1):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Č – článok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O – odsek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V – veta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 xml:space="preserve">P – </w:t>
            </w:r>
            <w:r w:rsidR="00DA0F6C" w:rsidRPr="009D7E59">
              <w:rPr>
                <w:sz w:val="20"/>
                <w:szCs w:val="20"/>
              </w:rPr>
              <w:t>číslo</w:t>
            </w:r>
            <w:r w:rsidRPr="009D7E59">
              <w:rPr>
                <w:sz w:val="20"/>
                <w:szCs w:val="20"/>
              </w:rPr>
              <w:t xml:space="preserve"> (</w:t>
            </w:r>
            <w:r w:rsidR="00DA0F6C" w:rsidRPr="009D7E59">
              <w:rPr>
                <w:sz w:val="20"/>
                <w:szCs w:val="20"/>
              </w:rPr>
              <w:t>písmeno</w:t>
            </w:r>
            <w:r w:rsidRPr="009D7E59">
              <w:rPr>
                <w:sz w:val="20"/>
                <w:szCs w:val="20"/>
              </w:rPr>
              <w:t>)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D7E5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D7E59">
              <w:rPr>
                <w:lang w:eastAsia="sk-SK"/>
              </w:rPr>
              <w:t>V stĺpci (3):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N – bežná transpozícia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O – transpozícia s možnosťou voľby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D – transpozícia podľa úvahy (dobrovoľná)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D7E5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D7E59">
              <w:rPr>
                <w:lang w:eastAsia="sk-SK"/>
              </w:rPr>
              <w:t>V stĺpci (5):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Č – článok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§ – paragraf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O – odsek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V – veta</w:t>
            </w:r>
          </w:p>
          <w:p w:rsidR="008C54C3" w:rsidRPr="009D7E59" w:rsidRDefault="008C54C3" w:rsidP="00EA2050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 xml:space="preserve">P – </w:t>
            </w:r>
            <w:r w:rsidR="00EA2050" w:rsidRPr="009D7E59">
              <w:rPr>
                <w:sz w:val="20"/>
                <w:szCs w:val="20"/>
              </w:rPr>
              <w:t>pododsek</w:t>
            </w:r>
            <w:r w:rsidRPr="009D7E59">
              <w:rPr>
                <w:sz w:val="20"/>
                <w:szCs w:val="20"/>
              </w:rPr>
              <w:t xml:space="preserve"> (</w:t>
            </w:r>
            <w:r w:rsidR="00EA2050" w:rsidRPr="009D7E59">
              <w:rPr>
                <w:sz w:val="20"/>
                <w:szCs w:val="20"/>
              </w:rPr>
              <w:t>bod</w:t>
            </w:r>
            <w:r w:rsidRPr="009D7E59">
              <w:rPr>
                <w:sz w:val="20"/>
                <w:szCs w:val="20"/>
              </w:rPr>
              <w:t>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D7E5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D7E59">
              <w:rPr>
                <w:lang w:eastAsia="sk-SK"/>
              </w:rPr>
              <w:t>V stĺpci (7):</w:t>
            </w:r>
          </w:p>
          <w:p w:rsidR="008C54C3" w:rsidRPr="009D7E59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9D7E59">
              <w:rPr>
                <w:sz w:val="20"/>
                <w:szCs w:val="20"/>
              </w:rPr>
              <w:t>e</w:t>
            </w:r>
            <w:r w:rsidRPr="009D7E59">
              <w:rPr>
                <w:sz w:val="20"/>
                <w:szCs w:val="20"/>
              </w:rPr>
              <w:t>, so zabezpečenou inštitucionálnou</w:t>
            </w:r>
            <w:r w:rsidR="000C2E53" w:rsidRPr="009D7E59">
              <w:rPr>
                <w:sz w:val="20"/>
                <w:szCs w:val="20"/>
              </w:rPr>
              <w:t xml:space="preserve"> </w:t>
            </w:r>
            <w:r w:rsidRPr="009D7E59">
              <w:rPr>
                <w:sz w:val="20"/>
                <w:szCs w:val="20"/>
              </w:rPr>
              <w:t xml:space="preserve"> </w:t>
            </w:r>
            <w:r w:rsidR="000C2E53" w:rsidRPr="009D7E59">
              <w:rPr>
                <w:sz w:val="20"/>
                <w:szCs w:val="20"/>
              </w:rPr>
              <w:t>i</w:t>
            </w:r>
            <w:r w:rsidRPr="009D7E59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9D7E5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9D7E59" w:rsidRDefault="008C54C3">
            <w:pPr>
              <w:pStyle w:val="Zarkazkladnhotextu2"/>
            </w:pPr>
            <w:r w:rsidRPr="009D7E59">
              <w:t xml:space="preserve">Ž – žiadna zhoda (ak </w:t>
            </w:r>
            <w:r w:rsidR="00EA2050" w:rsidRPr="009D7E59">
              <w:t>nie je</w:t>
            </w:r>
            <w:r w:rsidRPr="009D7E59">
              <w:t xml:space="preserve"> dosiahnutá ani úplná ani čiast</w:t>
            </w:r>
            <w:r w:rsidR="00EA2050" w:rsidRPr="009D7E59">
              <w:t>očná</w:t>
            </w:r>
            <w:r w:rsidRPr="009D7E59">
              <w:t xml:space="preserve"> zhoda alebo k prebratiu dôjde v budúcnosti)</w:t>
            </w:r>
          </w:p>
          <w:p w:rsidR="008C54C3" w:rsidRPr="009D7E59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9D7E59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9D7E59" w:rsidRDefault="00EA2050">
      <w:pPr>
        <w:autoSpaceDE/>
        <w:autoSpaceDN/>
        <w:rPr>
          <w:sz w:val="20"/>
          <w:szCs w:val="20"/>
        </w:rPr>
      </w:pPr>
      <w:r w:rsidRPr="009D7E59">
        <w:rPr>
          <w:sz w:val="20"/>
          <w:szCs w:val="20"/>
        </w:rPr>
        <w:t>V stĺpci (9):</w:t>
      </w:r>
    </w:p>
    <w:p w:rsidR="00EA2050" w:rsidRPr="009D7E59" w:rsidRDefault="00EA2050">
      <w:pPr>
        <w:autoSpaceDE/>
        <w:autoSpaceDN/>
        <w:rPr>
          <w:sz w:val="20"/>
          <w:szCs w:val="20"/>
        </w:rPr>
      </w:pPr>
      <w:r w:rsidRPr="009D7E59">
        <w:rPr>
          <w:sz w:val="20"/>
          <w:szCs w:val="20"/>
        </w:rPr>
        <w:t>GP-A a) až g): goldplating je identifikovaný</w:t>
      </w:r>
    </w:p>
    <w:p w:rsidR="00EA2050" w:rsidRDefault="00EA2050">
      <w:pPr>
        <w:autoSpaceDE/>
        <w:autoSpaceDN/>
        <w:rPr>
          <w:sz w:val="20"/>
          <w:szCs w:val="20"/>
        </w:rPr>
      </w:pPr>
      <w:r w:rsidRPr="009D7E59">
        <w:rPr>
          <w:sz w:val="20"/>
          <w:szCs w:val="20"/>
        </w:rPr>
        <w:t>GP-N: goldplating nie je identifikovaný</w:t>
      </w:r>
    </w:p>
    <w:p w:rsidR="00EA2050" w:rsidRPr="00EA2050" w:rsidRDefault="00EA2050">
      <w:pPr>
        <w:autoSpaceDE/>
        <w:autoSpaceDN/>
        <w:rPr>
          <w:sz w:val="20"/>
          <w:szCs w:val="20"/>
        </w:rPr>
      </w:pPr>
    </w:p>
    <w:p w:rsidR="00164CCD" w:rsidRPr="00D93A6B" w:rsidRDefault="00164CCD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0"/>
          <w:szCs w:val="20"/>
        </w:rPr>
      </w:pPr>
    </w:p>
    <w:sectPr w:rsidR="00164CCD" w:rsidRPr="00D93A6B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3C" w:rsidRDefault="00146E3C">
      <w:r>
        <w:separator/>
      </w:r>
    </w:p>
  </w:endnote>
  <w:endnote w:type="continuationSeparator" w:id="0">
    <w:p w:rsidR="00146E3C" w:rsidRDefault="0014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537900"/>
      <w:docPartObj>
        <w:docPartGallery w:val="Page Numbers (Bottom of Page)"/>
        <w:docPartUnique/>
      </w:docPartObj>
    </w:sdtPr>
    <w:sdtEndPr/>
    <w:sdtContent>
      <w:p w:rsidR="00AC6B6C" w:rsidRDefault="00AC6B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641">
          <w:rPr>
            <w:noProof/>
          </w:rPr>
          <w:t>4</w:t>
        </w:r>
        <w:r>
          <w:fldChar w:fldCharType="end"/>
        </w:r>
      </w:p>
    </w:sdtContent>
  </w:sdt>
  <w:p w:rsidR="00AC6B6C" w:rsidRDefault="00AC6B6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3C" w:rsidRDefault="00146E3C">
      <w:r>
        <w:separator/>
      </w:r>
    </w:p>
  </w:footnote>
  <w:footnote w:type="continuationSeparator" w:id="0">
    <w:p w:rsidR="00146E3C" w:rsidRDefault="0014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73FA9"/>
    <w:multiLevelType w:val="hybridMultilevel"/>
    <w:tmpl w:val="77EE4730"/>
    <w:lvl w:ilvl="0" w:tplc="C6CAC0F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033695"/>
    <w:multiLevelType w:val="hybridMultilevel"/>
    <w:tmpl w:val="72E08F64"/>
    <w:lvl w:ilvl="0" w:tplc="710A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42D"/>
    <w:multiLevelType w:val="hybridMultilevel"/>
    <w:tmpl w:val="9F3AE4D4"/>
    <w:lvl w:ilvl="0" w:tplc="32A2E0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2B98"/>
    <w:multiLevelType w:val="hybridMultilevel"/>
    <w:tmpl w:val="57CA3284"/>
    <w:lvl w:ilvl="0" w:tplc="F2BE22F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2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03B12"/>
    <w:multiLevelType w:val="hybridMultilevel"/>
    <w:tmpl w:val="1604ED90"/>
    <w:lvl w:ilvl="0" w:tplc="9A74DA4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5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3F4D"/>
    <w:multiLevelType w:val="hybridMultilevel"/>
    <w:tmpl w:val="C14C3A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0E2A3F"/>
    <w:multiLevelType w:val="hybridMultilevel"/>
    <w:tmpl w:val="786E7BD6"/>
    <w:lvl w:ilvl="0" w:tplc="6B00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5F4F"/>
    <w:multiLevelType w:val="hybridMultilevel"/>
    <w:tmpl w:val="4A80730C"/>
    <w:lvl w:ilvl="0" w:tplc="CD4C7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6"/>
  </w:num>
  <w:num w:numId="12">
    <w:abstractNumId w:val="4"/>
  </w:num>
  <w:num w:numId="13">
    <w:abstractNumId w:val="15"/>
  </w:num>
  <w:num w:numId="14">
    <w:abstractNumId w:val="3"/>
  </w:num>
  <w:num w:numId="15">
    <w:abstractNumId w:val="13"/>
  </w:num>
  <w:num w:numId="16">
    <w:abstractNumId w:val="2"/>
  </w:num>
  <w:num w:numId="17">
    <w:abstractNumId w:val="0"/>
  </w:num>
  <w:num w:numId="18">
    <w:abstractNumId w:val="10"/>
  </w:num>
  <w:num w:numId="19">
    <w:abstractNumId w:val="17"/>
  </w:num>
  <w:num w:numId="20">
    <w:abstractNumId w:val="14"/>
  </w:num>
  <w:num w:numId="21">
    <w:abstractNumId w:val="7"/>
  </w:num>
  <w:num w:numId="22">
    <w:abstractNumId w:val="8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7DF"/>
    <w:rsid w:val="0000081F"/>
    <w:rsid w:val="000010AA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24C3D"/>
    <w:rsid w:val="000279C3"/>
    <w:rsid w:val="0003223A"/>
    <w:rsid w:val="0003338B"/>
    <w:rsid w:val="000335E3"/>
    <w:rsid w:val="00033664"/>
    <w:rsid w:val="00034695"/>
    <w:rsid w:val="00035A6A"/>
    <w:rsid w:val="00042D25"/>
    <w:rsid w:val="000438AC"/>
    <w:rsid w:val="000438E5"/>
    <w:rsid w:val="00051B4A"/>
    <w:rsid w:val="000542AC"/>
    <w:rsid w:val="00061412"/>
    <w:rsid w:val="00064835"/>
    <w:rsid w:val="00072061"/>
    <w:rsid w:val="000759D9"/>
    <w:rsid w:val="00083DD7"/>
    <w:rsid w:val="0008467D"/>
    <w:rsid w:val="00087B6F"/>
    <w:rsid w:val="0009056A"/>
    <w:rsid w:val="00090AD4"/>
    <w:rsid w:val="000919EE"/>
    <w:rsid w:val="00091F63"/>
    <w:rsid w:val="00094399"/>
    <w:rsid w:val="00095FAD"/>
    <w:rsid w:val="000965E8"/>
    <w:rsid w:val="00097866"/>
    <w:rsid w:val="000A0FEE"/>
    <w:rsid w:val="000A1958"/>
    <w:rsid w:val="000A1DA8"/>
    <w:rsid w:val="000A2272"/>
    <w:rsid w:val="000A27CE"/>
    <w:rsid w:val="000A3615"/>
    <w:rsid w:val="000A6FA7"/>
    <w:rsid w:val="000A71F7"/>
    <w:rsid w:val="000B1C30"/>
    <w:rsid w:val="000B2552"/>
    <w:rsid w:val="000B3F90"/>
    <w:rsid w:val="000B435A"/>
    <w:rsid w:val="000B5D40"/>
    <w:rsid w:val="000B733E"/>
    <w:rsid w:val="000C12A6"/>
    <w:rsid w:val="000C29CF"/>
    <w:rsid w:val="000C2E53"/>
    <w:rsid w:val="000C34EA"/>
    <w:rsid w:val="000C7D0F"/>
    <w:rsid w:val="000D121A"/>
    <w:rsid w:val="000D2EC2"/>
    <w:rsid w:val="000D3972"/>
    <w:rsid w:val="000D4BAE"/>
    <w:rsid w:val="000D64FB"/>
    <w:rsid w:val="000D68F7"/>
    <w:rsid w:val="000E1C8B"/>
    <w:rsid w:val="000E24CE"/>
    <w:rsid w:val="000E422D"/>
    <w:rsid w:val="000E44EB"/>
    <w:rsid w:val="000E470E"/>
    <w:rsid w:val="000E59D9"/>
    <w:rsid w:val="000E7959"/>
    <w:rsid w:val="000F04B5"/>
    <w:rsid w:val="000F2E31"/>
    <w:rsid w:val="000F3B20"/>
    <w:rsid w:val="001010B3"/>
    <w:rsid w:val="00107019"/>
    <w:rsid w:val="001078E8"/>
    <w:rsid w:val="00110BE1"/>
    <w:rsid w:val="00111C87"/>
    <w:rsid w:val="001135E7"/>
    <w:rsid w:val="00116BA3"/>
    <w:rsid w:val="00117BBB"/>
    <w:rsid w:val="0012260E"/>
    <w:rsid w:val="00127033"/>
    <w:rsid w:val="001276F9"/>
    <w:rsid w:val="00130EEF"/>
    <w:rsid w:val="0013342C"/>
    <w:rsid w:val="00133C54"/>
    <w:rsid w:val="001372DD"/>
    <w:rsid w:val="0013749A"/>
    <w:rsid w:val="00142395"/>
    <w:rsid w:val="00143E65"/>
    <w:rsid w:val="00144B36"/>
    <w:rsid w:val="00146359"/>
    <w:rsid w:val="00146E3C"/>
    <w:rsid w:val="00147839"/>
    <w:rsid w:val="001524E7"/>
    <w:rsid w:val="001530B4"/>
    <w:rsid w:val="00153AE6"/>
    <w:rsid w:val="00153B33"/>
    <w:rsid w:val="00154999"/>
    <w:rsid w:val="001577E6"/>
    <w:rsid w:val="00163FF7"/>
    <w:rsid w:val="00164CCD"/>
    <w:rsid w:val="001667B6"/>
    <w:rsid w:val="001746FA"/>
    <w:rsid w:val="00174B84"/>
    <w:rsid w:val="001752A2"/>
    <w:rsid w:val="00180E78"/>
    <w:rsid w:val="00190C44"/>
    <w:rsid w:val="0019343D"/>
    <w:rsid w:val="001A2BB4"/>
    <w:rsid w:val="001A4B1B"/>
    <w:rsid w:val="001B0DDE"/>
    <w:rsid w:val="001B145C"/>
    <w:rsid w:val="001B2153"/>
    <w:rsid w:val="001B4215"/>
    <w:rsid w:val="001B467C"/>
    <w:rsid w:val="001B6991"/>
    <w:rsid w:val="001B6E65"/>
    <w:rsid w:val="001C098C"/>
    <w:rsid w:val="001C3A0B"/>
    <w:rsid w:val="001D247E"/>
    <w:rsid w:val="001D3979"/>
    <w:rsid w:val="001D71C6"/>
    <w:rsid w:val="001E3C6B"/>
    <w:rsid w:val="001E4A27"/>
    <w:rsid w:val="001E4C2B"/>
    <w:rsid w:val="001F128B"/>
    <w:rsid w:val="001F160D"/>
    <w:rsid w:val="001F221B"/>
    <w:rsid w:val="001F2753"/>
    <w:rsid w:val="001F6655"/>
    <w:rsid w:val="001F731B"/>
    <w:rsid w:val="002009B9"/>
    <w:rsid w:val="00202B5E"/>
    <w:rsid w:val="002032AE"/>
    <w:rsid w:val="002044EA"/>
    <w:rsid w:val="00204DE9"/>
    <w:rsid w:val="0020518B"/>
    <w:rsid w:val="0021553E"/>
    <w:rsid w:val="00216806"/>
    <w:rsid w:val="00217BF4"/>
    <w:rsid w:val="00217DA0"/>
    <w:rsid w:val="002205D6"/>
    <w:rsid w:val="002259D6"/>
    <w:rsid w:val="00230238"/>
    <w:rsid w:val="00230F8C"/>
    <w:rsid w:val="00233E54"/>
    <w:rsid w:val="002346E1"/>
    <w:rsid w:val="002349E4"/>
    <w:rsid w:val="00235BF7"/>
    <w:rsid w:val="0023798B"/>
    <w:rsid w:val="0025212B"/>
    <w:rsid w:val="0025428F"/>
    <w:rsid w:val="002631BB"/>
    <w:rsid w:val="00265849"/>
    <w:rsid w:val="00266EF2"/>
    <w:rsid w:val="00270E65"/>
    <w:rsid w:val="00280950"/>
    <w:rsid w:val="00281E90"/>
    <w:rsid w:val="002820AB"/>
    <w:rsid w:val="00283062"/>
    <w:rsid w:val="0028589E"/>
    <w:rsid w:val="00290E69"/>
    <w:rsid w:val="00295559"/>
    <w:rsid w:val="002A232C"/>
    <w:rsid w:val="002A6471"/>
    <w:rsid w:val="002A7574"/>
    <w:rsid w:val="002B0074"/>
    <w:rsid w:val="002B3641"/>
    <w:rsid w:val="002B3AC1"/>
    <w:rsid w:val="002B3EF5"/>
    <w:rsid w:val="002B488F"/>
    <w:rsid w:val="002C14B8"/>
    <w:rsid w:val="002C4AE3"/>
    <w:rsid w:val="002C75B7"/>
    <w:rsid w:val="002D3BCB"/>
    <w:rsid w:val="002D48F9"/>
    <w:rsid w:val="002D5C0E"/>
    <w:rsid w:val="002D666A"/>
    <w:rsid w:val="002D790E"/>
    <w:rsid w:val="002E16FC"/>
    <w:rsid w:val="002E1D16"/>
    <w:rsid w:val="002E2ACA"/>
    <w:rsid w:val="002E53FD"/>
    <w:rsid w:val="002E7C65"/>
    <w:rsid w:val="002E7E64"/>
    <w:rsid w:val="00302AC1"/>
    <w:rsid w:val="00305C4E"/>
    <w:rsid w:val="00307751"/>
    <w:rsid w:val="00312349"/>
    <w:rsid w:val="00314EC0"/>
    <w:rsid w:val="0031594F"/>
    <w:rsid w:val="0031706D"/>
    <w:rsid w:val="00320238"/>
    <w:rsid w:val="00320F53"/>
    <w:rsid w:val="00322B38"/>
    <w:rsid w:val="00323F04"/>
    <w:rsid w:val="003242EA"/>
    <w:rsid w:val="00324DB4"/>
    <w:rsid w:val="00325741"/>
    <w:rsid w:val="0032758E"/>
    <w:rsid w:val="00327AC1"/>
    <w:rsid w:val="003334D9"/>
    <w:rsid w:val="00333657"/>
    <w:rsid w:val="003340CF"/>
    <w:rsid w:val="00336126"/>
    <w:rsid w:val="00336A36"/>
    <w:rsid w:val="00345571"/>
    <w:rsid w:val="00354D8F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11BC"/>
    <w:rsid w:val="00373807"/>
    <w:rsid w:val="003764FB"/>
    <w:rsid w:val="00376880"/>
    <w:rsid w:val="00380483"/>
    <w:rsid w:val="00381177"/>
    <w:rsid w:val="00382FC0"/>
    <w:rsid w:val="00390F4C"/>
    <w:rsid w:val="0039198C"/>
    <w:rsid w:val="00391DC5"/>
    <w:rsid w:val="00393456"/>
    <w:rsid w:val="003942F4"/>
    <w:rsid w:val="00394318"/>
    <w:rsid w:val="0039471A"/>
    <w:rsid w:val="00395EA0"/>
    <w:rsid w:val="00397777"/>
    <w:rsid w:val="003A0965"/>
    <w:rsid w:val="003A1479"/>
    <w:rsid w:val="003A42E8"/>
    <w:rsid w:val="003B014D"/>
    <w:rsid w:val="003B27CA"/>
    <w:rsid w:val="003B4E90"/>
    <w:rsid w:val="003B679E"/>
    <w:rsid w:val="003B7570"/>
    <w:rsid w:val="003B7B17"/>
    <w:rsid w:val="003C0617"/>
    <w:rsid w:val="003C20D1"/>
    <w:rsid w:val="003C2FD2"/>
    <w:rsid w:val="003C415A"/>
    <w:rsid w:val="003C5A8D"/>
    <w:rsid w:val="003D00CE"/>
    <w:rsid w:val="003D2A18"/>
    <w:rsid w:val="003D3DC6"/>
    <w:rsid w:val="003E01B8"/>
    <w:rsid w:val="003E548E"/>
    <w:rsid w:val="003E7B78"/>
    <w:rsid w:val="003F1748"/>
    <w:rsid w:val="003F3DC7"/>
    <w:rsid w:val="003F3F3B"/>
    <w:rsid w:val="003F68D8"/>
    <w:rsid w:val="003F7473"/>
    <w:rsid w:val="003F7922"/>
    <w:rsid w:val="003F7D82"/>
    <w:rsid w:val="004017DE"/>
    <w:rsid w:val="00405080"/>
    <w:rsid w:val="00406FEE"/>
    <w:rsid w:val="004137C2"/>
    <w:rsid w:val="004147AB"/>
    <w:rsid w:val="00420CD1"/>
    <w:rsid w:val="004227FE"/>
    <w:rsid w:val="00424270"/>
    <w:rsid w:val="004242C5"/>
    <w:rsid w:val="00425ADF"/>
    <w:rsid w:val="00425DE1"/>
    <w:rsid w:val="004264F0"/>
    <w:rsid w:val="004271DE"/>
    <w:rsid w:val="004278A8"/>
    <w:rsid w:val="004312DC"/>
    <w:rsid w:val="00440A2A"/>
    <w:rsid w:val="00447E86"/>
    <w:rsid w:val="00451FC4"/>
    <w:rsid w:val="00452A01"/>
    <w:rsid w:val="004572AD"/>
    <w:rsid w:val="004577EC"/>
    <w:rsid w:val="004608D2"/>
    <w:rsid w:val="0046584A"/>
    <w:rsid w:val="004702F2"/>
    <w:rsid w:val="004711EB"/>
    <w:rsid w:val="00475473"/>
    <w:rsid w:val="00477495"/>
    <w:rsid w:val="00481F76"/>
    <w:rsid w:val="00484D63"/>
    <w:rsid w:val="00486046"/>
    <w:rsid w:val="00493866"/>
    <w:rsid w:val="004A5C9C"/>
    <w:rsid w:val="004A60E2"/>
    <w:rsid w:val="004A6F9B"/>
    <w:rsid w:val="004A6FC8"/>
    <w:rsid w:val="004A7369"/>
    <w:rsid w:val="004A7BE2"/>
    <w:rsid w:val="004B1C7D"/>
    <w:rsid w:val="004B2FD1"/>
    <w:rsid w:val="004B3D67"/>
    <w:rsid w:val="004B6356"/>
    <w:rsid w:val="004B7E9E"/>
    <w:rsid w:val="004C4639"/>
    <w:rsid w:val="004D009B"/>
    <w:rsid w:val="004D24C9"/>
    <w:rsid w:val="004D2724"/>
    <w:rsid w:val="004D477B"/>
    <w:rsid w:val="004D53FD"/>
    <w:rsid w:val="004E0987"/>
    <w:rsid w:val="004E4A83"/>
    <w:rsid w:val="004E62DB"/>
    <w:rsid w:val="004E7F6E"/>
    <w:rsid w:val="004F18FF"/>
    <w:rsid w:val="004F270B"/>
    <w:rsid w:val="004F3F47"/>
    <w:rsid w:val="004F4061"/>
    <w:rsid w:val="004F416C"/>
    <w:rsid w:val="005008B2"/>
    <w:rsid w:val="00511C6B"/>
    <w:rsid w:val="00511FD4"/>
    <w:rsid w:val="00514EFC"/>
    <w:rsid w:val="00515118"/>
    <w:rsid w:val="005170A9"/>
    <w:rsid w:val="0052106D"/>
    <w:rsid w:val="00525662"/>
    <w:rsid w:val="00530734"/>
    <w:rsid w:val="0053137A"/>
    <w:rsid w:val="00540A0D"/>
    <w:rsid w:val="00540E9D"/>
    <w:rsid w:val="0054251A"/>
    <w:rsid w:val="00542964"/>
    <w:rsid w:val="00552172"/>
    <w:rsid w:val="00556593"/>
    <w:rsid w:val="005600D4"/>
    <w:rsid w:val="005606FC"/>
    <w:rsid w:val="00570E6F"/>
    <w:rsid w:val="005716EE"/>
    <w:rsid w:val="0057397E"/>
    <w:rsid w:val="00573DF5"/>
    <w:rsid w:val="005817F0"/>
    <w:rsid w:val="00581B10"/>
    <w:rsid w:val="005821D7"/>
    <w:rsid w:val="00584980"/>
    <w:rsid w:val="00585116"/>
    <w:rsid w:val="00590EE2"/>
    <w:rsid w:val="00591026"/>
    <w:rsid w:val="005947B8"/>
    <w:rsid w:val="00594AEB"/>
    <w:rsid w:val="005A6E8B"/>
    <w:rsid w:val="005B2E74"/>
    <w:rsid w:val="005B313E"/>
    <w:rsid w:val="005B672A"/>
    <w:rsid w:val="005C0A8B"/>
    <w:rsid w:val="005C5764"/>
    <w:rsid w:val="005C580D"/>
    <w:rsid w:val="005D11D3"/>
    <w:rsid w:val="005D45A7"/>
    <w:rsid w:val="005D48F3"/>
    <w:rsid w:val="005E101D"/>
    <w:rsid w:val="005E147F"/>
    <w:rsid w:val="005E21AF"/>
    <w:rsid w:val="005F0025"/>
    <w:rsid w:val="005F26BE"/>
    <w:rsid w:val="005F2BDA"/>
    <w:rsid w:val="005F371E"/>
    <w:rsid w:val="005F394A"/>
    <w:rsid w:val="005F442D"/>
    <w:rsid w:val="005F579A"/>
    <w:rsid w:val="005F7A13"/>
    <w:rsid w:val="0060152C"/>
    <w:rsid w:val="0060191B"/>
    <w:rsid w:val="00602517"/>
    <w:rsid w:val="00610BAA"/>
    <w:rsid w:val="00610DD2"/>
    <w:rsid w:val="00612D7E"/>
    <w:rsid w:val="00613482"/>
    <w:rsid w:val="00613598"/>
    <w:rsid w:val="00615208"/>
    <w:rsid w:val="0061634A"/>
    <w:rsid w:val="00617527"/>
    <w:rsid w:val="006218A7"/>
    <w:rsid w:val="006219E4"/>
    <w:rsid w:val="00621C15"/>
    <w:rsid w:val="0062313B"/>
    <w:rsid w:val="00623B9E"/>
    <w:rsid w:val="00630757"/>
    <w:rsid w:val="00630EC5"/>
    <w:rsid w:val="006335EB"/>
    <w:rsid w:val="006423F6"/>
    <w:rsid w:val="0064397E"/>
    <w:rsid w:val="0064697B"/>
    <w:rsid w:val="00650D9D"/>
    <w:rsid w:val="00654D55"/>
    <w:rsid w:val="00655075"/>
    <w:rsid w:val="00655901"/>
    <w:rsid w:val="00655DC9"/>
    <w:rsid w:val="00661AF5"/>
    <w:rsid w:val="00665CC7"/>
    <w:rsid w:val="00670C4F"/>
    <w:rsid w:val="00672934"/>
    <w:rsid w:val="00680FFB"/>
    <w:rsid w:val="00682B21"/>
    <w:rsid w:val="00683A6B"/>
    <w:rsid w:val="00684D6E"/>
    <w:rsid w:val="00685557"/>
    <w:rsid w:val="0068796C"/>
    <w:rsid w:val="0069278C"/>
    <w:rsid w:val="00693963"/>
    <w:rsid w:val="00694CD8"/>
    <w:rsid w:val="00695AD1"/>
    <w:rsid w:val="00695ADA"/>
    <w:rsid w:val="00695DA2"/>
    <w:rsid w:val="006A404A"/>
    <w:rsid w:val="006A5424"/>
    <w:rsid w:val="006B3241"/>
    <w:rsid w:val="006B5B9B"/>
    <w:rsid w:val="006B6F46"/>
    <w:rsid w:val="006C5512"/>
    <w:rsid w:val="006C572C"/>
    <w:rsid w:val="006C5C9D"/>
    <w:rsid w:val="006C62D8"/>
    <w:rsid w:val="006D4972"/>
    <w:rsid w:val="006E04A4"/>
    <w:rsid w:val="006E11AB"/>
    <w:rsid w:val="006E5A31"/>
    <w:rsid w:val="006E689D"/>
    <w:rsid w:val="006E6FD7"/>
    <w:rsid w:val="006F0F06"/>
    <w:rsid w:val="006F16E7"/>
    <w:rsid w:val="006F32CE"/>
    <w:rsid w:val="006F4297"/>
    <w:rsid w:val="0070070D"/>
    <w:rsid w:val="00702056"/>
    <w:rsid w:val="007026FB"/>
    <w:rsid w:val="00704687"/>
    <w:rsid w:val="00704FBF"/>
    <w:rsid w:val="0070514F"/>
    <w:rsid w:val="00711F51"/>
    <w:rsid w:val="00713EC4"/>
    <w:rsid w:val="00714C0D"/>
    <w:rsid w:val="00720D5C"/>
    <w:rsid w:val="00727491"/>
    <w:rsid w:val="00730D1F"/>
    <w:rsid w:val="007335FC"/>
    <w:rsid w:val="00733D23"/>
    <w:rsid w:val="0073712A"/>
    <w:rsid w:val="0074191A"/>
    <w:rsid w:val="007463FB"/>
    <w:rsid w:val="0075017D"/>
    <w:rsid w:val="00751115"/>
    <w:rsid w:val="00751E55"/>
    <w:rsid w:val="007679F9"/>
    <w:rsid w:val="00770A67"/>
    <w:rsid w:val="007717A4"/>
    <w:rsid w:val="007726CF"/>
    <w:rsid w:val="00777457"/>
    <w:rsid w:val="0078287E"/>
    <w:rsid w:val="00782AB1"/>
    <w:rsid w:val="00782FD1"/>
    <w:rsid w:val="00783BB0"/>
    <w:rsid w:val="0078614F"/>
    <w:rsid w:val="00790CF4"/>
    <w:rsid w:val="007920B2"/>
    <w:rsid w:val="007968B1"/>
    <w:rsid w:val="007A0BA8"/>
    <w:rsid w:val="007A11C7"/>
    <w:rsid w:val="007A1D32"/>
    <w:rsid w:val="007B1E67"/>
    <w:rsid w:val="007B218C"/>
    <w:rsid w:val="007B646E"/>
    <w:rsid w:val="007B6ABB"/>
    <w:rsid w:val="007C032E"/>
    <w:rsid w:val="007C07F1"/>
    <w:rsid w:val="007C2503"/>
    <w:rsid w:val="007C3304"/>
    <w:rsid w:val="007D18F3"/>
    <w:rsid w:val="007D23E4"/>
    <w:rsid w:val="007D44B3"/>
    <w:rsid w:val="007D73F5"/>
    <w:rsid w:val="007E0D80"/>
    <w:rsid w:val="007E14BD"/>
    <w:rsid w:val="007E6A9C"/>
    <w:rsid w:val="007F6A8A"/>
    <w:rsid w:val="007F6E1C"/>
    <w:rsid w:val="007F761A"/>
    <w:rsid w:val="0080171F"/>
    <w:rsid w:val="00803EDB"/>
    <w:rsid w:val="008063D2"/>
    <w:rsid w:val="00806E4A"/>
    <w:rsid w:val="00811830"/>
    <w:rsid w:val="00813939"/>
    <w:rsid w:val="00816C0F"/>
    <w:rsid w:val="008228D6"/>
    <w:rsid w:val="00822BDC"/>
    <w:rsid w:val="00823956"/>
    <w:rsid w:val="0082748F"/>
    <w:rsid w:val="00830AE0"/>
    <w:rsid w:val="00833792"/>
    <w:rsid w:val="0083726E"/>
    <w:rsid w:val="00843C0E"/>
    <w:rsid w:val="00846A72"/>
    <w:rsid w:val="00850EEE"/>
    <w:rsid w:val="00852C87"/>
    <w:rsid w:val="00860DD7"/>
    <w:rsid w:val="00864E4E"/>
    <w:rsid w:val="00865CBB"/>
    <w:rsid w:val="0087708E"/>
    <w:rsid w:val="008803E3"/>
    <w:rsid w:val="00884F77"/>
    <w:rsid w:val="008869B3"/>
    <w:rsid w:val="00890240"/>
    <w:rsid w:val="00890CD4"/>
    <w:rsid w:val="008926C3"/>
    <w:rsid w:val="00894661"/>
    <w:rsid w:val="00895EB3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C36"/>
    <w:rsid w:val="008B6D6B"/>
    <w:rsid w:val="008C028D"/>
    <w:rsid w:val="008C1E7D"/>
    <w:rsid w:val="008C45D0"/>
    <w:rsid w:val="008C54C3"/>
    <w:rsid w:val="008C7BF8"/>
    <w:rsid w:val="008D2FE2"/>
    <w:rsid w:val="008D54CD"/>
    <w:rsid w:val="008D6128"/>
    <w:rsid w:val="008D624E"/>
    <w:rsid w:val="008E2125"/>
    <w:rsid w:val="008E26D8"/>
    <w:rsid w:val="008E2724"/>
    <w:rsid w:val="008E5E22"/>
    <w:rsid w:val="008E70C6"/>
    <w:rsid w:val="008F01F6"/>
    <w:rsid w:val="008F172A"/>
    <w:rsid w:val="008F34EB"/>
    <w:rsid w:val="00900F07"/>
    <w:rsid w:val="00901A20"/>
    <w:rsid w:val="00903B2D"/>
    <w:rsid w:val="009046A0"/>
    <w:rsid w:val="00905A23"/>
    <w:rsid w:val="00905D4A"/>
    <w:rsid w:val="009069A1"/>
    <w:rsid w:val="00907FC4"/>
    <w:rsid w:val="0091045F"/>
    <w:rsid w:val="00910F3E"/>
    <w:rsid w:val="00913471"/>
    <w:rsid w:val="0091636B"/>
    <w:rsid w:val="00917FE8"/>
    <w:rsid w:val="00921099"/>
    <w:rsid w:val="009219A5"/>
    <w:rsid w:val="00922A3D"/>
    <w:rsid w:val="00922D08"/>
    <w:rsid w:val="00922D5E"/>
    <w:rsid w:val="00937C3C"/>
    <w:rsid w:val="009403F3"/>
    <w:rsid w:val="009410F5"/>
    <w:rsid w:val="009411C0"/>
    <w:rsid w:val="0094329C"/>
    <w:rsid w:val="00945A88"/>
    <w:rsid w:val="00946535"/>
    <w:rsid w:val="0095169A"/>
    <w:rsid w:val="009533BD"/>
    <w:rsid w:val="009538B3"/>
    <w:rsid w:val="00954023"/>
    <w:rsid w:val="00954D3D"/>
    <w:rsid w:val="0095794C"/>
    <w:rsid w:val="009612AA"/>
    <w:rsid w:val="009612CE"/>
    <w:rsid w:val="00964073"/>
    <w:rsid w:val="0096592D"/>
    <w:rsid w:val="00966F55"/>
    <w:rsid w:val="009735F0"/>
    <w:rsid w:val="009736D3"/>
    <w:rsid w:val="0097749F"/>
    <w:rsid w:val="00980FF4"/>
    <w:rsid w:val="009811EC"/>
    <w:rsid w:val="009826E3"/>
    <w:rsid w:val="0098281F"/>
    <w:rsid w:val="00987AAE"/>
    <w:rsid w:val="00987FC0"/>
    <w:rsid w:val="00990F29"/>
    <w:rsid w:val="00991759"/>
    <w:rsid w:val="009940EB"/>
    <w:rsid w:val="00995F4C"/>
    <w:rsid w:val="009964FF"/>
    <w:rsid w:val="009B1D04"/>
    <w:rsid w:val="009B1DD0"/>
    <w:rsid w:val="009B5AAE"/>
    <w:rsid w:val="009B68B2"/>
    <w:rsid w:val="009B7B3F"/>
    <w:rsid w:val="009C087F"/>
    <w:rsid w:val="009C2465"/>
    <w:rsid w:val="009C2B61"/>
    <w:rsid w:val="009C4A33"/>
    <w:rsid w:val="009D0E76"/>
    <w:rsid w:val="009D1B8D"/>
    <w:rsid w:val="009D242E"/>
    <w:rsid w:val="009D4D99"/>
    <w:rsid w:val="009D4FE4"/>
    <w:rsid w:val="009D7E59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5C10"/>
    <w:rsid w:val="00A21755"/>
    <w:rsid w:val="00A21886"/>
    <w:rsid w:val="00A25726"/>
    <w:rsid w:val="00A269BE"/>
    <w:rsid w:val="00A302A7"/>
    <w:rsid w:val="00A30C85"/>
    <w:rsid w:val="00A33B6F"/>
    <w:rsid w:val="00A35AC8"/>
    <w:rsid w:val="00A3627A"/>
    <w:rsid w:val="00A446CE"/>
    <w:rsid w:val="00A47FCB"/>
    <w:rsid w:val="00A52092"/>
    <w:rsid w:val="00A628F6"/>
    <w:rsid w:val="00A62B31"/>
    <w:rsid w:val="00A64901"/>
    <w:rsid w:val="00A738FE"/>
    <w:rsid w:val="00A7581C"/>
    <w:rsid w:val="00A75AC9"/>
    <w:rsid w:val="00A86F05"/>
    <w:rsid w:val="00A87239"/>
    <w:rsid w:val="00A9063F"/>
    <w:rsid w:val="00A91B17"/>
    <w:rsid w:val="00A9706A"/>
    <w:rsid w:val="00AA1FD5"/>
    <w:rsid w:val="00AA403C"/>
    <w:rsid w:val="00AA50E4"/>
    <w:rsid w:val="00AB05FA"/>
    <w:rsid w:val="00AB5B11"/>
    <w:rsid w:val="00AB5D22"/>
    <w:rsid w:val="00AB5FEF"/>
    <w:rsid w:val="00AB6DD3"/>
    <w:rsid w:val="00AC2E02"/>
    <w:rsid w:val="00AC3B41"/>
    <w:rsid w:val="00AC505A"/>
    <w:rsid w:val="00AC58A9"/>
    <w:rsid w:val="00AC6B6C"/>
    <w:rsid w:val="00AD1140"/>
    <w:rsid w:val="00AD63F7"/>
    <w:rsid w:val="00AD7FF4"/>
    <w:rsid w:val="00AE3080"/>
    <w:rsid w:val="00AE33A5"/>
    <w:rsid w:val="00AE4A2D"/>
    <w:rsid w:val="00AE5D56"/>
    <w:rsid w:val="00AE6C4B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AA0"/>
    <w:rsid w:val="00B119FA"/>
    <w:rsid w:val="00B124E7"/>
    <w:rsid w:val="00B12506"/>
    <w:rsid w:val="00B12F57"/>
    <w:rsid w:val="00B13751"/>
    <w:rsid w:val="00B14550"/>
    <w:rsid w:val="00B15AA0"/>
    <w:rsid w:val="00B17811"/>
    <w:rsid w:val="00B218A8"/>
    <w:rsid w:val="00B22175"/>
    <w:rsid w:val="00B226D5"/>
    <w:rsid w:val="00B27A72"/>
    <w:rsid w:val="00B31294"/>
    <w:rsid w:val="00B32976"/>
    <w:rsid w:val="00B35F55"/>
    <w:rsid w:val="00B3691D"/>
    <w:rsid w:val="00B40E12"/>
    <w:rsid w:val="00B449A6"/>
    <w:rsid w:val="00B461AC"/>
    <w:rsid w:val="00B46C4B"/>
    <w:rsid w:val="00B5105F"/>
    <w:rsid w:val="00B52E15"/>
    <w:rsid w:val="00B53037"/>
    <w:rsid w:val="00B53718"/>
    <w:rsid w:val="00B5707B"/>
    <w:rsid w:val="00B61517"/>
    <w:rsid w:val="00B6442C"/>
    <w:rsid w:val="00B64B09"/>
    <w:rsid w:val="00B66026"/>
    <w:rsid w:val="00B737BB"/>
    <w:rsid w:val="00B760ED"/>
    <w:rsid w:val="00B827DB"/>
    <w:rsid w:val="00B862ED"/>
    <w:rsid w:val="00B8648A"/>
    <w:rsid w:val="00B92F0E"/>
    <w:rsid w:val="00BA0F9D"/>
    <w:rsid w:val="00BA2987"/>
    <w:rsid w:val="00BA35C1"/>
    <w:rsid w:val="00BA5119"/>
    <w:rsid w:val="00BA78E7"/>
    <w:rsid w:val="00BB096E"/>
    <w:rsid w:val="00BB0D13"/>
    <w:rsid w:val="00BB3F62"/>
    <w:rsid w:val="00BB4602"/>
    <w:rsid w:val="00BB4CDC"/>
    <w:rsid w:val="00BB5BF5"/>
    <w:rsid w:val="00BB7339"/>
    <w:rsid w:val="00BC02C3"/>
    <w:rsid w:val="00BC3ED2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15D4"/>
    <w:rsid w:val="00BF3DB0"/>
    <w:rsid w:val="00BF50D3"/>
    <w:rsid w:val="00BF7E65"/>
    <w:rsid w:val="00C0468D"/>
    <w:rsid w:val="00C06AA4"/>
    <w:rsid w:val="00C100E4"/>
    <w:rsid w:val="00C139A5"/>
    <w:rsid w:val="00C13F60"/>
    <w:rsid w:val="00C176FD"/>
    <w:rsid w:val="00C17924"/>
    <w:rsid w:val="00C20329"/>
    <w:rsid w:val="00C21CEF"/>
    <w:rsid w:val="00C27BF3"/>
    <w:rsid w:val="00C34EF5"/>
    <w:rsid w:val="00C358AE"/>
    <w:rsid w:val="00C37FB3"/>
    <w:rsid w:val="00C428EE"/>
    <w:rsid w:val="00C43D18"/>
    <w:rsid w:val="00C4745C"/>
    <w:rsid w:val="00C50BBC"/>
    <w:rsid w:val="00C5380D"/>
    <w:rsid w:val="00C6532B"/>
    <w:rsid w:val="00C66DFC"/>
    <w:rsid w:val="00C67411"/>
    <w:rsid w:val="00C817F2"/>
    <w:rsid w:val="00C83C17"/>
    <w:rsid w:val="00C84A29"/>
    <w:rsid w:val="00C93D2F"/>
    <w:rsid w:val="00C96E59"/>
    <w:rsid w:val="00CA55AD"/>
    <w:rsid w:val="00CB18E8"/>
    <w:rsid w:val="00CB2E5D"/>
    <w:rsid w:val="00CB48E3"/>
    <w:rsid w:val="00CB7C57"/>
    <w:rsid w:val="00CC10BD"/>
    <w:rsid w:val="00CC1297"/>
    <w:rsid w:val="00CC252C"/>
    <w:rsid w:val="00CC468F"/>
    <w:rsid w:val="00CC4DBE"/>
    <w:rsid w:val="00CC58CD"/>
    <w:rsid w:val="00CC6A97"/>
    <w:rsid w:val="00CD238C"/>
    <w:rsid w:val="00CE00BD"/>
    <w:rsid w:val="00CE3A6E"/>
    <w:rsid w:val="00CE3F68"/>
    <w:rsid w:val="00CE712D"/>
    <w:rsid w:val="00CF3EBA"/>
    <w:rsid w:val="00CF58E1"/>
    <w:rsid w:val="00CF718C"/>
    <w:rsid w:val="00CF74E4"/>
    <w:rsid w:val="00D01022"/>
    <w:rsid w:val="00D01E8B"/>
    <w:rsid w:val="00D03D2B"/>
    <w:rsid w:val="00D06804"/>
    <w:rsid w:val="00D12B7E"/>
    <w:rsid w:val="00D209EC"/>
    <w:rsid w:val="00D212B6"/>
    <w:rsid w:val="00D21968"/>
    <w:rsid w:val="00D21D7F"/>
    <w:rsid w:val="00D22A7B"/>
    <w:rsid w:val="00D24C9C"/>
    <w:rsid w:val="00D26434"/>
    <w:rsid w:val="00D301A2"/>
    <w:rsid w:val="00D31243"/>
    <w:rsid w:val="00D325EC"/>
    <w:rsid w:val="00D329F5"/>
    <w:rsid w:val="00D36D27"/>
    <w:rsid w:val="00D42C9A"/>
    <w:rsid w:val="00D45318"/>
    <w:rsid w:val="00D45E04"/>
    <w:rsid w:val="00D46ED2"/>
    <w:rsid w:val="00D50D03"/>
    <w:rsid w:val="00D50D20"/>
    <w:rsid w:val="00D5418D"/>
    <w:rsid w:val="00D545B4"/>
    <w:rsid w:val="00D54E69"/>
    <w:rsid w:val="00D55A0C"/>
    <w:rsid w:val="00D5682E"/>
    <w:rsid w:val="00D70305"/>
    <w:rsid w:val="00D75C78"/>
    <w:rsid w:val="00D76CF4"/>
    <w:rsid w:val="00D83954"/>
    <w:rsid w:val="00D85804"/>
    <w:rsid w:val="00D86111"/>
    <w:rsid w:val="00D9101B"/>
    <w:rsid w:val="00D939DB"/>
    <w:rsid w:val="00D93A6B"/>
    <w:rsid w:val="00D946ED"/>
    <w:rsid w:val="00D95E89"/>
    <w:rsid w:val="00DA0F6C"/>
    <w:rsid w:val="00DA0F80"/>
    <w:rsid w:val="00DA3270"/>
    <w:rsid w:val="00DA4F6D"/>
    <w:rsid w:val="00DB07D0"/>
    <w:rsid w:val="00DB371A"/>
    <w:rsid w:val="00DB4DF0"/>
    <w:rsid w:val="00DB752F"/>
    <w:rsid w:val="00DC14F7"/>
    <w:rsid w:val="00DC1CC3"/>
    <w:rsid w:val="00DC1D6F"/>
    <w:rsid w:val="00DC1E8F"/>
    <w:rsid w:val="00DC5242"/>
    <w:rsid w:val="00DC52C3"/>
    <w:rsid w:val="00DC649D"/>
    <w:rsid w:val="00DC6CFB"/>
    <w:rsid w:val="00DD0443"/>
    <w:rsid w:val="00DD0A69"/>
    <w:rsid w:val="00DD27AB"/>
    <w:rsid w:val="00DE0E5B"/>
    <w:rsid w:val="00DE0F85"/>
    <w:rsid w:val="00DE1702"/>
    <w:rsid w:val="00DE225C"/>
    <w:rsid w:val="00DE327C"/>
    <w:rsid w:val="00DE375D"/>
    <w:rsid w:val="00DF2CE5"/>
    <w:rsid w:val="00DF2F46"/>
    <w:rsid w:val="00DF380A"/>
    <w:rsid w:val="00E03C27"/>
    <w:rsid w:val="00E068C2"/>
    <w:rsid w:val="00E07628"/>
    <w:rsid w:val="00E1428E"/>
    <w:rsid w:val="00E158FD"/>
    <w:rsid w:val="00E15CD3"/>
    <w:rsid w:val="00E16047"/>
    <w:rsid w:val="00E16629"/>
    <w:rsid w:val="00E210CA"/>
    <w:rsid w:val="00E2193D"/>
    <w:rsid w:val="00E239B1"/>
    <w:rsid w:val="00E23F01"/>
    <w:rsid w:val="00E2455E"/>
    <w:rsid w:val="00E2525D"/>
    <w:rsid w:val="00E26399"/>
    <w:rsid w:val="00E2735D"/>
    <w:rsid w:val="00E33A2A"/>
    <w:rsid w:val="00E41C8D"/>
    <w:rsid w:val="00E45F8B"/>
    <w:rsid w:val="00E508DF"/>
    <w:rsid w:val="00E52802"/>
    <w:rsid w:val="00E63061"/>
    <w:rsid w:val="00E65C82"/>
    <w:rsid w:val="00E669C2"/>
    <w:rsid w:val="00E67BA1"/>
    <w:rsid w:val="00E750D3"/>
    <w:rsid w:val="00E7775C"/>
    <w:rsid w:val="00E80A56"/>
    <w:rsid w:val="00E82E2E"/>
    <w:rsid w:val="00E83801"/>
    <w:rsid w:val="00E83F72"/>
    <w:rsid w:val="00E84432"/>
    <w:rsid w:val="00E861AD"/>
    <w:rsid w:val="00E86475"/>
    <w:rsid w:val="00E9120E"/>
    <w:rsid w:val="00E9237B"/>
    <w:rsid w:val="00E93B94"/>
    <w:rsid w:val="00EA06ED"/>
    <w:rsid w:val="00EA1C77"/>
    <w:rsid w:val="00EA2050"/>
    <w:rsid w:val="00EA3AB2"/>
    <w:rsid w:val="00EA5480"/>
    <w:rsid w:val="00EB1A58"/>
    <w:rsid w:val="00EB4181"/>
    <w:rsid w:val="00EB75D1"/>
    <w:rsid w:val="00EC0FDC"/>
    <w:rsid w:val="00EC28CD"/>
    <w:rsid w:val="00EC2C8B"/>
    <w:rsid w:val="00ED1865"/>
    <w:rsid w:val="00ED6B5C"/>
    <w:rsid w:val="00EE09C2"/>
    <w:rsid w:val="00EE49FC"/>
    <w:rsid w:val="00EE64D3"/>
    <w:rsid w:val="00EE7DD6"/>
    <w:rsid w:val="00EF05C9"/>
    <w:rsid w:val="00EF06B4"/>
    <w:rsid w:val="00EF184C"/>
    <w:rsid w:val="00EF2462"/>
    <w:rsid w:val="00EF2BCC"/>
    <w:rsid w:val="00EF6198"/>
    <w:rsid w:val="00EF7E44"/>
    <w:rsid w:val="00F02440"/>
    <w:rsid w:val="00F047A8"/>
    <w:rsid w:val="00F112C9"/>
    <w:rsid w:val="00F12372"/>
    <w:rsid w:val="00F123FD"/>
    <w:rsid w:val="00F135D0"/>
    <w:rsid w:val="00F15AD3"/>
    <w:rsid w:val="00F227E3"/>
    <w:rsid w:val="00F25623"/>
    <w:rsid w:val="00F25874"/>
    <w:rsid w:val="00F258C3"/>
    <w:rsid w:val="00F27187"/>
    <w:rsid w:val="00F32A6C"/>
    <w:rsid w:val="00F354D4"/>
    <w:rsid w:val="00F404E0"/>
    <w:rsid w:val="00F4080C"/>
    <w:rsid w:val="00F4430E"/>
    <w:rsid w:val="00F44F18"/>
    <w:rsid w:val="00F47978"/>
    <w:rsid w:val="00F5000B"/>
    <w:rsid w:val="00F50376"/>
    <w:rsid w:val="00F539F8"/>
    <w:rsid w:val="00F6051A"/>
    <w:rsid w:val="00F61D56"/>
    <w:rsid w:val="00F625A5"/>
    <w:rsid w:val="00F62D5E"/>
    <w:rsid w:val="00F639A8"/>
    <w:rsid w:val="00F64E91"/>
    <w:rsid w:val="00F6560C"/>
    <w:rsid w:val="00F71C84"/>
    <w:rsid w:val="00F7359F"/>
    <w:rsid w:val="00F7614A"/>
    <w:rsid w:val="00F81C23"/>
    <w:rsid w:val="00F83FA3"/>
    <w:rsid w:val="00F84A9D"/>
    <w:rsid w:val="00F90402"/>
    <w:rsid w:val="00F90D7B"/>
    <w:rsid w:val="00FA4BDA"/>
    <w:rsid w:val="00FA6765"/>
    <w:rsid w:val="00FB05D4"/>
    <w:rsid w:val="00FB06E5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C63C6"/>
    <w:rsid w:val="00FD1CB5"/>
    <w:rsid w:val="00FD30B8"/>
    <w:rsid w:val="00FD3F83"/>
    <w:rsid w:val="00FD4AFF"/>
    <w:rsid w:val="00FD6B9D"/>
    <w:rsid w:val="00FE1F0E"/>
    <w:rsid w:val="00FE577D"/>
    <w:rsid w:val="00FE6831"/>
    <w:rsid w:val="00FE6BCE"/>
    <w:rsid w:val="00FF105E"/>
    <w:rsid w:val="00FF1CA7"/>
    <w:rsid w:val="00FF3C4A"/>
    <w:rsid w:val="00FF4487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FDACE7-FAE7-4BA3-8F4C-9FF5EE7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7A4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Sil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"/>
    <w:basedOn w:val="Normlny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1017-B2FB-4FF2-AFC1-994FA268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Precuchova Georgina</cp:lastModifiedBy>
  <cp:revision>2</cp:revision>
  <cp:lastPrinted>2022-06-01T13:15:00Z</cp:lastPrinted>
  <dcterms:created xsi:type="dcterms:W3CDTF">2024-01-08T14:11:00Z</dcterms:created>
  <dcterms:modified xsi:type="dcterms:W3CDTF">2024-01-08T14:11:00Z</dcterms:modified>
</cp:coreProperties>
</file>