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2A45B" w14:textId="77777777" w:rsidR="00D14B99" w:rsidRPr="00F96C71" w:rsidRDefault="00B326AA">
      <w:pPr>
        <w:jc w:val="center"/>
        <w:rPr>
          <w:b/>
          <w:caps/>
          <w:spacing w:val="30"/>
          <w:szCs w:val="22"/>
        </w:rPr>
      </w:pPr>
      <w:r w:rsidRPr="00F96C71">
        <w:rPr>
          <w:b/>
          <w:caps/>
          <w:spacing w:val="30"/>
          <w:szCs w:val="22"/>
        </w:rPr>
        <w:t>Doložka zlučiteľnosti</w:t>
      </w:r>
    </w:p>
    <w:p w14:paraId="4F27E67D" w14:textId="5D354092" w:rsidR="001F0AA3" w:rsidRPr="00F96C71" w:rsidRDefault="00F05E0C" w:rsidP="00DC377E">
      <w:pPr>
        <w:jc w:val="center"/>
        <w:rPr>
          <w:b/>
          <w:szCs w:val="22"/>
        </w:rPr>
      </w:pPr>
      <w:r>
        <w:rPr>
          <w:b/>
          <w:szCs w:val="22"/>
        </w:rPr>
        <w:t xml:space="preserve">návrhu </w:t>
      </w:r>
      <w:r w:rsidR="00C11679">
        <w:rPr>
          <w:b/>
          <w:szCs w:val="22"/>
        </w:rPr>
        <w:t>zákona</w:t>
      </w:r>
      <w:r w:rsidR="0013695E" w:rsidRPr="00F96C71">
        <w:rPr>
          <w:b/>
          <w:szCs w:val="22"/>
        </w:rPr>
        <w:t xml:space="preserve"> </w:t>
      </w:r>
      <w:r w:rsidR="00DC377E" w:rsidRPr="00F96C71">
        <w:rPr>
          <w:b/>
          <w:szCs w:val="22"/>
        </w:rPr>
        <w:t>s právom Európskej únie</w:t>
      </w:r>
    </w:p>
    <w:p w14:paraId="48C2226D" w14:textId="77777777" w:rsidR="001E22B5" w:rsidRPr="00F96C71" w:rsidRDefault="001E22B5" w:rsidP="00EF7E02">
      <w:pPr>
        <w:ind w:left="425"/>
        <w:jc w:val="center"/>
        <w:rPr>
          <w:b/>
          <w:szCs w:val="22"/>
        </w:rPr>
      </w:pPr>
    </w:p>
    <w:p w14:paraId="5AAF8158" w14:textId="3DEC30E5" w:rsidR="00FB5364" w:rsidRDefault="0072772E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C11679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773961" w:rsidRPr="00773961">
        <w:rPr>
          <w:bCs/>
          <w:szCs w:val="22"/>
        </w:rPr>
        <w:t xml:space="preserve"> Vláda </w:t>
      </w:r>
      <w:r w:rsidR="00EF7E02" w:rsidRPr="00F96C71">
        <w:rPr>
          <w:szCs w:val="22"/>
        </w:rPr>
        <w:t xml:space="preserve"> </w:t>
      </w:r>
      <w:bookmarkStart w:id="0" w:name="_GoBack"/>
      <w:bookmarkEnd w:id="0"/>
      <w:r w:rsidR="00713CCB" w:rsidRPr="00F96C71">
        <w:rPr>
          <w:szCs w:val="22"/>
        </w:rPr>
        <w:t>Slovenskej republiky</w:t>
      </w:r>
    </w:p>
    <w:p w14:paraId="1A01ED54" w14:textId="77777777" w:rsidR="00FB5364" w:rsidRDefault="00FB5364" w:rsidP="00FB5364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14:paraId="56FA799E" w14:textId="291CA6CC" w:rsidR="00FB5364" w:rsidRPr="00AA056C" w:rsidRDefault="00EF7E02" w:rsidP="003E6C52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Cs w:val="22"/>
        </w:rPr>
      </w:pPr>
      <w:r w:rsidRPr="00AA056C">
        <w:rPr>
          <w:b/>
          <w:bCs/>
          <w:szCs w:val="22"/>
        </w:rPr>
        <w:t xml:space="preserve">Názov návrhu </w:t>
      </w:r>
      <w:r w:rsidR="00C11679" w:rsidRPr="00AA056C">
        <w:rPr>
          <w:b/>
          <w:bCs/>
          <w:szCs w:val="22"/>
        </w:rPr>
        <w:t>zákona</w:t>
      </w:r>
      <w:r w:rsidRPr="00AA056C">
        <w:rPr>
          <w:b/>
          <w:bCs/>
          <w:szCs w:val="22"/>
        </w:rPr>
        <w:t xml:space="preserve">: </w:t>
      </w:r>
      <w:r w:rsidR="00F05E0C" w:rsidRPr="00F05E0C">
        <w:rPr>
          <w:bCs/>
          <w:szCs w:val="22"/>
        </w:rPr>
        <w:t>Vládny návrh</w:t>
      </w:r>
      <w:r w:rsidR="00F05E0C">
        <w:rPr>
          <w:b/>
          <w:bCs/>
          <w:szCs w:val="22"/>
        </w:rPr>
        <w:t xml:space="preserve"> </w:t>
      </w:r>
      <w:r w:rsidR="00225AD9" w:rsidRPr="00AA056C">
        <w:rPr>
          <w:bCs/>
          <w:szCs w:val="22"/>
        </w:rPr>
        <w:t xml:space="preserve"> </w:t>
      </w:r>
      <w:r w:rsidR="00C11679" w:rsidRPr="00AA056C">
        <w:rPr>
          <w:bCs/>
          <w:szCs w:val="22"/>
        </w:rPr>
        <w:t>zákona</w:t>
      </w:r>
      <w:r w:rsidR="003E6C52" w:rsidRPr="00AA056C">
        <w:rPr>
          <w:bCs/>
          <w:szCs w:val="22"/>
        </w:rPr>
        <w:t xml:space="preserve">, ktorým sa </w:t>
      </w:r>
      <w:r w:rsidR="00CF612B">
        <w:rPr>
          <w:bCs/>
          <w:szCs w:val="22"/>
        </w:rPr>
        <w:t>dopĺňa</w:t>
      </w:r>
      <w:r w:rsidR="00CF612B" w:rsidRPr="00AA056C">
        <w:rPr>
          <w:bCs/>
          <w:szCs w:val="22"/>
        </w:rPr>
        <w:t xml:space="preserve"> </w:t>
      </w:r>
      <w:r w:rsidR="003E6C52" w:rsidRPr="00AA056C">
        <w:rPr>
          <w:bCs/>
          <w:szCs w:val="22"/>
        </w:rPr>
        <w:t xml:space="preserve">zákon č. </w:t>
      </w:r>
      <w:r w:rsidR="00894BF6" w:rsidRPr="00AA056C">
        <w:rPr>
          <w:bCs/>
          <w:szCs w:val="22"/>
        </w:rPr>
        <w:t>461/2003</w:t>
      </w:r>
      <w:r w:rsidR="003E6C52" w:rsidRPr="00AA056C">
        <w:rPr>
          <w:bCs/>
          <w:szCs w:val="22"/>
        </w:rPr>
        <w:t xml:space="preserve"> Z. z.</w:t>
      </w:r>
      <w:r w:rsidR="00C47DDC" w:rsidRPr="00AA056C">
        <w:t xml:space="preserve"> </w:t>
      </w:r>
      <w:r w:rsidR="00C47DDC" w:rsidRPr="00AA056C">
        <w:rPr>
          <w:bCs/>
          <w:szCs w:val="22"/>
        </w:rPr>
        <w:t>o</w:t>
      </w:r>
      <w:r w:rsidR="00894BF6" w:rsidRPr="00AA056C">
        <w:rPr>
          <w:bCs/>
          <w:szCs w:val="22"/>
        </w:rPr>
        <w:t xml:space="preserve"> sociálnom poistení </w:t>
      </w:r>
    </w:p>
    <w:p w14:paraId="621894E3" w14:textId="77777777" w:rsidR="00FB5364" w:rsidRPr="00F96C71" w:rsidRDefault="00FB5364" w:rsidP="000312D9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14:paraId="6414B748" w14:textId="77777777"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DC0648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  <w:r w:rsidR="00DC0648">
        <w:rPr>
          <w:b/>
          <w:bCs/>
          <w:szCs w:val="22"/>
        </w:rPr>
        <w:t xml:space="preserve"> </w:t>
      </w:r>
    </w:p>
    <w:p w14:paraId="09C837CD" w14:textId="77777777"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14:paraId="61116380" w14:textId="77777777" w:rsidR="00F96C71" w:rsidRDefault="00F96C71" w:rsidP="000312D9">
      <w:pPr>
        <w:pStyle w:val="Zkladntext"/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 xml:space="preserve">čl. </w:t>
      </w:r>
      <w:r w:rsidR="003E6C52">
        <w:rPr>
          <w:i/>
          <w:szCs w:val="22"/>
        </w:rPr>
        <w:t>151</w:t>
      </w:r>
      <w:r w:rsidR="00DE6C28">
        <w:rPr>
          <w:i/>
          <w:szCs w:val="22"/>
        </w:rPr>
        <w:t xml:space="preserve"> a</w:t>
      </w:r>
      <w:r w:rsidR="003E6C52">
        <w:rPr>
          <w:i/>
          <w:szCs w:val="22"/>
        </w:rPr>
        <w:t xml:space="preserve"> 153 </w:t>
      </w:r>
      <w:r w:rsidRPr="00F96C71">
        <w:rPr>
          <w:i/>
          <w:szCs w:val="22"/>
        </w:rPr>
        <w:t>Zmluvy o fungovaní Európskej únie</w:t>
      </w:r>
      <w:r w:rsidR="00174D1B">
        <w:rPr>
          <w:i/>
          <w:szCs w:val="22"/>
        </w:rPr>
        <w:t xml:space="preserve"> (konsolidované znenie</w:t>
      </w:r>
      <w:r w:rsidR="003E6C52">
        <w:rPr>
          <w:i/>
          <w:szCs w:val="22"/>
        </w:rPr>
        <w:t>)</w:t>
      </w:r>
      <w:r w:rsidRPr="00F96C71">
        <w:rPr>
          <w:i/>
          <w:szCs w:val="22"/>
        </w:rPr>
        <w:t xml:space="preserve"> (</w:t>
      </w:r>
      <w:r w:rsidR="00DC0648" w:rsidRPr="00DC0648">
        <w:rPr>
          <w:i/>
          <w:szCs w:val="22"/>
        </w:rPr>
        <w:t>Ú. v. ES C 202, 7. 6. 2016</w:t>
      </w:r>
      <w:r w:rsidRPr="00F96C71">
        <w:rPr>
          <w:i/>
          <w:szCs w:val="22"/>
        </w:rPr>
        <w:t>)</w:t>
      </w:r>
      <w:r w:rsidR="00174D1B">
        <w:rPr>
          <w:i/>
          <w:szCs w:val="22"/>
        </w:rPr>
        <w:t xml:space="preserve"> v platnom znení</w:t>
      </w:r>
      <w:r w:rsidRPr="00F96C71">
        <w:rPr>
          <w:i/>
          <w:szCs w:val="22"/>
        </w:rPr>
        <w:t>,</w:t>
      </w:r>
      <w:r w:rsidR="00C47DDC">
        <w:rPr>
          <w:i/>
          <w:szCs w:val="22"/>
        </w:rPr>
        <w:t xml:space="preserve"> </w:t>
      </w:r>
    </w:p>
    <w:p w14:paraId="73230FE5" w14:textId="77777777" w:rsidR="003E6C52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sekundárnom práve, a</w:t>
      </w:r>
      <w:r w:rsidR="003E6C52">
        <w:rPr>
          <w:szCs w:val="22"/>
        </w:rPr>
        <w:t> </w:t>
      </w:r>
      <w:r w:rsidRPr="00F96C71">
        <w:rPr>
          <w:szCs w:val="22"/>
        </w:rPr>
        <w:t>to</w:t>
      </w:r>
    </w:p>
    <w:p w14:paraId="1A231C51" w14:textId="4DAB77A8" w:rsidR="0015461B" w:rsidRDefault="0015461B" w:rsidP="0015461B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</w:rPr>
      </w:pPr>
      <w:r>
        <w:rPr>
          <w:i/>
        </w:rPr>
        <w:t>Nariadenie Rady</w:t>
      </w:r>
      <w:r w:rsidRPr="0015461B">
        <w:rPr>
          <w:i/>
        </w:rPr>
        <w:t xml:space="preserve"> (EÚ) 2015/1589 z 13. júla 2015 stanovujúce podrobné pravidlá na uplatňovanie článku 108 Zmluvy o fungovaní Európskej únie</w:t>
      </w:r>
    </w:p>
    <w:p w14:paraId="6B9F8FDD" w14:textId="091F0717" w:rsidR="001D222F" w:rsidRPr="001D222F" w:rsidRDefault="001D222F" w:rsidP="001D222F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</w:rPr>
      </w:pPr>
      <w:r w:rsidRPr="001D222F">
        <w:rPr>
          <w:bCs/>
          <w:i/>
        </w:rPr>
        <w:t>Nariadenie Komisie (ES) č. 794/2004 z 21. apríla 2004, ktorým sa vykonáva nariadenie Rady (EÚ) 2015/1589 stanovujúce podrobné pravidlá na</w:t>
      </w:r>
      <w:r w:rsidRPr="001D222F">
        <w:rPr>
          <w:i/>
        </w:rPr>
        <w:t> </w:t>
      </w:r>
      <w:r w:rsidRPr="001D222F">
        <w:rPr>
          <w:bCs/>
          <w:i/>
        </w:rPr>
        <w:t>uplatňovanie článku 108 Zmluvy</w:t>
      </w:r>
      <w:r w:rsidRPr="001D222F">
        <w:rPr>
          <w:i/>
        </w:rPr>
        <w:t> </w:t>
      </w:r>
      <w:r w:rsidRPr="001D222F">
        <w:rPr>
          <w:bCs/>
          <w:i/>
        </w:rPr>
        <w:t>o fungovaní Európskej únie</w:t>
      </w:r>
    </w:p>
    <w:p w14:paraId="461A4AC9" w14:textId="5B3CB2E3" w:rsidR="001D222F" w:rsidRDefault="001D222F" w:rsidP="001D222F">
      <w:pPr>
        <w:pStyle w:val="Zkladntext"/>
        <w:numPr>
          <w:ilvl w:val="0"/>
          <w:numId w:val="13"/>
        </w:numPr>
        <w:spacing w:after="0"/>
        <w:ind w:left="1210"/>
        <w:jc w:val="both"/>
        <w:rPr>
          <w:bCs/>
          <w:i/>
        </w:rPr>
      </w:pPr>
      <w:r w:rsidRPr="001D222F">
        <w:rPr>
          <w:bCs/>
          <w:i/>
        </w:rPr>
        <w:t>Nariadenie Komisie (EÚ) 2015/2282 z 27. novembra 2015, ktorým sa mení nariadenie (ES) č. 794/2004, pokiaľ ide o oznamovacie a informačné formuláre</w:t>
      </w:r>
    </w:p>
    <w:p w14:paraId="42A78AA0" w14:textId="51F5E967" w:rsidR="001D222F" w:rsidRPr="001D222F" w:rsidRDefault="001D222F" w:rsidP="001D222F">
      <w:pPr>
        <w:pStyle w:val="Zkladntext"/>
        <w:numPr>
          <w:ilvl w:val="0"/>
          <w:numId w:val="13"/>
        </w:numPr>
        <w:spacing w:after="0"/>
        <w:ind w:left="1210"/>
        <w:jc w:val="both"/>
        <w:rPr>
          <w:bCs/>
          <w:i/>
        </w:rPr>
      </w:pPr>
      <w:r w:rsidRPr="001D222F">
        <w:rPr>
          <w:bCs/>
          <w:i/>
        </w:rPr>
        <w:t>Nariadenie Komisie (EÚ) 2016/246 z 3. februára 2016, ktorým sa mení príloha I</w:t>
      </w:r>
      <w:r w:rsidR="00850BC1">
        <w:rPr>
          <w:bCs/>
          <w:i/>
        </w:rPr>
        <w:t> </w:t>
      </w:r>
      <w:r w:rsidRPr="001D222F">
        <w:rPr>
          <w:bCs/>
          <w:i/>
        </w:rPr>
        <w:t>k</w:t>
      </w:r>
      <w:r w:rsidR="00850BC1">
        <w:rPr>
          <w:bCs/>
          <w:i/>
        </w:rPr>
        <w:t> </w:t>
      </w:r>
      <w:r w:rsidRPr="001D222F">
        <w:rPr>
          <w:bCs/>
          <w:i/>
        </w:rPr>
        <w:t>nariadeniu (ES) č. 794/2004, pokiaľ ide o formuláre, ktoré sa majú použiť na notifikáciu štátnej pomoci v odvetviach poľnohospodárstva a lesného hospodárstva a</w:t>
      </w:r>
      <w:r w:rsidR="00850BC1">
        <w:rPr>
          <w:bCs/>
          <w:i/>
        </w:rPr>
        <w:t> </w:t>
      </w:r>
      <w:r w:rsidRPr="001D222F">
        <w:rPr>
          <w:bCs/>
          <w:i/>
        </w:rPr>
        <w:t>vo vidieckych oblastiach</w:t>
      </w:r>
    </w:p>
    <w:p w14:paraId="50020ED1" w14:textId="77777777" w:rsidR="0015461B" w:rsidRPr="00144B73" w:rsidRDefault="0015461B" w:rsidP="00B453D8">
      <w:pPr>
        <w:pStyle w:val="Zkladntext"/>
        <w:spacing w:after="0"/>
        <w:jc w:val="both"/>
        <w:rPr>
          <w:i/>
        </w:rPr>
      </w:pPr>
    </w:p>
    <w:p w14:paraId="79FF3506" w14:textId="77777777"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14:paraId="4EA223DC" w14:textId="77777777"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14:paraId="3D46925A" w14:textId="77777777" w:rsidR="00F96C71" w:rsidRPr="00F96C71" w:rsidRDefault="00F96C71" w:rsidP="000312D9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14:paraId="576961F5" w14:textId="77777777" w:rsidR="00F96C71" w:rsidRPr="00F96C71" w:rsidRDefault="00F96C71" w:rsidP="00F96C71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14:paraId="2647595D" w14:textId="77777777"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14:paraId="1A3C1A22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14:paraId="0EC34510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14:paraId="743D2334" w14:textId="77777777"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</w:t>
      </w:r>
      <w:r w:rsidR="00132073">
        <w:rPr>
          <w:szCs w:val="22"/>
        </w:rPr>
        <w:t> </w:t>
      </w:r>
      <w:r w:rsidRPr="00F96C71">
        <w:rPr>
          <w:szCs w:val="22"/>
        </w:rPr>
        <w:t>260 Zmluvy o fungovaní Európskej únie v jej platnom znení, spolu s uvedením konkrétnych vytýkaných nedostatkov a požiadaviek na zabezpečenie nápravy so zreteľom na nariadenie Európskeho parlamentu a Rady (ES) č. 1049/2001 z 30. mája 2001 o</w:t>
      </w:r>
      <w:r w:rsidR="00132073">
        <w:rPr>
          <w:szCs w:val="22"/>
        </w:rPr>
        <w:t> </w:t>
      </w:r>
      <w:r w:rsidRPr="00F96C71">
        <w:rPr>
          <w:szCs w:val="22"/>
        </w:rPr>
        <w:t>prístupe verejnosti k dokumentom Európskeho parlamentu, Rady a Komisie</w:t>
      </w:r>
    </w:p>
    <w:p w14:paraId="687C86C6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14:paraId="0C4B4C59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14:paraId="3FBCB3D2" w14:textId="77777777"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Informácia o právnych predpisoch, v ktorých sú uvádzané právne akty Európskej únie už prebrané, spolu s uvedením rozsahu ich prebrania, príp. potreby prijatia ďalších úprav</w:t>
      </w:r>
    </w:p>
    <w:p w14:paraId="454B4FB0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bezpredmetné.</w:t>
      </w:r>
    </w:p>
    <w:p w14:paraId="753CE8F4" w14:textId="77777777" w:rsidR="00F96C71" w:rsidRPr="000312D9" w:rsidRDefault="00F96C71" w:rsidP="000312D9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14:paraId="3CC1C690" w14:textId="77777777" w:rsidR="00B42045" w:rsidRPr="00A22374" w:rsidRDefault="00F96C71" w:rsidP="000312D9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A22374">
        <w:rPr>
          <w:b/>
          <w:bCs/>
          <w:szCs w:val="22"/>
        </w:rPr>
        <w:t xml:space="preserve">Návrh </w:t>
      </w:r>
      <w:r w:rsidR="0035517B">
        <w:rPr>
          <w:b/>
          <w:bCs/>
          <w:szCs w:val="22"/>
        </w:rPr>
        <w:t>zákona</w:t>
      </w:r>
      <w:r w:rsidRPr="00A22374">
        <w:rPr>
          <w:b/>
          <w:bCs/>
          <w:szCs w:val="22"/>
        </w:rPr>
        <w:t xml:space="preserve"> je zlučiteľný s právom Európskej únie: </w:t>
      </w:r>
      <w:r w:rsidRPr="00A22374">
        <w:rPr>
          <w:bCs/>
          <w:i/>
          <w:szCs w:val="22"/>
        </w:rPr>
        <w:t>úplne.</w:t>
      </w:r>
    </w:p>
    <w:sectPr w:rsidR="00B42045" w:rsidRPr="00A22374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90518" w14:textId="77777777" w:rsidR="00BC3A97" w:rsidRDefault="00BC3A97" w:rsidP="00BD43E1">
      <w:r>
        <w:separator/>
      </w:r>
    </w:p>
  </w:endnote>
  <w:endnote w:type="continuationSeparator" w:id="0">
    <w:p w14:paraId="35A2EA8A" w14:textId="77777777" w:rsidR="00BC3A97" w:rsidRDefault="00BC3A97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72E38" w14:textId="77777777" w:rsidR="00BC3A97" w:rsidRDefault="00BC3A97" w:rsidP="00BD43E1">
      <w:r>
        <w:separator/>
      </w:r>
    </w:p>
  </w:footnote>
  <w:footnote w:type="continuationSeparator" w:id="0">
    <w:p w14:paraId="35E07278" w14:textId="77777777" w:rsidR="00BC3A97" w:rsidRDefault="00BC3A97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2134"/>
    <w:multiLevelType w:val="hybridMultilevel"/>
    <w:tmpl w:val="5F8AAE32"/>
    <w:lvl w:ilvl="0" w:tplc="EB9C50A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057311"/>
    <w:multiLevelType w:val="hybridMultilevel"/>
    <w:tmpl w:val="88246E56"/>
    <w:lvl w:ilvl="0" w:tplc="0B401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83E26"/>
    <w:multiLevelType w:val="hybridMultilevel"/>
    <w:tmpl w:val="FAD67B30"/>
    <w:lvl w:ilvl="0" w:tplc="6DAE404C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1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4"/>
  </w:num>
  <w:num w:numId="5">
    <w:abstractNumId w:val="2"/>
  </w:num>
  <w:num w:numId="6">
    <w:abstractNumId w:val="11"/>
  </w:num>
  <w:num w:numId="7">
    <w:abstractNumId w:val="16"/>
  </w:num>
  <w:num w:numId="8">
    <w:abstractNumId w:val="10"/>
  </w:num>
  <w:num w:numId="9">
    <w:abstractNumId w:val="7"/>
  </w:num>
  <w:num w:numId="10">
    <w:abstractNumId w:val="12"/>
  </w:num>
  <w:num w:numId="11">
    <w:abstractNumId w:val="9"/>
  </w:num>
  <w:num w:numId="12">
    <w:abstractNumId w:val="15"/>
  </w:num>
  <w:num w:numId="13">
    <w:abstractNumId w:val="1"/>
  </w:num>
  <w:num w:numId="14">
    <w:abstractNumId w:val="14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656"/>
    <w:rsid w:val="00013D2A"/>
    <w:rsid w:val="00014872"/>
    <w:rsid w:val="00021C1F"/>
    <w:rsid w:val="0002374E"/>
    <w:rsid w:val="000312D9"/>
    <w:rsid w:val="0003495D"/>
    <w:rsid w:val="00037977"/>
    <w:rsid w:val="00054456"/>
    <w:rsid w:val="0007247F"/>
    <w:rsid w:val="000725AE"/>
    <w:rsid w:val="000B1A59"/>
    <w:rsid w:val="000B5067"/>
    <w:rsid w:val="000C03E4"/>
    <w:rsid w:val="000C5887"/>
    <w:rsid w:val="000C5A4D"/>
    <w:rsid w:val="000D507A"/>
    <w:rsid w:val="000D6C26"/>
    <w:rsid w:val="000D7A01"/>
    <w:rsid w:val="000E0681"/>
    <w:rsid w:val="000E1E24"/>
    <w:rsid w:val="000F7780"/>
    <w:rsid w:val="00113E98"/>
    <w:rsid w:val="00117321"/>
    <w:rsid w:val="00117A7E"/>
    <w:rsid w:val="00124FC2"/>
    <w:rsid w:val="00132073"/>
    <w:rsid w:val="001344F1"/>
    <w:rsid w:val="001357E2"/>
    <w:rsid w:val="0013695E"/>
    <w:rsid w:val="00142762"/>
    <w:rsid w:val="0015027E"/>
    <w:rsid w:val="0015461B"/>
    <w:rsid w:val="00155B35"/>
    <w:rsid w:val="001575EC"/>
    <w:rsid w:val="00174D1B"/>
    <w:rsid w:val="00181543"/>
    <w:rsid w:val="00182BF7"/>
    <w:rsid w:val="001A1C30"/>
    <w:rsid w:val="001A3354"/>
    <w:rsid w:val="001A3F75"/>
    <w:rsid w:val="001B7807"/>
    <w:rsid w:val="001D222F"/>
    <w:rsid w:val="001D60ED"/>
    <w:rsid w:val="001D77C9"/>
    <w:rsid w:val="001E22B5"/>
    <w:rsid w:val="001F0AA3"/>
    <w:rsid w:val="001F4043"/>
    <w:rsid w:val="0020025E"/>
    <w:rsid w:val="002071DE"/>
    <w:rsid w:val="00211C71"/>
    <w:rsid w:val="00225AD9"/>
    <w:rsid w:val="0023485C"/>
    <w:rsid w:val="00240FDA"/>
    <w:rsid w:val="002445DC"/>
    <w:rsid w:val="00246C78"/>
    <w:rsid w:val="00250D76"/>
    <w:rsid w:val="002526D6"/>
    <w:rsid w:val="00265038"/>
    <w:rsid w:val="00271585"/>
    <w:rsid w:val="00276BB9"/>
    <w:rsid w:val="00285E47"/>
    <w:rsid w:val="002A052E"/>
    <w:rsid w:val="002A6546"/>
    <w:rsid w:val="002B14DD"/>
    <w:rsid w:val="002B227F"/>
    <w:rsid w:val="002B4595"/>
    <w:rsid w:val="002B6DE4"/>
    <w:rsid w:val="002B7C84"/>
    <w:rsid w:val="002C08EE"/>
    <w:rsid w:val="002D37FF"/>
    <w:rsid w:val="002E0B22"/>
    <w:rsid w:val="002E435F"/>
    <w:rsid w:val="002E6AC0"/>
    <w:rsid w:val="002E791C"/>
    <w:rsid w:val="00300793"/>
    <w:rsid w:val="00307300"/>
    <w:rsid w:val="00314B91"/>
    <w:rsid w:val="003215E6"/>
    <w:rsid w:val="00325CAA"/>
    <w:rsid w:val="0033702E"/>
    <w:rsid w:val="00341EC3"/>
    <w:rsid w:val="00344702"/>
    <w:rsid w:val="0034736D"/>
    <w:rsid w:val="0035400A"/>
    <w:rsid w:val="0035517B"/>
    <w:rsid w:val="003718B0"/>
    <w:rsid w:val="003841E0"/>
    <w:rsid w:val="003C31FC"/>
    <w:rsid w:val="003D0DA4"/>
    <w:rsid w:val="003D1B1F"/>
    <w:rsid w:val="003D209C"/>
    <w:rsid w:val="003D28B1"/>
    <w:rsid w:val="003D2BE7"/>
    <w:rsid w:val="003D5590"/>
    <w:rsid w:val="003E6C52"/>
    <w:rsid w:val="003F1ADA"/>
    <w:rsid w:val="003F45C5"/>
    <w:rsid w:val="00404DEA"/>
    <w:rsid w:val="00415DD8"/>
    <w:rsid w:val="00424278"/>
    <w:rsid w:val="00426895"/>
    <w:rsid w:val="004306CC"/>
    <w:rsid w:val="00432A16"/>
    <w:rsid w:val="004354FA"/>
    <w:rsid w:val="00435BB9"/>
    <w:rsid w:val="00442DD4"/>
    <w:rsid w:val="0044691D"/>
    <w:rsid w:val="00450D5C"/>
    <w:rsid w:val="00454837"/>
    <w:rsid w:val="00467F9A"/>
    <w:rsid w:val="00471C73"/>
    <w:rsid w:val="0047240E"/>
    <w:rsid w:val="00480529"/>
    <w:rsid w:val="00482868"/>
    <w:rsid w:val="004A3CCB"/>
    <w:rsid w:val="004B021D"/>
    <w:rsid w:val="004B1E6E"/>
    <w:rsid w:val="004B53DD"/>
    <w:rsid w:val="004C6E95"/>
    <w:rsid w:val="004D2B1E"/>
    <w:rsid w:val="004D63FA"/>
    <w:rsid w:val="004E669A"/>
    <w:rsid w:val="004E7F23"/>
    <w:rsid w:val="004F0AF8"/>
    <w:rsid w:val="004F15AA"/>
    <w:rsid w:val="00507EDE"/>
    <w:rsid w:val="005104A3"/>
    <w:rsid w:val="005156C5"/>
    <w:rsid w:val="00516D1E"/>
    <w:rsid w:val="00522677"/>
    <w:rsid w:val="00547347"/>
    <w:rsid w:val="005519ED"/>
    <w:rsid w:val="0055275F"/>
    <w:rsid w:val="005552A8"/>
    <w:rsid w:val="005622BE"/>
    <w:rsid w:val="005658B5"/>
    <w:rsid w:val="00567CA2"/>
    <w:rsid w:val="00572968"/>
    <w:rsid w:val="00586E55"/>
    <w:rsid w:val="00587BE5"/>
    <w:rsid w:val="005927BC"/>
    <w:rsid w:val="00593837"/>
    <w:rsid w:val="00596545"/>
    <w:rsid w:val="005E2740"/>
    <w:rsid w:val="005E6D46"/>
    <w:rsid w:val="00614F78"/>
    <w:rsid w:val="00616DE2"/>
    <w:rsid w:val="00621CBC"/>
    <w:rsid w:val="00630AAA"/>
    <w:rsid w:val="00632C56"/>
    <w:rsid w:val="006341A1"/>
    <w:rsid w:val="0065501E"/>
    <w:rsid w:val="00657530"/>
    <w:rsid w:val="00660F2E"/>
    <w:rsid w:val="00666BFE"/>
    <w:rsid w:val="00686D1F"/>
    <w:rsid w:val="00687F86"/>
    <w:rsid w:val="00695786"/>
    <w:rsid w:val="006B1F94"/>
    <w:rsid w:val="006B4937"/>
    <w:rsid w:val="006B6EA7"/>
    <w:rsid w:val="006B7FBC"/>
    <w:rsid w:val="006C0FA0"/>
    <w:rsid w:val="006E1D9C"/>
    <w:rsid w:val="006E2064"/>
    <w:rsid w:val="006E5ADE"/>
    <w:rsid w:val="006F3E6F"/>
    <w:rsid w:val="0070526D"/>
    <w:rsid w:val="00707A48"/>
    <w:rsid w:val="00713CCB"/>
    <w:rsid w:val="0072332C"/>
    <w:rsid w:val="00723D18"/>
    <w:rsid w:val="0072772E"/>
    <w:rsid w:val="00733620"/>
    <w:rsid w:val="007346F7"/>
    <w:rsid w:val="007351C5"/>
    <w:rsid w:val="00751A6F"/>
    <w:rsid w:val="0075285C"/>
    <w:rsid w:val="0075334B"/>
    <w:rsid w:val="00755D81"/>
    <w:rsid w:val="0076250F"/>
    <w:rsid w:val="007727E6"/>
    <w:rsid w:val="00773961"/>
    <w:rsid w:val="0077683C"/>
    <w:rsid w:val="00782FB0"/>
    <w:rsid w:val="007836B5"/>
    <w:rsid w:val="00785F65"/>
    <w:rsid w:val="00795ABA"/>
    <w:rsid w:val="007A7118"/>
    <w:rsid w:val="007D53DD"/>
    <w:rsid w:val="007D7422"/>
    <w:rsid w:val="007D7D7B"/>
    <w:rsid w:val="007E386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5536"/>
    <w:rsid w:val="00847169"/>
    <w:rsid w:val="00850567"/>
    <w:rsid w:val="00850BC1"/>
    <w:rsid w:val="00855F3C"/>
    <w:rsid w:val="008570D4"/>
    <w:rsid w:val="008655C8"/>
    <w:rsid w:val="00867D43"/>
    <w:rsid w:val="008703B8"/>
    <w:rsid w:val="00872B90"/>
    <w:rsid w:val="00873DC1"/>
    <w:rsid w:val="00886D3B"/>
    <w:rsid w:val="00887A34"/>
    <w:rsid w:val="00894BF6"/>
    <w:rsid w:val="008979A9"/>
    <w:rsid w:val="008A0F70"/>
    <w:rsid w:val="008A2BB0"/>
    <w:rsid w:val="008C23C0"/>
    <w:rsid w:val="008C37F1"/>
    <w:rsid w:val="008C4CEE"/>
    <w:rsid w:val="008D1291"/>
    <w:rsid w:val="008D6EBE"/>
    <w:rsid w:val="008E2891"/>
    <w:rsid w:val="009225C1"/>
    <w:rsid w:val="009303DE"/>
    <w:rsid w:val="00933205"/>
    <w:rsid w:val="009342B8"/>
    <w:rsid w:val="00945358"/>
    <w:rsid w:val="00950474"/>
    <w:rsid w:val="0095394A"/>
    <w:rsid w:val="00954AB4"/>
    <w:rsid w:val="00965482"/>
    <w:rsid w:val="00965A45"/>
    <w:rsid w:val="00970F68"/>
    <w:rsid w:val="0098365B"/>
    <w:rsid w:val="009C07FD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2374"/>
    <w:rsid w:val="00A263FB"/>
    <w:rsid w:val="00A31924"/>
    <w:rsid w:val="00A37D84"/>
    <w:rsid w:val="00A46AD9"/>
    <w:rsid w:val="00A60A2B"/>
    <w:rsid w:val="00A7059D"/>
    <w:rsid w:val="00A73284"/>
    <w:rsid w:val="00A7348C"/>
    <w:rsid w:val="00A90EF1"/>
    <w:rsid w:val="00A93283"/>
    <w:rsid w:val="00A951E3"/>
    <w:rsid w:val="00AA056C"/>
    <w:rsid w:val="00AB04B9"/>
    <w:rsid w:val="00AB1DB9"/>
    <w:rsid w:val="00AB4DAB"/>
    <w:rsid w:val="00AB6F16"/>
    <w:rsid w:val="00AD1244"/>
    <w:rsid w:val="00AD54E2"/>
    <w:rsid w:val="00AF2690"/>
    <w:rsid w:val="00AF544A"/>
    <w:rsid w:val="00AF652B"/>
    <w:rsid w:val="00B0195B"/>
    <w:rsid w:val="00B0680D"/>
    <w:rsid w:val="00B10CAB"/>
    <w:rsid w:val="00B128CD"/>
    <w:rsid w:val="00B2011F"/>
    <w:rsid w:val="00B323CC"/>
    <w:rsid w:val="00B326AA"/>
    <w:rsid w:val="00B42045"/>
    <w:rsid w:val="00B453D8"/>
    <w:rsid w:val="00B5341B"/>
    <w:rsid w:val="00B55DE7"/>
    <w:rsid w:val="00B56913"/>
    <w:rsid w:val="00B64281"/>
    <w:rsid w:val="00B744D0"/>
    <w:rsid w:val="00B77262"/>
    <w:rsid w:val="00B84C26"/>
    <w:rsid w:val="00B8534D"/>
    <w:rsid w:val="00BA351C"/>
    <w:rsid w:val="00BB4538"/>
    <w:rsid w:val="00BC31D2"/>
    <w:rsid w:val="00BC3A97"/>
    <w:rsid w:val="00BC3DDE"/>
    <w:rsid w:val="00BC782A"/>
    <w:rsid w:val="00BD43E1"/>
    <w:rsid w:val="00BD4F18"/>
    <w:rsid w:val="00C11679"/>
    <w:rsid w:val="00C12975"/>
    <w:rsid w:val="00C14EA0"/>
    <w:rsid w:val="00C210D0"/>
    <w:rsid w:val="00C24A30"/>
    <w:rsid w:val="00C25041"/>
    <w:rsid w:val="00C377CF"/>
    <w:rsid w:val="00C447A2"/>
    <w:rsid w:val="00C45BC3"/>
    <w:rsid w:val="00C47DDC"/>
    <w:rsid w:val="00C544A3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46C6"/>
    <w:rsid w:val="00CA5D08"/>
    <w:rsid w:val="00CB2297"/>
    <w:rsid w:val="00CB5E7C"/>
    <w:rsid w:val="00CC2F0F"/>
    <w:rsid w:val="00CC4CA2"/>
    <w:rsid w:val="00CF581F"/>
    <w:rsid w:val="00CF612B"/>
    <w:rsid w:val="00CF6D9A"/>
    <w:rsid w:val="00D0004A"/>
    <w:rsid w:val="00D03462"/>
    <w:rsid w:val="00D036FF"/>
    <w:rsid w:val="00D04078"/>
    <w:rsid w:val="00D07920"/>
    <w:rsid w:val="00D14B99"/>
    <w:rsid w:val="00D23CEF"/>
    <w:rsid w:val="00D3580A"/>
    <w:rsid w:val="00D465F6"/>
    <w:rsid w:val="00D5344B"/>
    <w:rsid w:val="00D564C6"/>
    <w:rsid w:val="00D70BF3"/>
    <w:rsid w:val="00D7275F"/>
    <w:rsid w:val="00D75FDD"/>
    <w:rsid w:val="00D81B7C"/>
    <w:rsid w:val="00D97C69"/>
    <w:rsid w:val="00DA4F85"/>
    <w:rsid w:val="00DB0B97"/>
    <w:rsid w:val="00DB3DB1"/>
    <w:rsid w:val="00DC0648"/>
    <w:rsid w:val="00DC0BD6"/>
    <w:rsid w:val="00DC377E"/>
    <w:rsid w:val="00DC3BFE"/>
    <w:rsid w:val="00DD419F"/>
    <w:rsid w:val="00DE554C"/>
    <w:rsid w:val="00DE6C28"/>
    <w:rsid w:val="00E01A11"/>
    <w:rsid w:val="00E034C0"/>
    <w:rsid w:val="00E055DD"/>
    <w:rsid w:val="00E1013A"/>
    <w:rsid w:val="00E107D0"/>
    <w:rsid w:val="00E25B2B"/>
    <w:rsid w:val="00E70215"/>
    <w:rsid w:val="00E739AC"/>
    <w:rsid w:val="00E756A2"/>
    <w:rsid w:val="00E85F6B"/>
    <w:rsid w:val="00EA6962"/>
    <w:rsid w:val="00EB2A4A"/>
    <w:rsid w:val="00EB2D0A"/>
    <w:rsid w:val="00EB625F"/>
    <w:rsid w:val="00EC0E8B"/>
    <w:rsid w:val="00EC2AB6"/>
    <w:rsid w:val="00EC5BF8"/>
    <w:rsid w:val="00EF48EF"/>
    <w:rsid w:val="00EF7E02"/>
    <w:rsid w:val="00F0081A"/>
    <w:rsid w:val="00F05E0C"/>
    <w:rsid w:val="00F169A3"/>
    <w:rsid w:val="00F172C6"/>
    <w:rsid w:val="00F311D5"/>
    <w:rsid w:val="00F32C7E"/>
    <w:rsid w:val="00F41028"/>
    <w:rsid w:val="00F4728A"/>
    <w:rsid w:val="00F54A03"/>
    <w:rsid w:val="00F55A2E"/>
    <w:rsid w:val="00F603FF"/>
    <w:rsid w:val="00F7726E"/>
    <w:rsid w:val="00F96C71"/>
    <w:rsid w:val="00F96CC3"/>
    <w:rsid w:val="00FA278C"/>
    <w:rsid w:val="00FA32F7"/>
    <w:rsid w:val="00FA7EAA"/>
    <w:rsid w:val="00FB2973"/>
    <w:rsid w:val="00FB5364"/>
    <w:rsid w:val="00FB5574"/>
    <w:rsid w:val="00FD227D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E5733"/>
  <w15:docId w15:val="{06E4F074-DD2D-43A6-BCCE-1685416B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D209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D209C"/>
    <w:rPr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D222F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Predvolenpsmoodseku"/>
    <w:rsid w:val="001D222F"/>
  </w:style>
  <w:style w:type="character" w:styleId="Siln">
    <w:name w:val="Strong"/>
    <w:basedOn w:val="Predvolenpsmoodseku"/>
    <w:uiPriority w:val="22"/>
    <w:qFormat/>
    <w:rsid w:val="001D2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-zlucitelnosti"/>
    <f:field ref="objsubject" par="" edit="true" text=""/>
    <f:field ref="objcreatedby" par="" text="Hornáček, Vladimír, Mgr."/>
    <f:field ref="objcreatedat" par="" text="3.9.2021 8:55:40"/>
    <f:field ref="objchangedby" par="" text="Administrator, System"/>
    <f:field ref="objmodifiedat" par="" text="3.9.2021 8:5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F07A491-D520-4FC2-8545-4EEE072D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Kostková Daša</cp:lastModifiedBy>
  <cp:revision>12</cp:revision>
  <cp:lastPrinted>2024-01-10T12:14:00Z</cp:lastPrinted>
  <dcterms:created xsi:type="dcterms:W3CDTF">2023-12-22T11:49:00Z</dcterms:created>
  <dcterms:modified xsi:type="dcterms:W3CDTF">2024-01-10T12:15:00Z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COO.2145.1000.3.4540111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 o osobnom dôchodkovom produkte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2021</vt:lpwstr>
  </property>
  <property fmtid="{D5CDD505-2E9C-101B-9397-08002B2CF9AE}" pid="18" name="FSC#SKEDITIONSLOVLEX@103.510:plnynazovpredpis">
    <vt:lpwstr> Zákon o osobnom dôchodkovom produkte a o zmene a doplnení niektorých zákonov</vt:lpwstr>
  </property>
  <property fmtid="{D5CDD505-2E9C-101B-9397-08002B2CF9AE}" pid="19" name="FSC#SKEDITIONSLOVLEX@103.510:rezortcislopredpis">
    <vt:lpwstr>25910/2021-M_OPVA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LP/2021/491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114 Zmluvy o fungovaní Európskej únie (Ú. v. ES C 202, 7. 6. 2016),</vt:lpwstr>
  </property>
  <property fmtid="{D5CDD505-2E9C-101B-9397-08002B2CF9AE}" pid="39" name="FSC#SKEDITIONSLOVLEX@103.510:AttrStrListDocPropSekundarneLegPravoPO">
    <vt:lpwstr>Nariadenie (ES) Európskeho parlamentu a Rady 2019/1238 z 20. júna 2019 celoeurópskom osobnom dôchodkovom produkte (PEPP) (Ú. v. EÚ L 198/1, 25.7.2004): MPSVR SR,_x000d_
Smernica Rady 98/49/ES z 29. júna 1998 o ochrane nárokov na dávky zo systému doplnkového poi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upravená</vt:lpwstr>
  </property>
  <property fmtid="{D5CDD505-2E9C-101B-9397-08002B2CF9AE}" pid="44" name="FSC#SKEDITIONSLOVLEX@103.510:AttrStrListDocPropLehotaPrebratieSmernice">
    <vt:lpwstr>bezpredmetné,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bezpredmetné,</vt:lpwstr>
  </property>
  <property fmtid="{D5CDD505-2E9C-101B-9397-08002B2CF9AE}" pid="47" name="FSC#SKEDITIONSLOVLEX@103.510:AttrStrListDocPropInfoUzPreberanePP">
    <vt:lpwstr>bezpredmetné,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 o&amp;nbsp;osobnom dôchodkovom produkte a&amp;nbsp;o&amp;nbsp;zmene a&amp;nbsp;doplnení niektorých zákonov.&lt;/p&gt;&lt;p style="text-align: justify;"&gt;Primárn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zákona o osobnom dôchodkovom produkte a o zmene a doplnení niektorých zákonov informovaná prostredníctvom predbežnej informácie k&amp;nbsp;predmetnému návrhu zákona zverejnenej na webovom s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ministra práce, sociálnych vecí a rodiny Slovenskej republiky</vt:lpwstr>
  </property>
  <property fmtid="{D5CDD505-2E9C-101B-9397-08002B2CF9AE}" pid="139" name="FSC#SKEDITIONSLOVLEX@103.510:funkciaZodpPredDativ">
    <vt:lpwstr>ministrovi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Bc. Milan Krajniak_x000d_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3. 9. 2021</vt:lpwstr>
  </property>
</Properties>
</file>